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71513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715137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UNITED STATES</w:t>
      </w:r>
    </w:p>
    <w:p>
      <w:pPr>
        <w:spacing w:after="0" w:line="19"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6"/>
        <w:spacing w:after="0" w:line="211" w:lineRule="auto"/>
        <w:rPr>
          <w:sz w:val="20"/>
          <w:szCs w:val="20"/>
          <w:color w:val="auto"/>
        </w:rPr>
      </w:pPr>
      <w:r>
        <w:rPr>
          <w:rFonts w:ascii="Arial" w:cs="Arial" w:eastAsia="Arial" w:hAnsi="Arial"/>
          <w:sz w:val="14"/>
          <w:szCs w:val="14"/>
          <w:b w:val="1"/>
          <w:bCs w:val="1"/>
          <w:color w:val="auto"/>
        </w:rPr>
        <w:t>Washington, D.C. 20549</w:t>
      </w:r>
    </w:p>
    <w:p>
      <w:pPr>
        <w:ind w:left="4767"/>
        <w:spacing w:after="0" w:line="227" w:lineRule="auto"/>
        <w:rPr>
          <w:sz w:val="20"/>
          <w:szCs w:val="20"/>
          <w:color w:val="auto"/>
        </w:rPr>
      </w:pPr>
      <w:r>
        <w:rPr>
          <w:rFonts w:ascii="Arial" w:cs="Arial" w:eastAsia="Arial" w:hAnsi="Arial"/>
          <w:sz w:val="12"/>
          <w:szCs w:val="12"/>
          <w:color w:val="auto"/>
        </w:rPr>
        <w:t>____________________________</w:t>
      </w:r>
    </w:p>
    <w:p>
      <w:pPr>
        <w:jc w:val="center"/>
        <w:ind w:right="-6"/>
        <w:spacing w:after="0" w:line="208" w:lineRule="auto"/>
        <w:rPr>
          <w:sz w:val="20"/>
          <w:szCs w:val="20"/>
          <w:color w:val="auto"/>
        </w:rPr>
      </w:pPr>
      <w:r>
        <w:rPr>
          <w:rFonts w:ascii="Arial" w:cs="Arial" w:eastAsia="Arial" w:hAnsi="Arial"/>
          <w:sz w:val="19"/>
          <w:szCs w:val="19"/>
          <w:b w:val="1"/>
          <w:bCs w:val="1"/>
          <w:color w:val="auto"/>
        </w:rPr>
        <w:t>FORM 10-K</w:t>
      </w:r>
    </w:p>
    <w:p>
      <w:pPr>
        <w:spacing w:after="0" w:line="1" w:lineRule="exact"/>
        <w:rPr>
          <w:sz w:val="24"/>
          <w:szCs w:val="24"/>
          <w:color w:val="auto"/>
        </w:rPr>
      </w:pPr>
    </w:p>
    <w:p>
      <w:pPr>
        <w:ind w:left="4547"/>
        <w:spacing w:after="0"/>
        <w:rPr>
          <w:sz w:val="20"/>
          <w:szCs w:val="20"/>
          <w:color w:val="auto"/>
        </w:rPr>
      </w:pPr>
      <w:r>
        <w:rPr>
          <w:rFonts w:ascii="Arial" w:cs="Arial" w:eastAsia="Arial" w:hAnsi="Arial"/>
          <w:sz w:val="15"/>
          <w:szCs w:val="15"/>
          <w:color w:val="auto"/>
        </w:rPr>
        <w:t>____________________________</w:t>
      </w:r>
    </w:p>
    <w:p>
      <w:pPr>
        <w:spacing w:after="0" w:line="4" w:lineRule="exact"/>
        <w:rPr>
          <w:sz w:val="24"/>
          <w:szCs w:val="24"/>
          <w:color w:val="auto"/>
        </w:rPr>
      </w:pPr>
    </w:p>
    <w:p>
      <w:pPr>
        <w:ind w:left="7"/>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7"/>
        <w:spacing w:after="0"/>
        <w:rPr>
          <w:sz w:val="20"/>
          <w:szCs w:val="20"/>
          <w:color w:val="auto"/>
        </w:rPr>
      </w:pPr>
      <w:r>
        <w:rPr>
          <w:rFonts w:ascii="Arial" w:cs="Arial" w:eastAsia="Arial" w:hAnsi="Arial"/>
          <w:sz w:val="14"/>
          <w:szCs w:val="14"/>
          <w:color w:val="auto"/>
        </w:rPr>
        <w:t xml:space="preserve">x </w:t>
      </w:r>
      <w:r>
        <w:rPr>
          <w:rFonts w:ascii="Arial" w:cs="Arial" w:eastAsia="Arial" w:hAnsi="Arial"/>
          <w:sz w:val="14"/>
          <w:szCs w:val="14"/>
          <w:b w:val="1"/>
          <w:bCs w:val="1"/>
          <w:color w:val="auto"/>
        </w:rPr>
        <w:t>ANNUAL REPORT PURSUANT TO SECTION 13 OR 15(d) OF THE SECURITIES EXCHANGE ACT OF 1934</w:t>
      </w:r>
    </w:p>
    <w:p>
      <w:pPr>
        <w:spacing w:after="0" w:line="90"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 xml:space="preserve">FOR THE FISCAL YEAR ENDED </w:t>
      </w:r>
      <w:r>
        <w:rPr>
          <w:rFonts w:ascii="Arial" w:cs="Arial" w:eastAsia="Arial" w:hAnsi="Arial"/>
          <w:sz w:val="15"/>
          <w:szCs w:val="15"/>
          <w:b w:val="1"/>
          <w:bCs w:val="1"/>
          <w:color w:val="auto"/>
        </w:rPr>
        <w:t>December 31, 2019</w:t>
      </w:r>
    </w:p>
    <w:p>
      <w:pPr>
        <w:spacing w:after="0" w:line="122" w:lineRule="exact"/>
        <w:rPr>
          <w:sz w:val="24"/>
          <w:szCs w:val="24"/>
          <w:color w:val="auto"/>
        </w:rPr>
      </w:pPr>
    </w:p>
    <w:p>
      <w:pPr>
        <w:ind w:left="4307" w:right="4020" w:hanging="4307"/>
        <w:spacing w:after="0" w:line="392" w:lineRule="auto"/>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COMMISSION FILE NUMBER: 814-00852</w:t>
      </w:r>
    </w:p>
    <w:p>
      <w:pPr>
        <w:spacing w:after="0" w:line="1" w:lineRule="exact"/>
        <w:rPr>
          <w:rFonts w:ascii="MS PGothic" w:cs="MS PGothic" w:eastAsia="MS PGothic" w:hAnsi="MS PGothic"/>
          <w:sz w:val="13"/>
          <w:szCs w:val="13"/>
          <w:color w:val="auto"/>
        </w:rPr>
      </w:pPr>
    </w:p>
    <w:p>
      <w:pPr>
        <w:ind w:left="4627"/>
        <w:spacing w:after="0"/>
        <w:rPr>
          <w:rFonts w:ascii="MS PGothic" w:cs="MS PGothic" w:eastAsia="MS PGothic" w:hAnsi="MS PGothic"/>
          <w:sz w:val="13"/>
          <w:szCs w:val="13"/>
          <w:color w:val="auto"/>
        </w:rPr>
      </w:pPr>
      <w:r>
        <w:rPr>
          <w:rFonts w:ascii="Arial" w:cs="Arial" w:eastAsia="Arial" w:hAnsi="Arial"/>
          <w:sz w:val="15"/>
          <w:szCs w:val="15"/>
          <w:color w:val="auto"/>
        </w:rPr>
        <w:t>__________________________</w:t>
      </w:r>
    </w:p>
    <w:p>
      <w:pPr>
        <w:spacing w:after="0" w:line="54"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Sutter Rock Capital Corp.</w:t>
      </w:r>
    </w:p>
    <w:p>
      <w:pPr>
        <w:spacing w:after="0" w:line="2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4547"/>
        <w:spacing w:after="0"/>
        <w:rPr>
          <w:sz w:val="20"/>
          <w:szCs w:val="20"/>
          <w:color w:val="auto"/>
        </w:rPr>
      </w:pPr>
      <w:r>
        <w:rPr>
          <w:rFonts w:ascii="Arial" w:cs="Arial" w:eastAsia="Arial" w:hAnsi="Arial"/>
          <w:sz w:val="15"/>
          <w:szCs w:val="15"/>
          <w:color w:val="auto"/>
        </w:rPr>
        <w:t>____________________________</w:t>
      </w:r>
    </w:p>
    <w:p>
      <w:pPr>
        <w:spacing w:after="0" w:line="127" w:lineRule="exact"/>
        <w:rPr>
          <w:sz w:val="24"/>
          <w:szCs w:val="24"/>
          <w:color w:val="auto"/>
        </w:rPr>
      </w:pPr>
    </w:p>
    <w:tbl>
      <w:tblPr>
        <w:tblLayout w:type="fixed"/>
        <w:tblInd w:w="7" w:type="dxa"/>
        <w:tblCellMar>
          <w:top w:w="0" w:type="dxa"/>
          <w:left w:w="0" w:type="dxa"/>
          <w:bottom w:w="0" w:type="dxa"/>
          <w:right w:w="0" w:type="dxa"/>
        </w:tblCellMar>
      </w:tblPr>
      <w:tr>
        <w:trPr>
          <w:trHeight w:val="182"/>
        </w:trPr>
        <w:tc>
          <w:tcPr>
            <w:tcW w:w="430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94"/>
              </w:rPr>
              <w:t>Maryland</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20" w:type="dxa"/>
            <w:vAlign w:val="bottom"/>
          </w:tcPr>
          <w:p>
            <w:pPr>
              <w:jc w:val="right"/>
              <w:ind w:right="2414"/>
              <w:spacing w:after="0"/>
              <w:rPr>
                <w:sz w:val="20"/>
                <w:szCs w:val="20"/>
                <w:color w:val="auto"/>
              </w:rPr>
            </w:pPr>
            <w:r>
              <w:rPr>
                <w:rFonts w:ascii="Arial" w:cs="Arial" w:eastAsia="Arial" w:hAnsi="Arial"/>
                <w:sz w:val="14"/>
                <w:szCs w:val="14"/>
                <w:b w:val="1"/>
                <w:bCs w:val="1"/>
                <w:color w:val="auto"/>
              </w:rPr>
              <w:t>27-4443543</w:t>
            </w:r>
          </w:p>
        </w:tc>
      </w:tr>
      <w:tr>
        <w:trPr>
          <w:trHeight w:val="191"/>
        </w:trPr>
        <w:tc>
          <w:tcPr>
            <w:tcW w:w="4300" w:type="dxa"/>
            <w:vAlign w:val="bottom"/>
            <w:gridSpan w:val="3"/>
          </w:tcPr>
          <w:p>
            <w:pPr>
              <w:jc w:val="center"/>
              <w:ind w:left="1234"/>
              <w:spacing w:after="0"/>
              <w:rPr>
                <w:sz w:val="20"/>
                <w:szCs w:val="20"/>
                <w:color w:val="auto"/>
              </w:rPr>
            </w:pPr>
            <w:r>
              <w:rPr>
                <w:rFonts w:ascii="Arial" w:cs="Arial" w:eastAsia="Arial" w:hAnsi="Arial"/>
                <w:sz w:val="12"/>
                <w:szCs w:val="12"/>
                <w:color w:val="auto"/>
                <w:w w:val="95"/>
              </w:rPr>
              <w:t>(State of incorporation)</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20" w:type="dxa"/>
            <w:vAlign w:val="bottom"/>
          </w:tcPr>
          <w:p>
            <w:pPr>
              <w:jc w:val="center"/>
              <w:ind w:right="1554"/>
              <w:spacing w:after="0"/>
              <w:rPr>
                <w:sz w:val="20"/>
                <w:szCs w:val="20"/>
                <w:color w:val="auto"/>
              </w:rPr>
            </w:pPr>
            <w:r>
              <w:rPr>
                <w:rFonts w:ascii="Arial" w:cs="Arial" w:eastAsia="Arial" w:hAnsi="Arial"/>
                <w:sz w:val="12"/>
                <w:szCs w:val="12"/>
                <w:color w:val="auto"/>
                <w:w w:val="97"/>
              </w:rPr>
              <w:t>(I.R.S. Employer Identification No.)</w:t>
            </w:r>
          </w:p>
        </w:tc>
      </w:tr>
      <w:tr>
        <w:trPr>
          <w:trHeight w:val="203"/>
        </w:trPr>
        <w:tc>
          <w:tcPr>
            <w:tcW w:w="430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88"/>
              </w:rPr>
              <w:t>One Sansome Street, Suite 730, San Francisco, CA</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tcPr>
          <w:p>
            <w:pPr>
              <w:jc w:val="right"/>
              <w:ind w:right="2574"/>
              <w:spacing w:after="0"/>
              <w:rPr>
                <w:sz w:val="20"/>
                <w:szCs w:val="20"/>
                <w:color w:val="auto"/>
              </w:rPr>
            </w:pPr>
            <w:r>
              <w:rPr>
                <w:rFonts w:ascii="Arial" w:cs="Arial" w:eastAsia="Arial" w:hAnsi="Arial"/>
                <w:sz w:val="14"/>
                <w:szCs w:val="14"/>
                <w:b w:val="1"/>
                <w:bCs w:val="1"/>
                <w:color w:val="auto"/>
              </w:rPr>
              <w:t>94104</w:t>
            </w:r>
          </w:p>
        </w:tc>
      </w:tr>
      <w:tr>
        <w:trPr>
          <w:trHeight w:val="191"/>
        </w:trPr>
        <w:tc>
          <w:tcPr>
            <w:tcW w:w="4300" w:type="dxa"/>
            <w:vAlign w:val="bottom"/>
            <w:gridSpan w:val="3"/>
          </w:tcPr>
          <w:p>
            <w:pPr>
              <w:jc w:val="center"/>
              <w:ind w:left="1234"/>
              <w:spacing w:after="0"/>
              <w:rPr>
                <w:sz w:val="20"/>
                <w:szCs w:val="20"/>
                <w:color w:val="auto"/>
              </w:rPr>
            </w:pPr>
            <w:r>
              <w:rPr>
                <w:rFonts w:ascii="Arial" w:cs="Arial" w:eastAsia="Arial" w:hAnsi="Arial"/>
                <w:sz w:val="12"/>
                <w:szCs w:val="12"/>
                <w:color w:val="auto"/>
                <w:w w:val="95"/>
              </w:rPr>
              <w:t>(Address of principal executive offices)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20" w:type="dxa"/>
            <w:vAlign w:val="bottom"/>
          </w:tcPr>
          <w:p>
            <w:pPr>
              <w:jc w:val="center"/>
              <w:ind w:right="1554"/>
              <w:spacing w:after="0"/>
              <w:rPr>
                <w:sz w:val="20"/>
                <w:szCs w:val="20"/>
                <w:color w:val="auto"/>
              </w:rPr>
            </w:pPr>
            <w:r>
              <w:rPr>
                <w:rFonts w:ascii="Arial" w:cs="Arial" w:eastAsia="Arial" w:hAnsi="Arial"/>
                <w:sz w:val="12"/>
                <w:szCs w:val="12"/>
                <w:color w:val="auto"/>
                <w:w w:val="98"/>
              </w:rPr>
              <w:t>(Zip Code)</w:t>
            </w:r>
          </w:p>
        </w:tc>
      </w:tr>
      <w:tr>
        <w:trPr>
          <w:trHeight w:val="308"/>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jc w:val="center"/>
              <w:ind w:left="114"/>
              <w:spacing w:after="0"/>
              <w:rPr>
                <w:sz w:val="20"/>
                <w:szCs w:val="20"/>
                <w:color w:val="auto"/>
              </w:rPr>
            </w:pPr>
            <w:r>
              <w:rPr>
                <w:rFonts w:ascii="Arial" w:cs="Arial" w:eastAsia="Arial" w:hAnsi="Arial"/>
                <w:sz w:val="14"/>
                <w:szCs w:val="14"/>
                <w:b w:val="1"/>
                <w:bCs w:val="1"/>
                <w:color w:val="auto"/>
                <w:w w:val="91"/>
              </w:rPr>
              <w:t>(650) 235-4769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3"/>
          </w:tcPr>
          <w:p>
            <w:pPr>
              <w:jc w:val="center"/>
              <w:ind w:right="280"/>
              <w:spacing w:after="0"/>
              <w:rPr>
                <w:sz w:val="20"/>
                <w:szCs w:val="20"/>
                <w:color w:val="auto"/>
              </w:rPr>
            </w:pPr>
            <w:r>
              <w:rPr>
                <w:rFonts w:ascii="Arial" w:cs="Arial" w:eastAsia="Arial" w:hAnsi="Arial"/>
                <w:sz w:val="12"/>
                <w:szCs w:val="12"/>
                <w:color w:val="auto"/>
                <w:w w:val="92"/>
              </w:rPr>
              <w:t>(Registrant’s telephone number, including area code)</w:t>
            </w:r>
          </w:p>
        </w:tc>
        <w:tc>
          <w:tcPr>
            <w:tcW w:w="4020" w:type="dxa"/>
            <w:vAlign w:val="bottom"/>
          </w:tcPr>
          <w:p>
            <w:pPr>
              <w:spacing w:after="0"/>
              <w:rPr>
                <w:sz w:val="16"/>
                <w:szCs w:val="16"/>
                <w:color w:val="auto"/>
              </w:rPr>
            </w:pPr>
          </w:p>
        </w:tc>
      </w:tr>
      <w:tr>
        <w:trPr>
          <w:trHeight w:val="203"/>
        </w:trPr>
        <w:tc>
          <w:tcPr>
            <w:tcW w:w="112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9"/>
              </w:rPr>
              <w:t>SECURITIES REGISTERED PURSUANT TO SECTION 12(b) OF THE ACT:</w:t>
            </w:r>
          </w:p>
        </w:tc>
      </w:tr>
      <w:tr>
        <w:trPr>
          <w:trHeight w:val="348"/>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Title of Each Class</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314"/>
              <w:spacing w:after="0"/>
              <w:rPr>
                <w:sz w:val="20"/>
                <w:szCs w:val="20"/>
                <w:color w:val="auto"/>
              </w:rPr>
            </w:pPr>
            <w:r>
              <w:rPr>
                <w:rFonts w:ascii="Arial" w:cs="Arial" w:eastAsia="Arial" w:hAnsi="Arial"/>
                <w:sz w:val="12"/>
                <w:szCs w:val="12"/>
                <w:b w:val="1"/>
                <w:bCs w:val="1"/>
                <w:color w:val="auto"/>
                <w:w w:val="93"/>
              </w:rPr>
              <w:t>Name of Each Exchange on Which Registered</w:t>
            </w:r>
          </w:p>
        </w:tc>
      </w:tr>
      <w:tr>
        <w:trPr>
          <w:trHeight w:val="201"/>
        </w:trPr>
        <w:tc>
          <w:tcPr>
            <w:tcW w:w="430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Common Stock, par value $0.01 per share</w:t>
            </w:r>
          </w:p>
        </w:tc>
        <w:tc>
          <w:tcPr>
            <w:tcW w:w="2940" w:type="dxa"/>
            <w:vAlign w:val="bottom"/>
            <w:gridSpan w:val="3"/>
          </w:tcPr>
          <w:p>
            <w:pPr>
              <w:jc w:val="center"/>
              <w:ind w:right="500"/>
              <w:spacing w:after="0"/>
              <w:rPr>
                <w:sz w:val="20"/>
                <w:szCs w:val="20"/>
                <w:color w:val="auto"/>
              </w:rPr>
            </w:pPr>
            <w:r>
              <w:rPr>
                <w:rFonts w:ascii="Arial" w:cs="Arial" w:eastAsia="Arial" w:hAnsi="Arial"/>
                <w:sz w:val="14"/>
                <w:szCs w:val="14"/>
                <w:color w:val="auto"/>
                <w:w w:val="85"/>
              </w:rPr>
              <w:t>SSSS</w:t>
            </w:r>
          </w:p>
        </w:tc>
        <w:tc>
          <w:tcPr>
            <w:tcW w:w="4020" w:type="dxa"/>
            <w:vAlign w:val="bottom"/>
          </w:tcPr>
          <w:p>
            <w:pPr>
              <w:jc w:val="center"/>
              <w:ind w:right="314"/>
              <w:spacing w:after="0"/>
              <w:rPr>
                <w:sz w:val="20"/>
                <w:szCs w:val="20"/>
                <w:color w:val="auto"/>
              </w:rPr>
            </w:pPr>
            <w:r>
              <w:rPr>
                <w:rFonts w:ascii="Arial" w:cs="Arial" w:eastAsia="Arial" w:hAnsi="Arial"/>
                <w:sz w:val="14"/>
                <w:szCs w:val="14"/>
                <w:color w:val="auto"/>
                <w:w w:val="89"/>
              </w:rPr>
              <w:t>Nasdaq Capital Market</w:t>
            </w:r>
          </w:p>
        </w:tc>
      </w:tr>
    </w:tbl>
    <w:p>
      <w:pPr>
        <w:spacing w:after="0" w:line="15" w:lineRule="exact"/>
        <w:rPr>
          <w:sz w:val="24"/>
          <w:szCs w:val="24"/>
          <w:color w:val="auto"/>
        </w:rPr>
      </w:pPr>
    </w:p>
    <w:p>
      <w:pPr>
        <w:ind w:left="3087"/>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8" w:lineRule="exact"/>
        <w:rPr>
          <w:sz w:val="24"/>
          <w:szCs w:val="24"/>
          <w:color w:val="auto"/>
        </w:rPr>
      </w:pPr>
    </w:p>
    <w:p>
      <w:pPr>
        <w:ind w:left="307" w:right="3580"/>
        <w:spacing w:after="0" w:line="282" w:lineRule="auto"/>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left="7" w:right="300" w:firstLine="302"/>
        <w:spacing w:after="0" w:line="24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o</w:t>
      </w:r>
    </w:p>
    <w:p>
      <w:pPr>
        <w:ind w:left="7" w:right="140" w:firstLine="302"/>
        <w:spacing w:after="0" w:line="260"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 w:lineRule="exact"/>
        <w:rPr>
          <w:sz w:val="24"/>
          <w:szCs w:val="24"/>
          <w:color w:val="auto"/>
        </w:rPr>
      </w:pPr>
    </w:p>
    <w:p>
      <w:pPr>
        <w:ind w:left="7" w:right="540" w:firstLine="302"/>
        <w:spacing w:after="0" w:line="242"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ind w:left="7" w:right="600" w:firstLine="302"/>
        <w:spacing w:after="0" w:line="28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7"/>
          </w:cols>
          <w:pgMar w:left="313" w:top="217" w:right="319" w:bottom="1440" w:gutter="0" w:footer="0" w:header="0"/>
        </w:sectPr>
      </w:pPr>
    </w:p>
    <w:p>
      <w:pPr>
        <w:spacing w:after="0" w:line="95" w:lineRule="exact"/>
        <w:rPr>
          <w:sz w:val="24"/>
          <w:szCs w:val="24"/>
          <w:color w:val="auto"/>
        </w:rPr>
      </w:pPr>
    </w:p>
    <w:p>
      <w:pPr>
        <w:ind w:left="307"/>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71" w:lineRule="exact"/>
        <w:rPr>
          <w:sz w:val="24"/>
          <w:szCs w:val="24"/>
          <w:color w:val="auto"/>
        </w:rPr>
      </w:pPr>
    </w:p>
    <w:p>
      <w:pPr>
        <w:sectPr>
          <w:pgSz w:w="11900" w:h="16838" w:orient="portrait"/>
          <w:cols w:equalWidth="0" w:num="2">
            <w:col w:w="7007" w:space="720"/>
            <w:col w:w="3540"/>
          </w:cols>
          <w:pgMar w:left="313" w:top="217" w:right="319" w:bottom="1440" w:gutter="0" w:footer="0" w:header="0"/>
          <w:type w:val="continuous"/>
        </w:sectPr>
      </w:pPr>
    </w:p>
    <w:p>
      <w:pPr>
        <w:ind w:left="307"/>
        <w:spacing w:after="0"/>
        <w:rPr>
          <w:sz w:val="20"/>
          <w:szCs w:val="20"/>
          <w:color w:val="auto"/>
        </w:rPr>
      </w:pPr>
      <w:r>
        <w:rPr>
          <w:rFonts w:ascii="Arial" w:cs="Arial" w:eastAsia="Arial" w:hAnsi="Arial"/>
          <w:sz w:val="12"/>
          <w:szCs w:val="12"/>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 o</w:t>
      </w:r>
    </w:p>
    <w:p>
      <w:pPr>
        <w:spacing w:after="0" w:line="83" w:lineRule="exact"/>
        <w:rPr>
          <w:sz w:val="24"/>
          <w:szCs w:val="24"/>
          <w:color w:val="auto"/>
        </w:rPr>
      </w:pPr>
    </w:p>
    <w:p>
      <w:pPr>
        <w:sectPr>
          <w:pgSz w:w="11900" w:h="16838" w:orient="portrait"/>
          <w:cols w:equalWidth="0" w:num="2">
            <w:col w:w="7007" w:space="720"/>
            <w:col w:w="3540"/>
          </w:cols>
          <w:pgMar w:left="313" w:top="217" w:right="319" w:bottom="1440" w:gutter="0" w:footer="0" w:header="0"/>
          <w:type w:val="continuous"/>
        </w:sectPr>
      </w:pPr>
    </w:p>
    <w:p>
      <w:pPr>
        <w:ind w:left="307"/>
        <w:spacing w:after="0"/>
        <w:rPr>
          <w:sz w:val="20"/>
          <w:szCs w:val="20"/>
          <w:color w:val="auto"/>
        </w:rPr>
      </w:pPr>
      <w:r>
        <w:rPr>
          <w:rFonts w:ascii="Arial" w:cs="Arial" w:eastAsia="Arial" w:hAnsi="Arial"/>
          <w:sz w:val="12"/>
          <w:szCs w:val="12"/>
          <w:color w:val="auto"/>
        </w:rPr>
        <w:t>Emerging growth company o</w:t>
      </w:r>
    </w:p>
    <w:p>
      <w:pPr>
        <w:sectPr>
          <w:pgSz w:w="11900" w:h="16838" w:orient="portrait"/>
          <w:cols w:equalWidth="0" w:num="1">
            <w:col w:w="11267"/>
          </w:cols>
          <w:pgMar w:left="313" w:top="217" w:right="319" w:bottom="1440" w:gutter="0" w:footer="0" w:header="0"/>
          <w:type w:val="continuous"/>
        </w:sectPr>
      </w:pPr>
    </w:p>
    <w:p>
      <w:pPr>
        <w:spacing w:after="0" w:line="59" w:lineRule="exact"/>
        <w:rPr>
          <w:sz w:val="24"/>
          <w:szCs w:val="24"/>
          <w:color w:val="auto"/>
        </w:rPr>
      </w:pPr>
    </w:p>
    <w:p>
      <w:pPr>
        <w:ind w:left="7" w:right="80" w:firstLine="302"/>
        <w:spacing w:after="0" w:line="25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7"/>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 NO x</w:t>
      </w:r>
    </w:p>
    <w:p>
      <w:pPr>
        <w:spacing w:after="0" w:line="2" w:lineRule="exact"/>
        <w:rPr>
          <w:sz w:val="24"/>
          <w:szCs w:val="24"/>
          <w:color w:val="auto"/>
        </w:rPr>
      </w:pPr>
    </w:p>
    <w:p>
      <w:pPr>
        <w:ind w:left="7" w:right="60" w:firstLine="302"/>
        <w:spacing w:after="0" w:line="242" w:lineRule="auto"/>
        <w:rPr>
          <w:sz w:val="20"/>
          <w:szCs w:val="20"/>
          <w:color w:val="auto"/>
        </w:rPr>
      </w:pPr>
      <w:r>
        <w:rPr>
          <w:rFonts w:ascii="Arial" w:cs="Arial" w:eastAsia="Arial" w:hAnsi="Arial"/>
          <w:sz w:val="14"/>
          <w:szCs w:val="14"/>
          <w:color w:val="auto"/>
        </w:rPr>
        <w:t>The aggregate market value of common stock beneficially owned by non-affiliates of the Registrant on June 28, 2019, based on the closing price on that date of $6.40 on the Nasdaq Capital Market, was $125,739,814. For the purposes of calculating this amount only, all interested directors and executive officers of the Registrant have been treated as affiliates. There were 17,326,632 shares of the Registrant’s common stock outstanding as of March 13, 2020.</w:t>
      </w:r>
    </w:p>
    <w:p>
      <w:pPr>
        <w:spacing w:after="0" w:line="1" w:lineRule="exact"/>
        <w:rPr>
          <w:sz w:val="24"/>
          <w:szCs w:val="24"/>
          <w:color w:val="auto"/>
        </w:rPr>
      </w:pPr>
    </w:p>
    <w:p>
      <w:pPr>
        <w:jc w:val="center"/>
        <w:ind w:right="13"/>
        <w:spacing w:after="0"/>
        <w:rPr>
          <w:sz w:val="20"/>
          <w:szCs w:val="20"/>
          <w:color w:val="auto"/>
        </w:rPr>
      </w:pPr>
      <w:r>
        <w:rPr>
          <w:rFonts w:ascii="Arial" w:cs="Arial" w:eastAsia="Arial" w:hAnsi="Arial"/>
          <w:sz w:val="14"/>
          <w:szCs w:val="14"/>
          <w:b w:val="1"/>
          <w:bCs w:val="1"/>
          <w:color w:val="auto"/>
        </w:rPr>
        <w:t>DOCUMENTS INCORPORATED BY REFERENCE</w:t>
      </w:r>
    </w:p>
    <w:p>
      <w:pPr>
        <w:spacing w:after="0" w:line="2" w:lineRule="exact"/>
        <w:rPr>
          <w:sz w:val="24"/>
          <w:szCs w:val="24"/>
          <w:color w:val="auto"/>
        </w:rPr>
      </w:pPr>
    </w:p>
    <w:p>
      <w:pPr>
        <w:ind w:left="7" w:right="120" w:firstLine="302"/>
        <w:spacing w:after="0" w:line="331" w:lineRule="auto"/>
        <w:rPr>
          <w:sz w:val="20"/>
          <w:szCs w:val="20"/>
          <w:color w:val="auto"/>
        </w:rPr>
      </w:pPr>
      <w:r>
        <w:rPr>
          <w:rFonts w:ascii="Arial" w:cs="Arial" w:eastAsia="Arial" w:hAnsi="Arial"/>
          <w:sz w:val="12"/>
          <w:szCs w:val="12"/>
          <w:color w:val="auto"/>
        </w:rPr>
        <w:t>Portions of the Registrant’s definitive proxy statement relating to the Registrant’s 2020 annual meeting of stockholders (the “2020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5137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71513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ectPr>
          <w:pgSz w:w="11900" w:h="16838" w:orient="portrait"/>
          <w:cols w:equalWidth="0" w:num="1">
            <w:col w:w="11267"/>
          </w:cols>
          <w:pgMar w:left="313" w:top="217" w:right="319" w:bottom="1440" w:gutter="0" w:footer="0" w:header="0"/>
          <w:type w:val="continuous"/>
        </w:sectPr>
      </w:pPr>
    </w:p>
    <w:bookmarkStart w:id="1" w:name="page2"/>
    <w:bookmarkEnd w:id="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60" w:type="dxa"/>
            <w:vAlign w:val="bottom"/>
            <w:gridSpan w:val="8"/>
          </w:tcPr>
          <w:p>
            <w:pPr>
              <w:jc w:val="center"/>
              <w:ind w:right="3340"/>
              <w:spacing w:after="0"/>
              <w:rPr>
                <w:sz w:val="20"/>
                <w:szCs w:val="20"/>
                <w:color w:val="auto"/>
              </w:rPr>
            </w:pPr>
            <w:r>
              <w:rPr>
                <w:rFonts w:ascii="Arial" w:cs="Arial" w:eastAsia="Arial" w:hAnsi="Arial"/>
                <w:sz w:val="15"/>
                <w:szCs w:val="15"/>
                <w:b w:val="1"/>
                <w:bCs w:val="1"/>
                <w:color w:val="auto"/>
              </w:rPr>
              <w:t>SUTTER ROCK CAPITAL CORP.</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gridSpan w:val="7"/>
          </w:tcPr>
          <w:p>
            <w:pPr>
              <w:jc w:val="center"/>
              <w:ind w:right="4000"/>
              <w:spacing w:after="0"/>
              <w:rPr>
                <w:sz w:val="20"/>
                <w:szCs w:val="20"/>
                <w:color w:val="auto"/>
              </w:rPr>
            </w:pPr>
            <w:r>
              <w:rPr>
                <w:rFonts w:ascii="Arial" w:cs="Arial" w:eastAsia="Arial" w:hAnsi="Arial"/>
                <w:sz w:val="15"/>
                <w:szCs w:val="15"/>
                <w:b w:val="1"/>
                <w:bCs w:val="1"/>
                <w:color w:val="auto"/>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PART I.</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w:t>
            </w:r>
          </w:p>
        </w:tc>
        <w:tc>
          <w:tcPr>
            <w:tcW w:w="9420" w:type="dxa"/>
            <w:vAlign w:val="bottom"/>
            <w:gridSpan w:val="20"/>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Business</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3">
              <w:r>
                <w:rPr>
                  <w:rFonts w:ascii="Arial" w:cs="Arial" w:eastAsia="Arial" w:hAnsi="Arial"/>
                  <w:sz w:val="15"/>
                  <w:szCs w:val="15"/>
                  <w:color w:val="0000EE"/>
                </w:rPr>
                <w:t>1</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1A.</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Risk Factors</w:t>
              </w:r>
            </w:hyperlink>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23">
              <w:r>
                <w:rPr>
                  <w:rFonts w:ascii="Arial" w:cs="Arial" w:eastAsia="Arial" w:hAnsi="Arial"/>
                  <w:sz w:val="15"/>
                  <w:szCs w:val="15"/>
                  <w:color w:val="0000EE"/>
                </w:rPr>
                <w:t>21</w:t>
              </w:r>
            </w:hyperlink>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1B.</w:t>
            </w:r>
          </w:p>
        </w:tc>
        <w:tc>
          <w:tcPr>
            <w:tcW w:w="9420" w:type="dxa"/>
            <w:vAlign w:val="bottom"/>
            <w:gridSpan w:val="20"/>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Unresolved Staff Comments</w:t>
              </w:r>
            </w:hyperlink>
          </w:p>
        </w:tc>
        <w:tc>
          <w:tcPr>
            <w:tcW w:w="620" w:type="dxa"/>
            <w:vAlign w:val="bottom"/>
            <w:gridSpan w:val="4"/>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2.</w:t>
            </w:r>
          </w:p>
        </w:tc>
        <w:tc>
          <w:tcPr>
            <w:tcW w:w="640" w:type="dxa"/>
            <w:vAlign w:val="bottom"/>
            <w:gridSpan w:val="2"/>
            <w:shd w:val="clear" w:color="auto" w:fill="CCEEFF"/>
          </w:tcPr>
          <w:p>
            <w:pPr>
              <w:spacing w:after="0"/>
              <w:rPr>
                <w:rFonts w:ascii="Arial" w:cs="Arial" w:eastAsia="Arial" w:hAnsi="Arial"/>
                <w:sz w:val="15"/>
                <w:szCs w:val="15"/>
                <w:color w:val="0000EE"/>
                <w:w w:val="90"/>
              </w:rPr>
            </w:pPr>
            <w:hyperlink w:anchor="page50">
              <w:r>
                <w:rPr>
                  <w:rFonts w:ascii="Arial" w:cs="Arial" w:eastAsia="Arial" w:hAnsi="Arial"/>
                  <w:sz w:val="15"/>
                  <w:szCs w:val="15"/>
                  <w:color w:val="0000EE"/>
                  <w:w w:val="90"/>
                </w:rPr>
                <w:t>Properties</w:t>
              </w:r>
            </w:hyperlink>
          </w:p>
        </w:tc>
        <w:tc>
          <w:tcPr>
            <w:tcW w:w="8780" w:type="dxa"/>
            <w:vAlign w:val="bottom"/>
            <w:gridSpan w:val="18"/>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48</w:t>
              </w:r>
            </w:hyperlink>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3.</w:t>
            </w:r>
          </w:p>
        </w:tc>
        <w:tc>
          <w:tcPr>
            <w:tcW w:w="9420" w:type="dxa"/>
            <w:vAlign w:val="bottom"/>
            <w:gridSpan w:val="20"/>
          </w:tcPr>
          <w:p>
            <w:pPr>
              <w:spacing w:after="0"/>
              <w:rPr>
                <w:rFonts w:ascii="Arial" w:cs="Arial" w:eastAsia="Arial" w:hAnsi="Arial"/>
                <w:sz w:val="15"/>
                <w:szCs w:val="15"/>
                <w:color w:val="0000EE"/>
              </w:rPr>
            </w:pPr>
            <w:hyperlink w:anchor="page50">
              <w:r>
                <w:rPr>
                  <w:rFonts w:ascii="Arial" w:cs="Arial" w:eastAsia="Arial" w:hAnsi="Arial"/>
                  <w:sz w:val="15"/>
                  <w:szCs w:val="15"/>
                  <w:color w:val="0000EE"/>
                </w:rPr>
                <w:t>Legal Proceedings</w:t>
              </w:r>
            </w:hyperlink>
          </w:p>
        </w:tc>
        <w:tc>
          <w:tcPr>
            <w:tcW w:w="620" w:type="dxa"/>
            <w:vAlign w:val="bottom"/>
            <w:gridSpan w:val="4"/>
          </w:tcPr>
          <w:p>
            <w:pPr>
              <w:jc w:val="right"/>
              <w:spacing w:after="0"/>
              <w:rPr>
                <w:rFonts w:ascii="Arial" w:cs="Arial" w:eastAsia="Arial" w:hAnsi="Arial"/>
                <w:sz w:val="15"/>
                <w:szCs w:val="15"/>
                <w:color w:val="0000EE"/>
              </w:rPr>
            </w:pPr>
            <w:hyperlink w:anchor="page50">
              <w:r>
                <w:rPr>
                  <w:rFonts w:ascii="Arial" w:cs="Arial" w:eastAsia="Arial" w:hAnsi="Arial"/>
                  <w:sz w:val="15"/>
                  <w:szCs w:val="15"/>
                  <w:color w:val="0000EE"/>
                </w:rPr>
                <w:t>48</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4.</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51">
              <w:r>
                <w:rPr>
                  <w:rFonts w:ascii="Arial" w:cs="Arial" w:eastAsia="Arial" w:hAnsi="Arial"/>
                  <w:sz w:val="15"/>
                  <w:szCs w:val="15"/>
                  <w:color w:val="0000EE"/>
                </w:rPr>
                <w:t>Mine Safety Disclosures</w:t>
              </w:r>
            </w:hyperlink>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51">
              <w:r>
                <w:rPr>
                  <w:rFonts w:ascii="Arial" w:cs="Arial" w:eastAsia="Arial" w:hAnsi="Arial"/>
                  <w:sz w:val="15"/>
                  <w:szCs w:val="15"/>
                  <w:color w:val="0000EE"/>
                </w:rPr>
                <w:t>49</w:t>
              </w:r>
            </w:hyperlink>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PART II.</w:t>
            </w:r>
          </w:p>
        </w:tc>
        <w:tc>
          <w:tcPr>
            <w:tcW w:w="5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24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5.</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52">
              <w:r>
                <w:rPr>
                  <w:rFonts w:ascii="Arial" w:cs="Arial" w:eastAsia="Arial" w:hAnsi="Arial"/>
                  <w:sz w:val="15"/>
                  <w:szCs w:val="15"/>
                  <w:color w:val="0000EE"/>
                </w:rPr>
                <w:t>Market for Registrant’s Common Equity, Related Stockholder Matters and Issuer Purchases of Equity Securities</w:t>
              </w:r>
            </w:hyperlink>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52">
              <w:r>
                <w:rPr>
                  <w:rFonts w:ascii="Arial" w:cs="Arial" w:eastAsia="Arial" w:hAnsi="Arial"/>
                  <w:sz w:val="15"/>
                  <w:szCs w:val="15"/>
                  <w:color w:val="0000EE"/>
                </w:rPr>
                <w:t>50</w:t>
              </w:r>
            </w:hyperlink>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94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6.</w:t>
            </w:r>
          </w:p>
        </w:tc>
        <w:tc>
          <w:tcPr>
            <w:tcW w:w="6940" w:type="dxa"/>
            <w:vAlign w:val="bottom"/>
            <w:gridSpan w:val="19"/>
          </w:tcPr>
          <w:p>
            <w:pPr>
              <w:spacing w:after="0"/>
              <w:rPr>
                <w:rFonts w:ascii="Arial" w:cs="Arial" w:eastAsia="Arial" w:hAnsi="Arial"/>
                <w:sz w:val="15"/>
                <w:szCs w:val="15"/>
                <w:color w:val="0000EE"/>
              </w:rPr>
            </w:pPr>
            <w:hyperlink w:anchor="page57">
              <w:r>
                <w:rPr>
                  <w:rFonts w:ascii="Arial" w:cs="Arial" w:eastAsia="Arial" w:hAnsi="Arial"/>
                  <w:sz w:val="15"/>
                  <w:szCs w:val="15"/>
                  <w:color w:val="0000EE"/>
                </w:rPr>
                <w:t>Selected Financial Data</w:t>
              </w:r>
            </w:hyperlink>
          </w:p>
        </w:tc>
        <w:tc>
          <w:tcPr>
            <w:tcW w:w="2480" w:type="dxa"/>
            <w:vAlign w:val="bottom"/>
          </w:tcPr>
          <w:p>
            <w:pPr>
              <w:spacing w:after="0"/>
              <w:rPr>
                <w:sz w:val="15"/>
                <w:szCs w:val="15"/>
                <w:color w:val="auto"/>
              </w:rPr>
            </w:pPr>
          </w:p>
        </w:tc>
        <w:tc>
          <w:tcPr>
            <w:tcW w:w="620" w:type="dxa"/>
            <w:vAlign w:val="bottom"/>
            <w:gridSpan w:val="4"/>
          </w:tcPr>
          <w:p>
            <w:pPr>
              <w:jc w:val="right"/>
              <w:spacing w:after="0"/>
              <w:rPr>
                <w:rFonts w:ascii="Arial" w:cs="Arial" w:eastAsia="Arial" w:hAnsi="Arial"/>
                <w:sz w:val="15"/>
                <w:szCs w:val="15"/>
                <w:color w:val="0000EE"/>
              </w:rPr>
            </w:pPr>
            <w:hyperlink w:anchor="page57">
              <w:r>
                <w:rPr>
                  <w:rFonts w:ascii="Arial" w:cs="Arial" w:eastAsia="Arial" w:hAnsi="Arial"/>
                  <w:sz w:val="15"/>
                  <w:szCs w:val="15"/>
                  <w:color w:val="0000EE"/>
                </w:rPr>
                <w:t>55</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7.</w:t>
            </w:r>
          </w:p>
        </w:tc>
        <w:tc>
          <w:tcPr>
            <w:tcW w:w="5560" w:type="dxa"/>
            <w:vAlign w:val="bottom"/>
            <w:gridSpan w:val="16"/>
            <w:shd w:val="clear" w:color="auto" w:fill="CCEEFF"/>
          </w:tcPr>
          <w:p>
            <w:pPr>
              <w:spacing w:after="0"/>
              <w:rPr>
                <w:rFonts w:ascii="Arial" w:cs="Arial" w:eastAsia="Arial" w:hAnsi="Arial"/>
                <w:sz w:val="15"/>
                <w:szCs w:val="15"/>
                <w:color w:val="0000EE"/>
                <w:w w:val="93"/>
              </w:rPr>
            </w:pPr>
            <w:hyperlink w:anchor="page58">
              <w:r>
                <w:rPr>
                  <w:rFonts w:ascii="Arial" w:cs="Arial" w:eastAsia="Arial" w:hAnsi="Arial"/>
                  <w:sz w:val="15"/>
                  <w:szCs w:val="15"/>
                  <w:color w:val="0000EE"/>
                  <w:w w:val="93"/>
                </w:rPr>
                <w:t>Management’s Discussion and Analysis of Financial Condition and Results of Operations</w:t>
              </w:r>
            </w:hyperlink>
          </w:p>
        </w:tc>
        <w:tc>
          <w:tcPr>
            <w:tcW w:w="3860" w:type="dxa"/>
            <w:vAlign w:val="bottom"/>
            <w:gridSpan w:val="4"/>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58">
              <w:r>
                <w:rPr>
                  <w:rFonts w:ascii="Arial" w:cs="Arial" w:eastAsia="Arial" w:hAnsi="Arial"/>
                  <w:sz w:val="15"/>
                  <w:szCs w:val="15"/>
                  <w:color w:val="0000EE"/>
                </w:rPr>
                <w:t>56</w:t>
              </w:r>
            </w:hyperlink>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94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7A.</w:t>
            </w:r>
          </w:p>
        </w:tc>
        <w:tc>
          <w:tcPr>
            <w:tcW w:w="5560" w:type="dxa"/>
            <w:vAlign w:val="bottom"/>
            <w:gridSpan w:val="16"/>
          </w:tcPr>
          <w:p>
            <w:pPr>
              <w:spacing w:after="0"/>
              <w:rPr>
                <w:rFonts w:ascii="Arial" w:cs="Arial" w:eastAsia="Arial" w:hAnsi="Arial"/>
                <w:sz w:val="15"/>
                <w:szCs w:val="15"/>
                <w:color w:val="0000EE"/>
              </w:rPr>
            </w:pPr>
            <w:hyperlink w:anchor="page73">
              <w:r>
                <w:rPr>
                  <w:rFonts w:ascii="Arial" w:cs="Arial" w:eastAsia="Arial" w:hAnsi="Arial"/>
                  <w:sz w:val="15"/>
                  <w:szCs w:val="15"/>
                  <w:color w:val="0000EE"/>
                </w:rPr>
                <w:t>Quantitative and Qualitative Disclosures About Market Risk</w:t>
              </w:r>
            </w:hyperlink>
          </w:p>
        </w:tc>
        <w:tc>
          <w:tcPr>
            <w:tcW w:w="3860" w:type="dxa"/>
            <w:vAlign w:val="bottom"/>
            <w:gridSpan w:val="4"/>
          </w:tcPr>
          <w:p>
            <w:pPr>
              <w:spacing w:after="0"/>
              <w:rPr>
                <w:sz w:val="15"/>
                <w:szCs w:val="15"/>
                <w:color w:val="auto"/>
              </w:rPr>
            </w:pPr>
          </w:p>
        </w:tc>
        <w:tc>
          <w:tcPr>
            <w:tcW w:w="620" w:type="dxa"/>
            <w:vAlign w:val="bottom"/>
            <w:gridSpan w:val="4"/>
          </w:tcPr>
          <w:p>
            <w:pPr>
              <w:jc w:val="right"/>
              <w:spacing w:after="0"/>
              <w:rPr>
                <w:rFonts w:ascii="Arial" w:cs="Arial" w:eastAsia="Arial" w:hAnsi="Arial"/>
                <w:sz w:val="15"/>
                <w:szCs w:val="15"/>
                <w:color w:val="0000EE"/>
              </w:rPr>
            </w:pPr>
            <w:hyperlink w:anchor="page73">
              <w:r>
                <w:rPr>
                  <w:rFonts w:ascii="Arial" w:cs="Arial" w:eastAsia="Arial" w:hAnsi="Arial"/>
                  <w:sz w:val="15"/>
                  <w:szCs w:val="15"/>
                  <w:color w:val="0000EE"/>
                </w:rPr>
                <w:t>71</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8.</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74">
              <w:r>
                <w:rPr>
                  <w:rFonts w:ascii="Arial" w:cs="Arial" w:eastAsia="Arial" w:hAnsi="Arial"/>
                  <w:sz w:val="15"/>
                  <w:szCs w:val="15"/>
                  <w:color w:val="0000EE"/>
                </w:rPr>
                <w:t>Financial Statements and Supplementary Data</w:t>
              </w:r>
            </w:hyperlink>
          </w:p>
        </w:tc>
        <w:tc>
          <w:tcPr>
            <w:tcW w:w="620" w:type="dxa"/>
            <w:vAlign w:val="bottom"/>
            <w:gridSpan w:val="4"/>
            <w:shd w:val="clear" w:color="auto" w:fill="CCEEFF"/>
          </w:tcPr>
          <w:p>
            <w:pPr>
              <w:jc w:val="right"/>
              <w:spacing w:after="0"/>
              <w:rPr>
                <w:rFonts w:ascii="Arial" w:cs="Arial" w:eastAsia="Arial" w:hAnsi="Arial"/>
                <w:sz w:val="15"/>
                <w:szCs w:val="15"/>
                <w:color w:val="0000EE"/>
              </w:rPr>
            </w:pPr>
            <w:hyperlink w:anchor="page74">
              <w:r>
                <w:rPr>
                  <w:rFonts w:ascii="Arial" w:cs="Arial" w:eastAsia="Arial" w:hAnsi="Arial"/>
                  <w:sz w:val="15"/>
                  <w:szCs w:val="15"/>
                  <w:color w:val="0000EE"/>
                </w:rPr>
                <w:t>72</w:t>
              </w:r>
            </w:hyperlink>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9.</w:t>
            </w:r>
          </w:p>
        </w:tc>
        <w:tc>
          <w:tcPr>
            <w:tcW w:w="9420" w:type="dxa"/>
            <w:vAlign w:val="bottom"/>
            <w:gridSpan w:val="20"/>
          </w:tcPr>
          <w:p>
            <w:pPr>
              <w:spacing w:after="0"/>
              <w:rPr>
                <w:rFonts w:ascii="Arial" w:cs="Arial" w:eastAsia="Arial" w:hAnsi="Arial"/>
                <w:sz w:val="15"/>
                <w:szCs w:val="15"/>
                <w:color w:val="0000EE"/>
              </w:rPr>
            </w:pPr>
            <w:hyperlink w:anchor="page137">
              <w:r>
                <w:rPr>
                  <w:rFonts w:ascii="Arial" w:cs="Arial" w:eastAsia="Arial" w:hAnsi="Arial"/>
                  <w:sz w:val="15"/>
                  <w:szCs w:val="15"/>
                  <w:color w:val="0000EE"/>
                </w:rPr>
                <w:t>Changes in and Disagreements with Accountants on Accounting and Financial Disclosure</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137">
              <w:r>
                <w:rPr>
                  <w:rFonts w:ascii="Arial" w:cs="Arial" w:eastAsia="Arial" w:hAnsi="Arial"/>
                  <w:sz w:val="15"/>
                  <w:szCs w:val="15"/>
                  <w:color w:val="0000EE"/>
                </w:rPr>
                <w:t>135</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9A.</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137">
              <w:r>
                <w:rPr>
                  <w:rFonts w:ascii="Arial" w:cs="Arial" w:eastAsia="Arial" w:hAnsi="Arial"/>
                  <w:sz w:val="15"/>
                  <w:szCs w:val="15"/>
                  <w:color w:val="0000EE"/>
                </w:rPr>
                <w:t>Controls and Procedures</w:t>
              </w:r>
            </w:hyperlink>
          </w:p>
        </w:tc>
        <w:tc>
          <w:tcPr>
            <w:tcW w:w="660" w:type="dxa"/>
            <w:vAlign w:val="bottom"/>
            <w:gridSpan w:val="5"/>
            <w:shd w:val="clear" w:color="auto" w:fill="CCEEFF"/>
          </w:tcPr>
          <w:p>
            <w:pPr>
              <w:jc w:val="right"/>
              <w:ind w:right="40"/>
              <w:spacing w:after="0"/>
              <w:rPr>
                <w:rFonts w:ascii="Arial" w:cs="Arial" w:eastAsia="Arial" w:hAnsi="Arial"/>
                <w:sz w:val="15"/>
                <w:szCs w:val="15"/>
                <w:color w:val="0000EE"/>
              </w:rPr>
            </w:pPr>
            <w:hyperlink w:anchor="page137">
              <w:r>
                <w:rPr>
                  <w:rFonts w:ascii="Arial" w:cs="Arial" w:eastAsia="Arial" w:hAnsi="Arial"/>
                  <w:sz w:val="15"/>
                  <w:szCs w:val="15"/>
                  <w:color w:val="0000EE"/>
                </w:rPr>
                <w:t>135</w:t>
              </w:r>
            </w:hyperlink>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9B.</w:t>
            </w:r>
          </w:p>
        </w:tc>
        <w:tc>
          <w:tcPr>
            <w:tcW w:w="1520" w:type="dxa"/>
            <w:vAlign w:val="bottom"/>
            <w:gridSpan w:val="7"/>
          </w:tcPr>
          <w:p>
            <w:pPr>
              <w:spacing w:after="0"/>
              <w:rPr>
                <w:rFonts w:ascii="Arial" w:cs="Arial" w:eastAsia="Arial" w:hAnsi="Arial"/>
                <w:sz w:val="15"/>
                <w:szCs w:val="15"/>
                <w:color w:val="0000EE"/>
              </w:rPr>
            </w:pPr>
            <w:hyperlink w:anchor="page138">
              <w:r>
                <w:rPr>
                  <w:rFonts w:ascii="Arial" w:cs="Arial" w:eastAsia="Arial" w:hAnsi="Arial"/>
                  <w:sz w:val="15"/>
                  <w:szCs w:val="15"/>
                  <w:color w:val="0000EE"/>
                </w:rPr>
                <w:t>Other Information</w:t>
              </w:r>
            </w:hyperlink>
          </w:p>
        </w:tc>
        <w:tc>
          <w:tcPr>
            <w:tcW w:w="7900" w:type="dxa"/>
            <w:vAlign w:val="bottom"/>
            <w:gridSpan w:val="13"/>
          </w:tcPr>
          <w:p>
            <w:pPr>
              <w:spacing w:after="0"/>
              <w:rPr>
                <w:sz w:val="15"/>
                <w:szCs w:val="15"/>
                <w:color w:val="auto"/>
              </w:rPr>
            </w:pPr>
          </w:p>
        </w:tc>
        <w:tc>
          <w:tcPr>
            <w:tcW w:w="660" w:type="dxa"/>
            <w:vAlign w:val="bottom"/>
            <w:gridSpan w:val="5"/>
          </w:tcPr>
          <w:p>
            <w:pPr>
              <w:jc w:val="right"/>
              <w:ind w:right="40"/>
              <w:spacing w:after="0"/>
              <w:rPr>
                <w:rFonts w:ascii="Arial" w:cs="Arial" w:eastAsia="Arial" w:hAnsi="Arial"/>
                <w:sz w:val="15"/>
                <w:szCs w:val="15"/>
                <w:color w:val="0000EE"/>
              </w:rPr>
            </w:pPr>
            <w:hyperlink w:anchor="page138">
              <w:r>
                <w:rPr>
                  <w:rFonts w:ascii="Arial" w:cs="Arial" w:eastAsia="Arial" w:hAnsi="Arial"/>
                  <w:sz w:val="15"/>
                  <w:szCs w:val="15"/>
                  <w:color w:val="0000EE"/>
                </w:rPr>
                <w:t>136</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PART III.</w:t>
            </w: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10.</w:t>
            </w:r>
          </w:p>
        </w:tc>
        <w:tc>
          <w:tcPr>
            <w:tcW w:w="9420" w:type="dxa"/>
            <w:vAlign w:val="bottom"/>
            <w:gridSpan w:val="20"/>
          </w:tcPr>
          <w:p>
            <w:pPr>
              <w:spacing w:after="0"/>
              <w:rPr>
                <w:rFonts w:ascii="Arial" w:cs="Arial" w:eastAsia="Arial" w:hAnsi="Arial"/>
                <w:sz w:val="15"/>
                <w:szCs w:val="15"/>
                <w:color w:val="0000EE"/>
              </w:rPr>
            </w:pPr>
            <w:hyperlink w:anchor="page139">
              <w:r>
                <w:rPr>
                  <w:rFonts w:ascii="Arial" w:cs="Arial" w:eastAsia="Arial" w:hAnsi="Arial"/>
                  <w:sz w:val="15"/>
                  <w:szCs w:val="15"/>
                  <w:color w:val="0000EE"/>
                </w:rPr>
                <w:t>Directors, Executive Officers and Corporate Governance</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139">
              <w:r>
                <w:rPr>
                  <w:rFonts w:ascii="Arial" w:cs="Arial" w:eastAsia="Arial" w:hAnsi="Arial"/>
                  <w:sz w:val="15"/>
                  <w:szCs w:val="15"/>
                  <w:color w:val="0000EE"/>
                </w:rPr>
                <w:t>137</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Item 11.</w:t>
            </w:r>
          </w:p>
        </w:tc>
        <w:tc>
          <w:tcPr>
            <w:tcW w:w="1560" w:type="dxa"/>
            <w:vAlign w:val="bottom"/>
            <w:gridSpan w:val="8"/>
            <w:shd w:val="clear" w:color="auto" w:fill="CCEEFF"/>
          </w:tcPr>
          <w:p>
            <w:pPr>
              <w:spacing w:after="0"/>
              <w:rPr>
                <w:rFonts w:ascii="Arial" w:cs="Arial" w:eastAsia="Arial" w:hAnsi="Arial"/>
                <w:sz w:val="15"/>
                <w:szCs w:val="15"/>
                <w:color w:val="0000EE"/>
                <w:w w:val="92"/>
              </w:rPr>
            </w:pPr>
            <w:hyperlink w:anchor="page140">
              <w:r>
                <w:rPr>
                  <w:rFonts w:ascii="Arial" w:cs="Arial" w:eastAsia="Arial" w:hAnsi="Arial"/>
                  <w:sz w:val="15"/>
                  <w:szCs w:val="15"/>
                  <w:color w:val="0000EE"/>
                  <w:w w:val="92"/>
                </w:rPr>
                <w:t>Executive Compensation</w:t>
              </w:r>
            </w:hyperlink>
          </w:p>
        </w:tc>
        <w:tc>
          <w:tcPr>
            <w:tcW w:w="7860" w:type="dxa"/>
            <w:vAlign w:val="bottom"/>
            <w:gridSpan w:val="12"/>
            <w:shd w:val="clear" w:color="auto" w:fill="CCEEFF"/>
          </w:tcPr>
          <w:p>
            <w:pPr>
              <w:spacing w:after="0"/>
              <w:rPr>
                <w:sz w:val="15"/>
                <w:szCs w:val="15"/>
                <w:color w:val="auto"/>
              </w:rPr>
            </w:pPr>
          </w:p>
        </w:tc>
        <w:tc>
          <w:tcPr>
            <w:tcW w:w="660" w:type="dxa"/>
            <w:vAlign w:val="bottom"/>
            <w:gridSpan w:val="5"/>
            <w:shd w:val="clear" w:color="auto" w:fill="CCEEFF"/>
          </w:tcPr>
          <w:p>
            <w:pPr>
              <w:jc w:val="right"/>
              <w:ind w:right="40"/>
              <w:spacing w:after="0"/>
              <w:rPr>
                <w:rFonts w:ascii="Arial" w:cs="Arial" w:eastAsia="Arial" w:hAnsi="Arial"/>
                <w:sz w:val="15"/>
                <w:szCs w:val="15"/>
                <w:color w:val="0000EE"/>
              </w:rPr>
            </w:pPr>
            <w:hyperlink w:anchor="page140">
              <w:r>
                <w:rPr>
                  <w:rFonts w:ascii="Arial" w:cs="Arial" w:eastAsia="Arial" w:hAnsi="Arial"/>
                  <w:sz w:val="15"/>
                  <w:szCs w:val="15"/>
                  <w:color w:val="0000EE"/>
                </w:rPr>
                <w:t>138</w:t>
              </w:r>
            </w:hyperlink>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12.</w:t>
            </w:r>
          </w:p>
        </w:tc>
        <w:tc>
          <w:tcPr>
            <w:tcW w:w="9420" w:type="dxa"/>
            <w:vAlign w:val="bottom"/>
            <w:gridSpan w:val="20"/>
          </w:tcPr>
          <w:p>
            <w:pPr>
              <w:spacing w:after="0"/>
              <w:rPr>
                <w:rFonts w:ascii="Arial" w:cs="Arial" w:eastAsia="Arial" w:hAnsi="Arial"/>
                <w:sz w:val="15"/>
                <w:szCs w:val="15"/>
                <w:color w:val="0000EE"/>
              </w:rPr>
            </w:pPr>
            <w:hyperlink w:anchor="page140">
              <w:r>
                <w:rPr>
                  <w:rFonts w:ascii="Arial" w:cs="Arial" w:eastAsia="Arial" w:hAnsi="Arial"/>
                  <w:sz w:val="15"/>
                  <w:szCs w:val="15"/>
                  <w:color w:val="0000EE"/>
                </w:rPr>
                <w:t>Security Ownership of Certain Beneficial Owners and Management and Related Stockholder Matters</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140">
              <w:r>
                <w:rPr>
                  <w:rFonts w:ascii="Arial" w:cs="Arial" w:eastAsia="Arial" w:hAnsi="Arial"/>
                  <w:sz w:val="15"/>
                  <w:szCs w:val="15"/>
                  <w:color w:val="0000EE"/>
                </w:rPr>
                <w:t>138</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Item 13.</w:t>
            </w:r>
          </w:p>
        </w:tc>
        <w:tc>
          <w:tcPr>
            <w:tcW w:w="9420" w:type="dxa"/>
            <w:vAlign w:val="bottom"/>
            <w:gridSpan w:val="20"/>
            <w:shd w:val="clear" w:color="auto" w:fill="CCEEFF"/>
          </w:tcPr>
          <w:p>
            <w:pPr>
              <w:spacing w:after="0"/>
              <w:rPr>
                <w:rFonts w:ascii="Arial" w:cs="Arial" w:eastAsia="Arial" w:hAnsi="Arial"/>
                <w:sz w:val="15"/>
                <w:szCs w:val="15"/>
                <w:color w:val="0000EE"/>
              </w:rPr>
            </w:pPr>
            <w:hyperlink w:anchor="page140">
              <w:r>
                <w:rPr>
                  <w:rFonts w:ascii="Arial" w:cs="Arial" w:eastAsia="Arial" w:hAnsi="Arial"/>
                  <w:sz w:val="15"/>
                  <w:szCs w:val="15"/>
                  <w:color w:val="0000EE"/>
                </w:rPr>
                <w:t>Certain Relationships and Related Transactions, and Director Independence</w:t>
              </w:r>
            </w:hyperlink>
          </w:p>
        </w:tc>
        <w:tc>
          <w:tcPr>
            <w:tcW w:w="660" w:type="dxa"/>
            <w:vAlign w:val="bottom"/>
            <w:gridSpan w:val="5"/>
            <w:vMerge w:val="restart"/>
            <w:shd w:val="clear" w:color="auto" w:fill="CCEEFF"/>
          </w:tcPr>
          <w:p>
            <w:pPr>
              <w:jc w:val="right"/>
              <w:ind w:right="40"/>
              <w:spacing w:after="0"/>
              <w:rPr>
                <w:rFonts w:ascii="Arial" w:cs="Arial" w:eastAsia="Arial" w:hAnsi="Arial"/>
                <w:sz w:val="15"/>
                <w:szCs w:val="15"/>
                <w:color w:val="0000EE"/>
              </w:rPr>
            </w:pPr>
            <w:hyperlink w:anchor="page140">
              <w:r>
                <w:rPr>
                  <w:rFonts w:ascii="Arial" w:cs="Arial" w:eastAsia="Arial" w:hAnsi="Arial"/>
                  <w:sz w:val="15"/>
                  <w:szCs w:val="15"/>
                  <w:color w:val="0000EE"/>
                </w:rPr>
                <w:t>138</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gridSpan w:val="2"/>
            <w:vMerge w:val="continue"/>
            <w:shd w:val="clear" w:color="auto" w:fill="CCEEFF"/>
          </w:tcPr>
          <w:p>
            <w:pPr>
              <w:spacing w:after="0"/>
              <w:rPr>
                <w:sz w:val="14"/>
                <w:szCs w:val="14"/>
                <w:color w:val="auto"/>
              </w:rPr>
            </w:pPr>
          </w:p>
        </w:tc>
        <w:tc>
          <w:tcPr>
            <w:tcW w:w="5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36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72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66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940" w:type="dxa"/>
            <w:vAlign w:val="bottom"/>
            <w:tcBorders>
              <w:top w:val="single" w:sz="8" w:color="0000EE"/>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gridSpan w:val="5"/>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14.</w:t>
            </w:r>
          </w:p>
        </w:tc>
        <w:tc>
          <w:tcPr>
            <w:tcW w:w="9420" w:type="dxa"/>
            <w:vAlign w:val="bottom"/>
            <w:gridSpan w:val="20"/>
          </w:tcPr>
          <w:p>
            <w:pPr>
              <w:spacing w:after="0"/>
              <w:rPr>
                <w:rFonts w:ascii="Arial" w:cs="Arial" w:eastAsia="Arial" w:hAnsi="Arial"/>
                <w:sz w:val="15"/>
                <w:szCs w:val="15"/>
                <w:color w:val="0000EE"/>
              </w:rPr>
            </w:pPr>
            <w:hyperlink w:anchor="page140">
              <w:r>
                <w:rPr>
                  <w:rFonts w:ascii="Arial" w:cs="Arial" w:eastAsia="Arial" w:hAnsi="Arial"/>
                  <w:sz w:val="15"/>
                  <w:szCs w:val="15"/>
                  <w:color w:val="0000EE"/>
                </w:rPr>
                <w:t>Principal Accounting Fees and Services</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140">
              <w:r>
                <w:rPr>
                  <w:rFonts w:ascii="Arial" w:cs="Arial" w:eastAsia="Arial" w:hAnsi="Arial"/>
                  <w:sz w:val="15"/>
                  <w:szCs w:val="15"/>
                  <w:color w:val="0000EE"/>
                </w:rPr>
                <w:t>138</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PART IV.</w:t>
            </w: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color w:val="auto"/>
              </w:rPr>
              <w:t>Item 15.</w:t>
            </w:r>
          </w:p>
        </w:tc>
        <w:tc>
          <w:tcPr>
            <w:tcW w:w="9420" w:type="dxa"/>
            <w:vAlign w:val="bottom"/>
            <w:gridSpan w:val="20"/>
          </w:tcPr>
          <w:p>
            <w:pPr>
              <w:spacing w:after="0"/>
              <w:rPr>
                <w:rFonts w:ascii="Arial" w:cs="Arial" w:eastAsia="Arial" w:hAnsi="Arial"/>
                <w:sz w:val="15"/>
                <w:szCs w:val="15"/>
                <w:color w:val="0000EE"/>
              </w:rPr>
            </w:pPr>
            <w:hyperlink w:anchor="page141">
              <w:r>
                <w:rPr>
                  <w:rFonts w:ascii="Arial" w:cs="Arial" w:eastAsia="Arial" w:hAnsi="Arial"/>
                  <w:sz w:val="15"/>
                  <w:szCs w:val="15"/>
                  <w:color w:val="0000EE"/>
                </w:rPr>
                <w:t>Exhibits and Financial Statement Schedules</w:t>
              </w:r>
            </w:hyperlink>
          </w:p>
        </w:tc>
        <w:tc>
          <w:tcPr>
            <w:tcW w:w="660" w:type="dxa"/>
            <w:vAlign w:val="bottom"/>
            <w:gridSpan w:val="5"/>
          </w:tcPr>
          <w:p>
            <w:pPr>
              <w:jc w:val="right"/>
              <w:ind w:right="40"/>
              <w:spacing w:after="0"/>
              <w:rPr>
                <w:rFonts w:ascii="Arial" w:cs="Arial" w:eastAsia="Arial" w:hAnsi="Arial"/>
                <w:sz w:val="15"/>
                <w:szCs w:val="15"/>
                <w:color w:val="0000EE"/>
              </w:rPr>
            </w:pPr>
            <w:hyperlink w:anchor="page141">
              <w:r>
                <w:rPr>
                  <w:rFonts w:ascii="Arial" w:cs="Arial" w:eastAsia="Arial" w:hAnsi="Arial"/>
                  <w:sz w:val="15"/>
                  <w:szCs w:val="15"/>
                  <w:color w:val="0000EE"/>
                </w:rPr>
                <w:t>139</w:t>
              </w:r>
            </w:hyperlink>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rFonts w:ascii="Arial" w:cs="Arial" w:eastAsia="Arial" w:hAnsi="Arial"/>
                <w:sz w:val="15"/>
                <w:szCs w:val="15"/>
                <w:color w:val="0000EE"/>
              </w:rPr>
            </w:pPr>
            <w:hyperlink w:anchor="page143">
              <w:r>
                <w:rPr>
                  <w:rFonts w:ascii="Arial" w:cs="Arial" w:eastAsia="Arial" w:hAnsi="Arial"/>
                  <w:sz w:val="15"/>
                  <w:szCs w:val="15"/>
                  <w:color w:val="0000EE"/>
                </w:rPr>
                <w:t>Signatures</w:t>
              </w:r>
            </w:hyperlink>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40"/>
              <w:spacing w:after="0"/>
              <w:rPr>
                <w:rFonts w:ascii="Arial" w:cs="Arial" w:eastAsia="Arial" w:hAnsi="Arial"/>
                <w:sz w:val="15"/>
                <w:szCs w:val="15"/>
                <w:color w:val="0000EE"/>
              </w:rPr>
            </w:pPr>
            <w:hyperlink w:anchor="page143">
              <w:r>
                <w:rPr>
                  <w:rFonts w:ascii="Arial" w:cs="Arial" w:eastAsia="Arial" w:hAnsi="Arial"/>
                  <w:sz w:val="15"/>
                  <w:szCs w:val="15"/>
                  <w:color w:val="0000EE"/>
                </w:rPr>
                <w:t>141</w:t>
              </w:r>
            </w:hyperlink>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-448945</wp:posOffset>
            </wp:positionV>
            <wp:extent cx="67017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1790" cy="76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-1459230</wp:posOffset>
            </wp:positionV>
            <wp:extent cx="67017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1790" cy="76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-3832860</wp:posOffset>
            </wp:positionV>
            <wp:extent cx="67017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1790" cy="762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240"/>
          </w:cols>
          <w:pgMar w:left="320" w:top="124" w:right="339" w:bottom="1440" w:gutter="0" w:footer="0" w:header="0"/>
        </w:sectPr>
      </w:pPr>
    </w:p>
    <w:bookmarkStart w:id="2" w:name="page3"/>
    <w:bookmarkEnd w:id="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Sutter Rock Capital</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Sutter Rock Capital Corp. ("we", "us", "our", “Company” or “Sutter Rock Capital”), formerly known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6"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See "— Internalization of Operating Structure" and "Note 3 — Related-Party Arrangements" to our consolidated financial statements for the year ended December 31, 2019 for more information.</w:t>
      </w:r>
    </w:p>
    <w:p>
      <w:pPr>
        <w:spacing w:after="0" w:line="158"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Company’s date of inception was January 6, 2011, which is the date it commenced its development stage activities, and it commenced operations as a BDC upon completion of its initial public offering (“IPO”) in May 2011. The Company’s common stock is currently listed on the Nasdaq Capital Market under the symbol “SSSS” (formerly "GSVC"). The Company began its investment operations during the second quarter of 2011. See “Management’s Discussion and Analysis of Financial Condition and Results of Operations” in Part II, Item 7 of this Form 10-K.</w:t>
      </w:r>
    </w:p>
    <w:p>
      <w:pPr>
        <w:spacing w:after="0" w:line="156"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w:t>
      </w:r>
    </w:p>
    <w:p>
      <w:pPr>
        <w:spacing w:after="0" w:line="156"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5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seek to create a low-turnover portfolio that includes investments in companies representing a broad range of investment themes.</w:t>
      </w:r>
    </w:p>
    <w:p>
      <w:pPr>
        <w:spacing w:after="0" w:line="19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Our common stock is traded on the Nasdaq Capital Market under the symbol “SSSS”. The net asset value per share of our common stock on December 31, 2019 was $11.38. On March 11, 2020, the last reported sale price of a share of our common stock on the Nasdaq Capital Market was $6.06.</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60"/>
          </w:cols>
          <w:pgMar w:left="320" w:top="124" w:right="319" w:bottom="1440" w:gutter="0" w:footer="0" w:header="0"/>
        </w:sectPr>
      </w:pPr>
    </w:p>
    <w:bookmarkStart w:id="3" w:name="page4"/>
    <w:bookmarkEnd w:id="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Internalization of Operating Structure</w:t>
      </w:r>
    </w:p>
    <w:p>
      <w:pPr>
        <w:spacing w:after="0" w:line="205" w:lineRule="exact"/>
        <w:rPr>
          <w:sz w:val="20"/>
          <w:szCs w:val="20"/>
          <w:color w:val="auto"/>
        </w:rPr>
      </w:pPr>
    </w:p>
    <w:p>
      <w:pPr>
        <w:jc w:val="both"/>
        <w:ind w:right="20" w:firstLine="348"/>
        <w:spacing w:after="0" w:line="291" w:lineRule="auto"/>
        <w:rPr>
          <w:sz w:val="20"/>
          <w:szCs w:val="20"/>
          <w:color w:val="auto"/>
        </w:rPr>
      </w:pPr>
      <w:r>
        <w:rPr>
          <w:rFonts w:ascii="Arial" w:cs="Arial" w:eastAsia="Arial" w:hAnsi="Arial"/>
          <w:sz w:val="15"/>
          <w:szCs w:val="15"/>
          <w:color w:val="auto"/>
        </w:rPr>
        <w:t>On and effective March 12, 2019 (the “Effective Date”), our Board of Directors approved our Internalization and we began operating as an internally managed non-diversified closed-end management investment company that has elected to be regulated as a BDC under the 1940 Act.</w:t>
      </w:r>
    </w:p>
    <w:p>
      <w:pPr>
        <w:spacing w:after="0" w:line="139" w:lineRule="exact"/>
        <w:rPr>
          <w:sz w:val="20"/>
          <w:szCs w:val="20"/>
          <w:color w:val="auto"/>
        </w:rPr>
      </w:pPr>
    </w:p>
    <w:p>
      <w:pPr>
        <w:jc w:val="both"/>
        <w:ind w:firstLine="348"/>
        <w:spacing w:after="0" w:line="263" w:lineRule="auto"/>
        <w:rPr>
          <w:sz w:val="20"/>
          <w:szCs w:val="20"/>
          <w:color w:val="auto"/>
        </w:rPr>
      </w:pPr>
      <w:r>
        <w:rPr>
          <w:rFonts w:ascii="Arial" w:cs="Arial" w:eastAsia="Arial" w:hAnsi="Arial"/>
          <w:sz w:val="15"/>
          <w:szCs w:val="15"/>
          <w:color w:val="auto"/>
        </w:rPr>
        <w:t>In connection with our Internalization, the Investment Advisory Agreement and the Administration Agreement were terminated and Michael T. Moe resigned from our Board of Directors as of the Effective Date. As of such date, we entered into a Consulting Agreement with Mr. Moe (the former Chairman of our Board of Directors and the Chief Executive Officer and Chief Investment Officer of GSV Asset Management), pursuant to which Mr. Moe provides certain services to us in connection with our transition to an internally managed operating structure. We also entered into an Amended and Restated Trademark License Agreement with GSV Asset Management to permit us to to use the trade name “GSV”, and other state or unregistered “GSV” marks, including the trading symbol “GSVC”. Effective as of July 30, 2019, we changed our name to Sutter Rock Capital Corp. and effective as of August 1, 2019, we changed our trading symbol to “SSSS”. See “Item 7. Management’s Discussion and Analysis of Financial Condition and Results of Operations — Rebranding to Sutter Rock Capital Corp.”</w:t>
      </w:r>
    </w:p>
    <w:p>
      <w:pPr>
        <w:spacing w:after="0" w:line="163" w:lineRule="exact"/>
        <w:rPr>
          <w:sz w:val="20"/>
          <w:szCs w:val="20"/>
          <w:color w:val="auto"/>
        </w:rPr>
      </w:pPr>
    </w:p>
    <w:p>
      <w:pPr>
        <w:jc w:val="both"/>
        <w:ind w:firstLine="348"/>
        <w:spacing w:after="0" w:line="274" w:lineRule="auto"/>
        <w:rPr>
          <w:sz w:val="20"/>
          <w:szCs w:val="20"/>
          <w:color w:val="auto"/>
        </w:rPr>
      </w:pPr>
      <w:r>
        <w:rPr>
          <w:rFonts w:ascii="Arial" w:cs="Arial" w:eastAsia="Arial" w:hAnsi="Arial"/>
          <w:sz w:val="15"/>
          <w:szCs w:val="15"/>
          <w:color w:val="auto"/>
        </w:rPr>
        <w:t>Except as otherwise disclosed herein, this Form 10-K discusses our business and operations as an internally managed BDC during the period covered by this Form 10-K. See “Management’s Discussion and Analysis of Financial Condition and Results of Operations” in Part II, Item 7 of this Form 10-K for additional information regarding the forgoing and our Internalization.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and Regulatory Structure</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We are a Maryland corporation formed in 2010 that operates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3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As a BDC, we are required to meet regulatory tests. See “—Regulation as a Business Development Company.” Also, while we are permitted to finance investments using debt, our ability to use debt is limited in certain significant aspects. See “Risk Factors” in Part I, Item 1A of this Form 10-K for more information.</w:t>
      </w:r>
    </w:p>
    <w:p>
      <w:pPr>
        <w:spacing w:after="0" w:line="13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Policies—U.S. Federal and State Income Taxes” and “Note 9—Income Taxes” to our consolidated financial statements for the year ended December 31, 2019 for more information.</w:t>
      </w:r>
    </w:p>
    <w:p>
      <w:pPr>
        <w:spacing w:after="0" w:line="152"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As of December 31, 2019, we had six employees, each of whom was directly employed by us. These employees include our executive officers, investment and finance professionals, and administrative staff. All of our employees are located in our principal executive office in San Francisco, California. Carl Rizzo, a director at Alaric Compliance Services LLC, served as our Chief Compliance Officer during the fiscal year ended December 31, 2019 pursuant to an agreement between us and Alaric Compliance Services LLC. See "Management's Discussion and Analysis of Financial Condition and Results of Operations—Recent Developments".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Opportunity</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that society is experiencing a convergence of numerous disruptive trends, producing new high-growth markets.</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60"/>
          </w:cols>
          <w:pgMar w:left="320" w:top="124" w:right="319" w:bottom="1440" w:gutter="0" w:footer="0" w:header="0"/>
        </w:sectPr>
      </w:pPr>
    </w:p>
    <w:bookmarkStart w:id="4" w:name="page5"/>
    <w:bookmarkEnd w:id="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Strategy</w:t>
      </w:r>
    </w:p>
    <w:p>
      <w:pPr>
        <w:spacing w:after="0" w:line="205"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39"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Our investment objective is to maximize our portfolio’s total return, principally by seeking capital gains on our equity and equity-related investments. We have adopted the following business strategies to achieve our investment objective:</w:t>
      </w:r>
    </w:p>
    <w:p>
      <w:pPr>
        <w:spacing w:after="0" w:line="139" w:lineRule="exact"/>
        <w:rPr>
          <w:sz w:val="20"/>
          <w:szCs w:val="20"/>
          <w:color w:val="auto"/>
        </w:rPr>
      </w:pPr>
    </w:p>
    <w:p>
      <w:pPr>
        <w:jc w:val="both"/>
        <w:ind w:left="560" w:hanging="288"/>
        <w:spacing w:after="0" w:line="269" w:lineRule="auto"/>
        <w:tabs>
          <w:tab w:leader="none" w:pos="560"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Identify high quality growth companies. </w:t>
      </w:r>
      <w:r>
        <w:rPr>
          <w:rFonts w:ascii="Arial" w:cs="Arial" w:eastAsia="Arial" w:hAnsi="Arial"/>
          <w:sz w:val="15"/>
          <w:szCs w:val="15"/>
          <w:color w:val="auto"/>
        </w:rPr>
        <w:t>Based on our extensive experience in analyzing technology trends and markets, we have identified several technology sub-sectors, including social mobile, big data and cloud, marketplaces, and education technology,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190" w:lineRule="exact"/>
        <w:rPr>
          <w:sz w:val="20"/>
          <w:szCs w:val="20"/>
          <w:color w:val="auto"/>
        </w:rPr>
      </w:pPr>
    </w:p>
    <w:p>
      <w:pPr>
        <w:jc w:val="both"/>
        <w:ind w:left="280" w:firstLine="279"/>
        <w:spacing w:after="0" w:line="269" w:lineRule="auto"/>
        <w:rPr>
          <w:sz w:val="20"/>
          <w:szCs w:val="20"/>
          <w:color w:val="auto"/>
        </w:rPr>
      </w:pPr>
      <w:r>
        <w:rPr>
          <w:rFonts w:ascii="Arial" w:cs="Arial" w:eastAsia="Arial" w:hAnsi="Arial"/>
          <w:sz w:val="15"/>
          <w:szCs w:val="15"/>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spacing w:after="0" w:line="156" w:lineRule="exact"/>
        <w:rPr>
          <w:sz w:val="20"/>
          <w:szCs w:val="20"/>
          <w:color w:val="auto"/>
        </w:rPr>
      </w:pPr>
    </w:p>
    <w:p>
      <w:pPr>
        <w:ind w:left="560" w:hanging="288"/>
        <w:spacing w:after="0" w:line="291" w:lineRule="auto"/>
        <w:tabs>
          <w:tab w:leader="none" w:pos="56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Acquire positions in targeted investments. </w:t>
      </w:r>
      <w:r>
        <w:rPr>
          <w:rFonts w:ascii="Arial" w:cs="Arial" w:eastAsia="Arial" w:hAnsi="Arial"/>
          <w:sz w:val="15"/>
          <w:szCs w:val="15"/>
          <w:color w:val="auto"/>
        </w:rPr>
        <w:t>We seek to selectively add to our portfolio by sourcing investments at an acceptable price through our disciplined investing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To this end, we utilize multiple methods to acquire equity stakes in private companies that are not available to many individual investors.</w:t>
      </w:r>
    </w:p>
    <w:p>
      <w:pPr>
        <w:spacing w:after="0" w:line="174" w:lineRule="exact"/>
        <w:rPr>
          <w:sz w:val="20"/>
          <w:szCs w:val="20"/>
          <w:color w:val="auto"/>
        </w:rPr>
      </w:pPr>
    </w:p>
    <w:p>
      <w:pPr>
        <w:jc w:val="both"/>
        <w:ind w:left="280" w:firstLine="279"/>
        <w:spacing w:after="0" w:line="269" w:lineRule="auto"/>
        <w:rPr>
          <w:sz w:val="20"/>
          <w:szCs w:val="20"/>
          <w:color w:val="auto"/>
        </w:rPr>
      </w:pPr>
      <w:r>
        <w:rPr>
          <w:rFonts w:ascii="Arial" w:cs="Arial" w:eastAsia="Arial" w:hAnsi="Arial"/>
          <w:sz w:val="15"/>
          <w:szCs w:val="15"/>
          <w:i w:val="1"/>
          <w:iCs w:val="1"/>
          <w:color w:val="auto"/>
        </w:rPr>
        <w:t xml:space="preserve">Direct equity investments. </w:t>
      </w:r>
      <w:r>
        <w:rPr>
          <w:rFonts w:ascii="Arial" w:cs="Arial" w:eastAsia="Arial" w:hAnsi="Arial"/>
          <w:sz w:val="15"/>
          <w:szCs w:val="15"/>
          <w:color w:val="auto"/>
        </w:rPr>
        <w:t>We seek direct investments in private companies. There is a large market among emerging private companies for equity capital investments.</w:t>
      </w:r>
      <w:r>
        <w:rPr>
          <w:rFonts w:ascii="Arial" w:cs="Arial" w:eastAsia="Arial" w:hAnsi="Arial"/>
          <w:sz w:val="15"/>
          <w:szCs w:val="15"/>
          <w:i w:val="1"/>
          <w:iCs w:val="1"/>
          <w:color w:val="auto"/>
        </w:rPr>
        <w:t xml:space="preserve"> </w:t>
      </w:r>
      <w:r>
        <w:rPr>
          <w:rFonts w:ascii="Arial" w:cs="Arial" w:eastAsia="Arial" w:hAnsi="Arial"/>
          <w:sz w:val="15"/>
          <w:szCs w:val="15"/>
          <w:color w:val="auto"/>
        </w:rPr>
        <w:t>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56" w:lineRule="exact"/>
        <w:rPr>
          <w:sz w:val="20"/>
          <w:szCs w:val="20"/>
          <w:color w:val="auto"/>
        </w:rPr>
      </w:pPr>
    </w:p>
    <w:p>
      <w:pPr>
        <w:jc w:val="both"/>
        <w:ind w:left="280" w:firstLine="279"/>
        <w:spacing w:after="0" w:line="284" w:lineRule="auto"/>
        <w:rPr>
          <w:sz w:val="20"/>
          <w:szCs w:val="20"/>
          <w:color w:val="auto"/>
        </w:rPr>
      </w:pPr>
      <w:r>
        <w:rPr>
          <w:rFonts w:ascii="Arial" w:cs="Arial" w:eastAsia="Arial" w:hAnsi="Arial"/>
          <w:sz w:val="14"/>
          <w:szCs w:val="14"/>
          <w:i w:val="1"/>
          <w:iCs w:val="1"/>
          <w:color w:val="auto"/>
        </w:rPr>
        <w:t xml:space="preserve">Private secondary marketplaces and direct share purchases. </w:t>
      </w:r>
      <w:r>
        <w:rPr>
          <w:rFonts w:ascii="Arial" w:cs="Arial" w:eastAsia="Arial" w:hAnsi="Arial"/>
          <w:sz w:val="14"/>
          <w:szCs w:val="14"/>
          <w:color w:val="auto"/>
        </w:rPr>
        <w:t>We also utilize private secondary marketplaces as a means to acquire equity and equity-related interests in</w:t>
      </w:r>
      <w:r>
        <w:rPr>
          <w:rFonts w:ascii="Arial" w:cs="Arial" w:eastAsia="Arial" w:hAnsi="Arial"/>
          <w:sz w:val="14"/>
          <w:szCs w:val="14"/>
          <w:i w:val="1"/>
          <w:iCs w:val="1"/>
          <w:color w:val="auto"/>
        </w:rPr>
        <w:t xml:space="preserve"> </w:t>
      </w:r>
      <w:r>
        <w:rPr>
          <w:rFonts w:ascii="Arial" w:cs="Arial" w:eastAsia="Arial" w:hAnsi="Arial"/>
          <w:sz w:val="14"/>
          <w:szCs w:val="14"/>
          <w:color w:val="auto"/>
        </w:rPr>
        <w:t>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spacing w:after="0" w:line="148" w:lineRule="exact"/>
        <w:rPr>
          <w:sz w:val="20"/>
          <w:szCs w:val="20"/>
          <w:color w:val="auto"/>
        </w:rPr>
      </w:pPr>
    </w:p>
    <w:p>
      <w:pPr>
        <w:jc w:val="both"/>
        <w:ind w:left="560" w:hanging="288"/>
        <w:spacing w:after="0" w:line="302" w:lineRule="auto"/>
        <w:tabs>
          <w:tab w:leader="none" w:pos="56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Create access to a varied investment portfolio. </w:t>
      </w:r>
      <w:r>
        <w:rPr>
          <w:rFonts w:ascii="Arial" w:cs="Arial" w:eastAsia="Arial" w:hAnsi="Arial"/>
          <w:sz w:val="14"/>
          <w:szCs w:val="14"/>
          <w:color w:val="auto"/>
        </w:rPr>
        <w:t>We seek to hold a varied portfolio of non-controlling equity investments, which we believe will minimize the impact on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70"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60"/>
          </w:cols>
          <w:pgMar w:left="320" w:top="124" w:right="319" w:bottom="1440" w:gutter="0" w:footer="0" w:header="0"/>
        </w:sectPr>
      </w:pPr>
    </w:p>
    <w:bookmarkStart w:id="5" w:name="page6"/>
    <w:bookmarkEnd w:id="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Competitive Advantages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believe that we benefit from the following competitive advantages in executing our investment strategy:</w:t>
      </w:r>
    </w:p>
    <w:p>
      <w:pPr>
        <w:spacing w:after="0" w:line="199" w:lineRule="exact"/>
        <w:rPr>
          <w:sz w:val="20"/>
          <w:szCs w:val="20"/>
          <w:color w:val="auto"/>
        </w:rPr>
      </w:pPr>
    </w:p>
    <w:p>
      <w:pPr>
        <w:jc w:val="both"/>
        <w:ind w:left="560" w:hanging="288"/>
        <w:spacing w:after="0" w:line="269" w:lineRule="auto"/>
        <w:tabs>
          <w:tab w:leader="none" w:pos="56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Capable team of investment professionals. </w:t>
      </w:r>
      <w:r>
        <w:rPr>
          <w:rFonts w:ascii="Arial" w:cs="Arial" w:eastAsia="Arial" w:hAnsi="Arial"/>
          <w:sz w:val="15"/>
          <w:szCs w:val="15"/>
          <w:color w:val="auto"/>
        </w:rPr>
        <w:t>Our executive officers, investment professionals, and Board of Directors have significant experience researching and investing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types of high-growth venture-capital-backed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155" w:lineRule="exact"/>
        <w:rPr>
          <w:rFonts w:ascii="Arial" w:cs="Arial" w:eastAsia="Arial" w:hAnsi="Arial"/>
          <w:sz w:val="15"/>
          <w:szCs w:val="15"/>
          <w:b w:val="1"/>
          <w:bCs w:val="1"/>
          <w:i w:val="1"/>
          <w:iCs w:val="1"/>
          <w:color w:val="auto"/>
        </w:rPr>
      </w:pPr>
    </w:p>
    <w:p>
      <w:pPr>
        <w:jc w:val="both"/>
        <w:ind w:left="560" w:hanging="288"/>
        <w:spacing w:after="0" w:line="274" w:lineRule="auto"/>
        <w:tabs>
          <w:tab w:leader="none" w:pos="56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Disciplined and repeatable investment process. </w:t>
      </w:r>
      <w:r>
        <w:rPr>
          <w:rFonts w:ascii="Arial" w:cs="Arial" w:eastAsia="Arial" w:hAnsi="Arial"/>
          <w:sz w:val="15"/>
          <w:szCs w:val="15"/>
          <w:color w:val="auto"/>
        </w:rPr>
        <w:t>We have established a disciplined and repeatable process to locate and acquire available shares at attractive valuations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utilizing multiple sources. In contrast to industry “aggregators” that accumulate stock at market prices, we conduct valuation analysis and make acquisitions only when we can invest at valuations that we believe are attractive to our investors.</w:t>
      </w:r>
    </w:p>
    <w:p>
      <w:pPr>
        <w:spacing w:after="0" w:line="187" w:lineRule="exact"/>
        <w:rPr>
          <w:rFonts w:ascii="Arial" w:cs="Arial" w:eastAsia="Arial" w:hAnsi="Arial"/>
          <w:sz w:val="15"/>
          <w:szCs w:val="15"/>
          <w:b w:val="1"/>
          <w:bCs w:val="1"/>
          <w:i w:val="1"/>
          <w:iCs w:val="1"/>
          <w:color w:val="auto"/>
        </w:rPr>
      </w:pPr>
    </w:p>
    <w:p>
      <w:pPr>
        <w:jc w:val="both"/>
        <w:ind w:left="560" w:hanging="288"/>
        <w:spacing w:after="0" w:line="269" w:lineRule="auto"/>
        <w:tabs>
          <w:tab w:leader="none" w:pos="56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Deep relationships with significant credibility to source and complete transactions. </w:t>
      </w:r>
      <w:r>
        <w:rPr>
          <w:rFonts w:ascii="Arial" w:cs="Arial" w:eastAsia="Arial" w:hAnsi="Arial"/>
          <w:sz w:val="15"/>
          <w:szCs w:val="15"/>
          <w:color w:val="auto"/>
        </w:rPr>
        <w:t>Our executive officers and investment professionals, are strategically located in San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190" w:lineRule="exact"/>
        <w:rPr>
          <w:rFonts w:ascii="Arial" w:cs="Arial" w:eastAsia="Arial" w:hAnsi="Arial"/>
          <w:sz w:val="15"/>
          <w:szCs w:val="15"/>
          <w:b w:val="1"/>
          <w:bCs w:val="1"/>
          <w:i w:val="1"/>
          <w:iCs w:val="1"/>
          <w:color w:val="auto"/>
        </w:rPr>
      </w:pPr>
    </w:p>
    <w:p>
      <w:pPr>
        <w:jc w:val="both"/>
        <w:ind w:left="560" w:hanging="288"/>
        <w:spacing w:after="0" w:line="302" w:lineRule="auto"/>
        <w:tabs>
          <w:tab w:leader="none" w:pos="56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Source of permanent investing capital. </w:t>
      </w:r>
      <w:r>
        <w:rPr>
          <w:rFonts w:ascii="Arial" w:cs="Arial" w:eastAsia="Arial" w:hAnsi="Arial"/>
          <w:sz w:val="14"/>
          <w:szCs w:val="14"/>
          <w:color w:val="auto"/>
        </w:rPr>
        <w:t>As a publicly traded corporation, we have access to a source of permanent equity capital that we can use to invest in portfolio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35" w:lineRule="exact"/>
        <w:rPr>
          <w:rFonts w:ascii="Arial" w:cs="Arial" w:eastAsia="Arial" w:hAnsi="Arial"/>
          <w:sz w:val="14"/>
          <w:szCs w:val="14"/>
          <w:b w:val="1"/>
          <w:bCs w:val="1"/>
          <w:i w:val="1"/>
          <w:iCs w:val="1"/>
          <w:color w:val="auto"/>
        </w:rPr>
      </w:pPr>
    </w:p>
    <w:p>
      <w:pPr>
        <w:jc w:val="both"/>
        <w:ind w:left="560" w:hanging="288"/>
        <w:spacing w:after="0" w:line="265" w:lineRule="auto"/>
        <w:tabs>
          <w:tab w:leader="none" w:pos="56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Early mover advantage. </w:t>
      </w:r>
      <w:r>
        <w:rPr>
          <w:rFonts w:ascii="Arial" w:cs="Arial" w:eastAsia="Arial" w:hAnsi="Arial"/>
          <w:sz w:val="15"/>
          <w:szCs w:val="15"/>
          <w:color w:val="auto"/>
        </w:rPr>
        <w:t>We believe we are one of the few publicly traded BDCs with a specific focus on investing in high-growth venture-backed companies.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58" w:lineRule="exact"/>
        <w:rPr>
          <w:sz w:val="20"/>
          <w:szCs w:val="20"/>
          <w:color w:val="auto"/>
        </w:rPr>
      </w:pPr>
    </w:p>
    <w:p>
      <w:pPr>
        <w:jc w:val="both"/>
        <w:ind w:right="20" w:firstLine="302"/>
        <w:spacing w:after="0" w:line="266" w:lineRule="auto"/>
        <w:rPr>
          <w:sz w:val="20"/>
          <w:szCs w:val="20"/>
          <w:color w:val="auto"/>
        </w:rPr>
      </w:pPr>
      <w:r>
        <w:rPr>
          <w:rFonts w:ascii="Arial" w:cs="Arial" w:eastAsia="Arial" w:hAnsi="Arial"/>
          <w:sz w:val="15"/>
          <w:szCs w:val="15"/>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Process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Concentrated Technology-related Focus</w:t>
      </w:r>
    </w:p>
    <w:p>
      <w:pPr>
        <w:spacing w:after="0" w:line="199"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Our executive officers and investment professionals have identified five key investment themes from which we have seen significant numbers of high-growth companies emerge: social and mobile, financial technology and services, big data and cloud, marketplaces, and education.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60"/>
          </w:cols>
          <w:pgMar w:left="320" w:top="124" w:right="319" w:bottom="1440" w:gutter="0" w:footer="0" w:header="0"/>
        </w:sectPr>
      </w:pPr>
    </w:p>
    <w:bookmarkStart w:id="6" w:name="page7"/>
    <w:bookmarkEnd w:id="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Targeting and Screening</w:t>
      </w:r>
    </w:p>
    <w:p>
      <w:pPr>
        <w:spacing w:after="0" w:line="199"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and several other factors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Due Diligence Process</w:t>
      </w:r>
    </w:p>
    <w:p>
      <w:pPr>
        <w:spacing w:after="0" w:line="19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5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Portfolio Construction and Sourcing</w:t>
      </w:r>
    </w:p>
    <w:p>
      <w:pPr>
        <w:spacing w:after="0" w:line="199"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 Execution</w:t>
      </w:r>
    </w:p>
    <w:p>
      <w:pPr>
        <w:spacing w:after="0" w:line="19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Management and Monitoring</w:t>
      </w:r>
    </w:p>
    <w:p>
      <w:pPr>
        <w:spacing w:after="0" w:line="19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0"/>
          </w:cols>
          <w:pgMar w:left="320" w:top="124" w:right="319" w:bottom="1440" w:gutter="0" w:footer="0" w:header="0"/>
        </w:sectPr>
      </w:pPr>
    </w:p>
    <w:bookmarkStart w:id="7" w:name="page8"/>
    <w:bookmarkEnd w:id="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Managerial Assistance</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Portfolio Overview</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shows the fair value of our portfolio of investments by asset class as of December 31, 2019 and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885"/>
              <w:spacing w:after="0"/>
              <w:rPr>
                <w:sz w:val="20"/>
                <w:szCs w:val="20"/>
                <w:color w:val="auto"/>
              </w:rPr>
            </w:pPr>
            <w:r>
              <w:rPr>
                <w:rFonts w:ascii="Arial" w:cs="Arial" w:eastAsia="Arial" w:hAnsi="Arial"/>
                <w:sz w:val="12"/>
                <w:szCs w:val="12"/>
                <w:b w:val="1"/>
                <w:bCs w:val="1"/>
                <w:color w:val="auto"/>
              </w:rPr>
              <w:t>December 31, 2018</w:t>
            </w:r>
          </w:p>
        </w:tc>
      </w:tr>
      <w:tr>
        <w:trPr>
          <w:trHeight w:val="128"/>
        </w:trPr>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99"/>
              </w:rPr>
              <w:t>Fair</w:t>
            </w:r>
          </w:p>
        </w:tc>
        <w:tc>
          <w:tcPr>
            <w:tcW w:w="150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320" w:type="dxa"/>
            <w:vAlign w:val="bottom"/>
          </w:tcPr>
          <w:p>
            <w:pPr>
              <w:spacing w:after="0"/>
              <w:rPr>
                <w:sz w:val="11"/>
                <w:szCs w:val="11"/>
                <w:color w:val="auto"/>
              </w:rPr>
            </w:pPr>
          </w:p>
        </w:tc>
        <w:tc>
          <w:tcPr>
            <w:tcW w:w="122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rPr>
              <w:t>Fair</w:t>
            </w:r>
          </w:p>
        </w:tc>
        <w:tc>
          <w:tcPr>
            <w:tcW w:w="1400" w:type="dxa"/>
            <w:vAlign w:val="bottom"/>
          </w:tcPr>
          <w:p>
            <w:pPr>
              <w:jc w:val="right"/>
              <w:ind w:right="265"/>
              <w:spacing w:after="0" w:line="128" w:lineRule="exact"/>
              <w:rPr>
                <w:sz w:val="20"/>
                <w:szCs w:val="20"/>
                <w:color w:val="auto"/>
              </w:rPr>
            </w:pPr>
            <w:r>
              <w:rPr>
                <w:rFonts w:ascii="Arial" w:cs="Arial" w:eastAsia="Arial" w:hAnsi="Arial"/>
                <w:sz w:val="12"/>
                <w:szCs w:val="12"/>
                <w:b w:val="1"/>
                <w:bCs w:val="1"/>
                <w:color w:val="auto"/>
              </w:rPr>
              <w:t>Percentage of</w:t>
            </w:r>
          </w:p>
        </w:tc>
      </w:tr>
      <w:tr>
        <w:trPr>
          <w:trHeight w:val="165"/>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Value</w:t>
            </w: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Portfolio</w:t>
            </w:r>
          </w:p>
        </w:tc>
        <w:tc>
          <w:tcPr>
            <w:tcW w:w="3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Value</w:t>
            </w:r>
          </w:p>
        </w:tc>
        <w:tc>
          <w:tcPr>
            <w:tcW w:w="1400" w:type="dxa"/>
            <w:vAlign w:val="bottom"/>
          </w:tcPr>
          <w:p>
            <w:pPr>
              <w:jc w:val="right"/>
              <w:ind w:right="385"/>
              <w:spacing w:after="0"/>
              <w:rPr>
                <w:sz w:val="20"/>
                <w:szCs w:val="20"/>
                <w:color w:val="auto"/>
              </w:rPr>
            </w:pPr>
            <w:r>
              <w:rPr>
                <w:rFonts w:ascii="Arial" w:cs="Arial" w:eastAsia="Arial" w:hAnsi="Arial"/>
                <w:sz w:val="12"/>
                <w:szCs w:val="12"/>
                <w:b w:val="1"/>
                <w:bCs w:val="1"/>
                <w:color w:val="auto"/>
              </w:rPr>
              <w:t>Portfolio</w:t>
            </w:r>
          </w:p>
        </w:tc>
      </w:tr>
      <w:tr>
        <w:trPr>
          <w:trHeight w:val="209"/>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09"/>
        </w:trPr>
        <w:tc>
          <w:tcPr>
            <w:tcW w:w="528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59,209,559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48,517,824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16.2%</w:t>
            </w:r>
          </w:p>
        </w:tc>
      </w:tr>
      <w:tr>
        <w:trPr>
          <w:trHeight w:val="24"/>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2"/>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Preferred Stock</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125,448,358</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99,856,159</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33.4%</w:t>
            </w:r>
          </w:p>
        </w:tc>
      </w:tr>
      <w:tr>
        <w:trPr>
          <w:trHeight w:val="209"/>
        </w:trPr>
        <w:tc>
          <w:tcPr>
            <w:tcW w:w="5280" w:type="dxa"/>
            <w:vAlign w:val="bottom"/>
          </w:tcPr>
          <w:p>
            <w:pPr>
              <w:ind w:left="140"/>
              <w:spacing w:after="0"/>
              <w:rPr>
                <w:sz w:val="20"/>
                <w:szCs w:val="20"/>
                <w:color w:val="auto"/>
              </w:rPr>
            </w:pPr>
            <w:r>
              <w:rPr>
                <w:rFonts w:ascii="Arial" w:cs="Arial" w:eastAsia="Arial" w:hAnsi="Arial"/>
                <w:sz w:val="15"/>
                <w:szCs w:val="15"/>
                <w:color w:val="auto"/>
              </w:rPr>
              <w:t>Debt Investments</w:t>
            </w:r>
          </w:p>
        </w:tc>
        <w:tc>
          <w:tcPr>
            <w:tcW w:w="3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1,644,155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5,584,994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4"/>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Warrants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5,283,506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267,446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0"/>
        </w:trPr>
        <w:tc>
          <w:tcPr>
            <w:tcW w:w="528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191,585,578</w:t>
            </w: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154,226,423</w:t>
            </w: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51.6%</w:t>
            </w:r>
          </w:p>
        </w:tc>
      </w:tr>
      <w:tr>
        <w:trPr>
          <w:trHeight w:val="24"/>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Publicly Traded Portfolio Companies:</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209"/>
        </w:trPr>
        <w:tc>
          <w:tcPr>
            <w:tcW w:w="528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44,589,406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14.9%</w:t>
            </w:r>
          </w:p>
        </w:tc>
      </w:tr>
      <w:tr>
        <w:trPr>
          <w:trHeight w:val="24"/>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191,585,578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198,815,829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w:t>
            </w:r>
          </w:p>
        </w:tc>
      </w:tr>
      <w:tr>
        <w:trPr>
          <w:trHeight w:val="200"/>
        </w:trPr>
        <w:tc>
          <w:tcPr>
            <w:tcW w:w="528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4"/>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U.S. Treasury Bills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99,994,000</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r>
      <w:tr>
        <w:trPr>
          <w:trHeight w:val="218"/>
        </w:trPr>
        <w:tc>
          <w:tcPr>
            <w:tcW w:w="5280" w:type="dxa"/>
            <w:vAlign w:val="bottom"/>
            <w:tcBorders>
              <w:top w:val="single" w:sz="8" w:color="CCEEFF"/>
            </w:tcBorders>
          </w:tcPr>
          <w:p>
            <w:pPr>
              <w:ind w:left="20"/>
              <w:spacing w:after="0"/>
              <w:rPr>
                <w:sz w:val="20"/>
                <w:szCs w:val="20"/>
                <w:color w:val="auto"/>
              </w:rPr>
            </w:pPr>
            <w:r>
              <w:rPr>
                <w:rFonts w:ascii="Arial" w:cs="Arial" w:eastAsia="Arial" w:hAnsi="Arial"/>
                <w:sz w:val="15"/>
                <w:szCs w:val="15"/>
                <w:b w:val="1"/>
                <w:bCs w:val="1"/>
                <w:color w:val="auto"/>
              </w:rPr>
              <w:t>Total Investments</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241,585,578</w:t>
            </w: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298,809,829</w:t>
            </w: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-633730</wp:posOffset>
            </wp:positionV>
            <wp:extent cx="660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-633730</wp:posOffset>
            </wp:positionV>
            <wp:extent cx="660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-633730</wp:posOffset>
            </wp:positionV>
            <wp:extent cx="43351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35145" cy="762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-935990</wp:posOffset>
            </wp:positionV>
            <wp:extent cx="660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-935990</wp:posOffset>
            </wp:positionV>
            <wp:extent cx="660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-935990</wp:posOffset>
            </wp:positionV>
            <wp:extent cx="43351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5145" cy="762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-1835150</wp:posOffset>
            </wp:positionV>
            <wp:extent cx="660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-1835150</wp:posOffset>
            </wp:positionV>
            <wp:extent cx="33547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4705" cy="762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Determination of Net Asset Value</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39"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our executive officers and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63"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4"/>
          <w:szCs w:val="14"/>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60"/>
          </w:cols>
          <w:pgMar w:left="320" w:top="124" w:right="319" w:bottom="1440" w:gutter="0" w:footer="0" w:header="0"/>
        </w:sectPr>
      </w:pPr>
    </w:p>
    <w:bookmarkStart w:id="8" w:name="page9"/>
    <w:bookmarkEnd w:id="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52"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We generally determine the fair value of our investments by considering a number of factors. The following represent factors that, among others, could impact our fair value determinations:</w:t>
      </w:r>
    </w:p>
    <w:p>
      <w:pPr>
        <w:spacing w:after="0" w:line="139" w:lineRule="exact"/>
        <w:rPr>
          <w:sz w:val="20"/>
          <w:szCs w:val="20"/>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Public trading of our portfolio securities, taking into consideration lock-up requirements and liquidity;</w:t>
      </w:r>
    </w:p>
    <w:p>
      <w:pPr>
        <w:spacing w:after="0" w:line="233"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Active trading of our portfolio securities on a private secondary market, where we have determined that there is meaningful volume and the transactions are considered arm’s length by sophisticated investors;</w:t>
      </w:r>
    </w:p>
    <w:p>
      <w:pPr>
        <w:spacing w:after="0" w:line="173"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Qualified funding rounds in the companies in which we invested, where there is meaningful and reputable information available on size, valuation and investors; and</w:t>
      </w:r>
    </w:p>
    <w:p>
      <w:pPr>
        <w:spacing w:after="0" w:line="245" w:lineRule="exact"/>
        <w:rPr>
          <w:rFonts w:ascii="Arial" w:cs="Arial" w:eastAsia="Arial" w:hAnsi="Arial"/>
          <w:sz w:val="14"/>
          <w:szCs w:val="14"/>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Additional investments by us in current portfolio companies, where the price of the new investment differs materially from prior investments.</w:t>
      </w:r>
    </w:p>
    <w:p>
      <w:pPr>
        <w:spacing w:after="0" w:line="234"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1—Nature of Operations” to our consolidated financial statements for the year ended December 31, 2019 for a list of our taxable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Advisory Agreement</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i w:val="1"/>
          <w:iCs w:val="1"/>
          <w:color w:val="auto"/>
        </w:rPr>
        <w:t>The following disclosure regards the Investment Advisory Agreement, which was terminated in accordance with its terms on the Effective Date in connection with our Internalization. See “</w:t>
      </w:r>
      <w:r>
        <w:rPr>
          <w:rFonts w:ascii="Arial" w:cs="Arial" w:eastAsia="Arial" w:hAnsi="Arial"/>
          <w:sz w:val="15"/>
          <w:szCs w:val="15"/>
          <w:color w:val="auto"/>
        </w:rPr>
        <w:t>—</w:t>
      </w:r>
      <w:r>
        <w:rPr>
          <w:rFonts w:ascii="Arial" w:cs="Arial" w:eastAsia="Arial" w:hAnsi="Arial"/>
          <w:sz w:val="15"/>
          <w:szCs w:val="15"/>
          <w:i w:val="1"/>
          <w:iCs w:val="1"/>
          <w:color w:val="auto"/>
        </w:rPr>
        <w:t>Internalization of Operating Structure.”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Services</w:t>
      </w:r>
    </w:p>
    <w:p>
      <w:pPr>
        <w:spacing w:after="0" w:line="199" w:lineRule="exact"/>
        <w:rPr>
          <w:sz w:val="20"/>
          <w:szCs w:val="20"/>
          <w:color w:val="auto"/>
        </w:rPr>
      </w:pPr>
    </w:p>
    <w:p>
      <w:pPr>
        <w:jc w:val="both"/>
        <w:ind w:firstLine="302"/>
        <w:spacing w:after="0" w:line="328" w:lineRule="auto"/>
        <w:rPr>
          <w:sz w:val="20"/>
          <w:szCs w:val="20"/>
          <w:color w:val="auto"/>
        </w:rPr>
      </w:pPr>
      <w:r>
        <w:rPr>
          <w:rFonts w:ascii="Arial" w:cs="Arial" w:eastAsia="Arial" w:hAnsi="Arial"/>
          <w:sz w:val="14"/>
          <w:szCs w:val="14"/>
          <w:color w:val="auto"/>
        </w:rPr>
        <w:t>GSV Asset Management served as our investment adviser until our Internalization and termination of the Investment Advisory Agreement on the Effective Date. Subject to the overall supervision of our Board of Directors, GSV Asset Management managed our day-to-day operations and provided us with investment advisory services.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Under the terms of the Investment Advisory Agreement, GSV Asset Management:</w:t>
      </w:r>
    </w:p>
    <w:p>
      <w:pPr>
        <w:spacing w:after="0" w:line="199" w:lineRule="exact"/>
        <w:rPr>
          <w:sz w:val="20"/>
          <w:szCs w:val="20"/>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determined the composition of our portfolio, the nature and timing of the changes to our portfolio and the manner of implementing such changes;</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determined what securities we would purchase, retain or sell;</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performed due diligence on prospective portfolio companies;</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identified, evaluated and negotiated the structure of the investments we would make;</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closed, monitored and serviced the investments we would make; and</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provided us with such other investment advisory, research and related services as we, from time to time, would reasonably require for the investment of our funds.</w:t>
      </w:r>
    </w:p>
    <w:p>
      <w:pPr>
        <w:spacing w:after="0" w:line="245" w:lineRule="exact"/>
        <w:rPr>
          <w:sz w:val="20"/>
          <w:szCs w:val="20"/>
          <w:color w:val="auto"/>
        </w:rPr>
      </w:pPr>
    </w:p>
    <w:p>
      <w:pPr>
        <w:jc w:val="both"/>
        <w:ind w:right="20" w:firstLine="279"/>
        <w:spacing w:after="0" w:line="302" w:lineRule="auto"/>
        <w:rPr>
          <w:sz w:val="20"/>
          <w:szCs w:val="20"/>
          <w:color w:val="auto"/>
        </w:rPr>
      </w:pPr>
      <w:r>
        <w:rPr>
          <w:rFonts w:ascii="Arial" w:cs="Arial" w:eastAsia="Arial" w:hAnsi="Arial"/>
          <w:sz w:val="14"/>
          <w:szCs w:val="14"/>
          <w:color w:val="auto"/>
        </w:rPr>
        <w:t>GSV Asset Management’s services under the Investment Advisory Agreement were not exclusive, and it was free to furnish similar services to other entities so long as its services to us were not impaired. For example, GSV Asset Management also managed: Coursera@GSV Fund, LP, Coursera@GSV-EDBI Fund, LP, and GSV@CS, LP, special purpose vehicles each comprised of an underlying investment in the capital stock of Coursera, Inc. (the “Coursera Funds”); GSV@SP, LLC, a special purpose vehicle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60"/>
          </w:cols>
          <w:pgMar w:left="320" w:top="124" w:right="319" w:bottom="1440" w:gutter="0" w:footer="0" w:header="0"/>
        </w:sectPr>
      </w:pPr>
    </w:p>
    <w:bookmarkStart w:id="9" w:name="page10"/>
    <w:bookmarkEnd w:id="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comprised of an underlying investment in the capital stock of Spotify Technology S.A. (the “GSV@SP Fund”); and GSV@LT, LLC, GSV@LT II, LP, and GSV@LT III, LP, special purpose vehicles each comprised of an underlying investment in the capital stock of Lyft, Inc. (the “Lyft Funds”). The Company has no ownership interests in the Coursera Funds, the GSV@SP Fund or the Lyft Funds.</w:t>
      </w:r>
    </w:p>
    <w:p>
      <w:pPr>
        <w:spacing w:after="0" w:line="152"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The 1940 Act prohibits the Company from making certain negotiated co-investments with affiliates unless it receives an order from the SEC permitting it to do so. To the extent that the Company competed with entities managed by GSV Asset Management or any of its affiliates for one or more investment or disposition opportunities, GSV Asset Management would allocate any such opportunity across the entities for which the opportunity was appropriate, consistent with (1) its internal conflict-resolution and allocation policies, (2) the requirements of the Investment Advisers Act of 1940, and (3) certain restrictions under the 1940 Act regarding co-investments with affiliates. In situations where a particular investment or disposition opportunity was appropriate for both the Company and another entity managed by GSV Asset Management, even where co-investments were permissible under the 1940 Act, GSV Asset Management would first offer any such opportunity in its entirety to the Company. In the event that the size of such investment or disposition opportunity exceeded the Company’s capacity, other funds managed by GSV Asset Management could have been offered the opportunity, but only to the extent that the Company and its Board of Directors confirmed that any such investment or disposition by an affiliated entity was permissible under the 1940 Act and otherwise in the Company’s best interests. The Company’s Chief Compliance Officer and Board of Directors would monitor on a quarterly basis any such allocation of investment or disposition opportunities between the Company and any such other funds.</w:t>
      </w:r>
    </w:p>
    <w:p>
      <w:pPr>
        <w:spacing w:after="0" w:line="161"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We, GSV Asset Management, and certain of our affiliates submitted an exemptive relief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152"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As a business development company, we are prohibited under the 1940 Act from participating in certain transactions with certain of our affiliates without the prior approval of our Board of Directors, including the independent directors, and, in some cases, the SEC. The affiliates with which we may be prohibited from transacting include our officers, directors and employees and any person controlling or under common control with us, subject to certain exceptions.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Fees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paid GSV Asset Management a fee for its services under the Investment Advisory Agreement consisting of two components — a base management fee and an incentive fee.</w:t>
      </w:r>
    </w:p>
    <w:p>
      <w:pPr>
        <w:spacing w:after="0" w:line="211"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The base management fee compensated GSV Asset Management for its work in identifying, evaluating, negotiating, executing and servicing our investments. Under the terms of the Investment Advisory Agreement, the base management fee was calculated at an annual rate of 2.00% of our gross assets, which was our total assets as reflected on our balance sheet (with no deduction for liabilities). Effective January 1, 2017 through January 31, 2018, however, pursuant to a voluntary waiver by GSV Asset Management, we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was reduced to 1.75% of the Company’s gross assets, as further described below. The waiver of a portion of the base management fee was not subject to recourse against or reimbursement by the Company.</w:t>
      </w:r>
    </w:p>
    <w:p>
      <w:pPr>
        <w:spacing w:after="0" w:line="163"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The base management fee was payable monthly in arrears, and was calculated based on the average value of our gross assets at the end of the two most recently completed calendar quarters, and appropriately adjusted for any equity or debt capital raises, repurchases or redemptions during the current calendar quarter. The base management fee for any partial month or quarter would be appropriately prorated.</w:t>
      </w:r>
    </w:p>
    <w:p>
      <w:pPr>
        <w:spacing w:after="0" w:line="152"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Under the Investment Advisory Agreement, GSV Asset Management's incentive fee was determined and payable in arrears as of the end of each calendar year (or upon termination of the Investment Advisory Agreement, as of the termination date), and would equal the lesser of:</w:t>
      </w:r>
    </w:p>
    <w:p>
      <w:pPr>
        <w:spacing w:after="0" w:line="139" w:lineRule="exact"/>
        <w:rPr>
          <w:sz w:val="20"/>
          <w:szCs w:val="20"/>
          <w:color w:val="auto"/>
        </w:rPr>
      </w:pPr>
    </w:p>
    <w:p>
      <w:pPr>
        <w:ind w:left="560" w:right="20" w:hanging="288"/>
        <w:spacing w:after="0" w:line="291" w:lineRule="auto"/>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20% of our realized capital gains during such calendar year, if any, calculated on an investment-by-investment basis, subject to a non-compounded preferred return, or “hurdle,” and a “catch-up” feature, 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60"/>
          </w:cols>
          <w:pgMar w:left="320" w:top="124" w:right="319" w:bottom="1440" w:gutter="0" w:footer="0" w:header="0"/>
        </w:sectPr>
      </w:pPr>
    </w:p>
    <w:bookmarkStart w:id="10" w:name="page11"/>
    <w:bookmarkEnd w:id="1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ind w:left="560" w:hanging="288"/>
        <w:spacing w:after="0" w:line="291" w:lineRule="auto"/>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3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Our realized capital gains from each investment, expressed as a non-compounded annual rate of return on the cost of such investment since we initially acquired it, would be compared to a hurdle rate of 8.00% per year. We would only pay an incentive fee on any realized capital gains from an investment that exceeded the hurdle rate. We would pay GSV Asset Management an incentive fee with respect to our realized capital gains from each investment as follows:</w:t>
      </w:r>
    </w:p>
    <w:p>
      <w:pPr>
        <w:spacing w:after="0" w:line="152" w:lineRule="exact"/>
        <w:rPr>
          <w:sz w:val="20"/>
          <w:szCs w:val="20"/>
          <w:color w:val="auto"/>
        </w:rPr>
      </w:pPr>
    </w:p>
    <w:p>
      <w:pPr>
        <w:ind w:left="560" w:hanging="288"/>
        <w:spacing w:after="0" w:line="291"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 incentive fee would be payable on the amount of any realized capital gains from an investment that, when expressed as a non-compounded annual rate of return on the cost of such investment since we initially acquired it, did not exceed the hurdle rate of 8.00% per year.</w:t>
      </w:r>
    </w:p>
    <w:p>
      <w:pPr>
        <w:spacing w:after="0" w:line="139" w:lineRule="exact"/>
        <w:rPr>
          <w:rFonts w:ascii="Arial" w:cs="Arial" w:eastAsia="Arial" w:hAnsi="Arial"/>
          <w:sz w:val="15"/>
          <w:szCs w:val="15"/>
          <w:color w:val="auto"/>
        </w:rPr>
      </w:pPr>
    </w:p>
    <w:p>
      <w:pPr>
        <w:jc w:val="both"/>
        <w:ind w:left="560" w:hanging="288"/>
        <w:spacing w:after="0" w:line="266"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would pay as an incentive fee 100% of the amount of any realized capital gains from an investment that, when expressed as a non-compounded annual rate of return on the cost of such investment since we initially acquired it, exceeded the hurdle rate of 8.00% per year but was less than a rate of 10.00% per year. We refer to this portion of our realized capital gains from each investment (which exceeded the hurdle rate but was less than 10.00%) as the “catch-up.” The “catch-up” was meant to provide our investment adviser with 20% of the amount of our realized capital gains from an investment that, when expressed as a non-compounded annual rate of return on the cost of such investment since we initially acquired it, exceeded a rate of 10.00% per year.</w:t>
      </w:r>
    </w:p>
    <w:p>
      <w:pPr>
        <w:spacing w:after="0" w:line="158"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would pay as an incentive fee 20% of the amount of any realized capital gains from an investment that, when expressed as a non-compounded annual rate of return on the cost of such investment since we initially acquired it, exceeded a rate of 10.00% per year.</w:t>
      </w:r>
    </w:p>
    <w:p>
      <w:pPr>
        <w:spacing w:after="0" w:line="139" w:lineRule="exact"/>
        <w:rPr>
          <w:sz w:val="20"/>
          <w:szCs w:val="20"/>
          <w:color w:val="auto"/>
        </w:rPr>
      </w:pPr>
    </w:p>
    <w:p>
      <w:pPr>
        <w:jc w:val="both"/>
        <w:ind w:right="20" w:firstLine="279"/>
        <w:spacing w:after="0" w:line="269" w:lineRule="auto"/>
        <w:rPr>
          <w:sz w:val="20"/>
          <w:szCs w:val="20"/>
          <w:color w:val="auto"/>
        </w:rPr>
      </w:pPr>
      <w:r>
        <w:rPr>
          <w:rFonts w:ascii="Arial" w:cs="Arial" w:eastAsia="Arial" w:hAnsi="Arial"/>
          <w:sz w:val="15"/>
          <w:szCs w:val="15"/>
          <w:color w:val="auto"/>
        </w:rPr>
        <w:t>However, pursuant to the Waiver Agreement, certain high-water marks were required to be reached before any incentive fee was paid to GSV Asset Management under the Investment Advisory Agreement. In addition, in no event would we pay an incentive fee for any calendar year that exceeded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w:t>
      </w:r>
    </w:p>
    <w:p>
      <w:pPr>
        <w:spacing w:after="0" w:line="156"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following is a graphical representation of the calculation of our incentive fee under the Investment Advisory Agreement with respect to a single investment, assuming certain "High Water Marks" (detailed below) were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95250</wp:posOffset>
            </wp:positionV>
            <wp:extent cx="3487420" cy="1541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7420"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For accounting purposes, in order to reflect the theoretical capital gains incentive fee that would be payable for a given period as if all unrealized gains were realized, we were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would be consistent with the formula reflected in the Investment Advisory Agreement, except as modified by the Waiver Agreement.</w:t>
      </w:r>
    </w:p>
    <w:p>
      <w:pPr>
        <w:spacing w:after="0" w:line="14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We seek to deploy capital primarily in the form of non-controlling investments in our portfolio companies. Although we primarily invest through private secondary markets, to the extent we made a direct minority investment in a portfolio company,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60"/>
          </w:cols>
          <w:pgMar w:left="320" w:top="124" w:right="319" w:bottom="1440" w:gutter="0" w:footer="0" w:header="0"/>
        </w:sectPr>
      </w:pPr>
    </w:p>
    <w:bookmarkStart w:id="11" w:name="page12"/>
    <w:bookmarkEnd w:id="1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neither we, nor GSV Asset Management, would have the ability to control the timing of when we realize capital gains or losses with respect to such investment. We expected the timing of such realization events to be determined by our portfolio companies in such cases. To the extent we had non-minority investments, or the securities we held were traded on a private secondary market or public securities exchange, GSV Asset Management would have greater control over the timing of a realization event. In such cases, our Board of Directors would monitor such investments in connection with their general oversight of the investment management services provided by GSV Asset Management. In addition, as of the end of each fiscal quarter, we would evaluate whether the cumulative aggregate unrealized appreciation on our portfolio would be sufficient to require us to pay an incentive fee to GSV Asset Management if such unrealized appreciation were actually realized as of the end of such quarter, and if so, we would accrue an expense equal to the amount of such incentive fee. Any such accrual of incentive fees would be reflected in the calculation of our net asset value.</w:t>
      </w:r>
    </w:p>
    <w:p>
      <w:pPr>
        <w:spacing w:after="0" w:line="148"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In no event would we pay an incentive fee for any calendar year that exceeded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See “Note 3—Related-Party Arrangements” to our consolidated financial statements as of December 31, 2019 for details of incentive fees paid and accrued.</w:t>
      </w:r>
    </w:p>
    <w:p>
      <w:pPr>
        <w:spacing w:after="0" w:line="13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cost of both the base management fee payable to GSV Asset Management, and any incentive fees earned by GSV Asset Management, were ultimately borne by our common stockholders. In aggregate, inclusive of accruals and reversals, GSV Asset Management earned $14,588,355 under the Investment Advisory Agreement during the fiscal years ended December 31, 2019, 2018 and 2017. Refer to our Consolidated Statements of Operation as of December 31, 2019, 2018 and 2017 included in Part II, Item 8 of this report on Form 10-K for details of management and incentive fees earned and waived.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Waiver Agreement</w:t>
      </w:r>
    </w:p>
    <w:p>
      <w:pPr>
        <w:spacing w:after="0" w:line="19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On February 2, 2018, GSV Asset Management voluntarily agreed to reduce the fees payable under the Investment Advisory Agreement pursuant to the Waiver Agreement. The Waiver Agreement was effective February 1, 2018 and changed the fee structure set forth in the Investment Advisory Agreement by: (i) reducing our base management fee from 2.00% to 1.75%; and (ii) creating certain high-water marks that were required to be reached before any incentive fee would be paid to GSV Asset Management. In addition to the foregoing changes to the fee structure, GSV Asset Management also agreed to a one-time forfeiture of $5.0 million of previously accrued but unpaid incentive fees.</w:t>
      </w:r>
    </w:p>
    <w:p>
      <w:pPr>
        <w:spacing w:after="0" w:line="140"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Pursuant to the Waiver Agreement, effective February 1, 2018, the base management fee was reduced to 1.75% of gross assets. The base management fee was calculated based on the average value of gross assets at the end of the two most recently completed calendar quarters, and appropriately adjusted for any equity or debt capital raises, repurchases or redemptions during the current calendar quarter. The base management fee for any partial month or quarter would be appropriately prorated. In addition, because our 5.25% Convertible Senior Notes matured on September 15, 2018 (the "5.25% Convertible Senior Notes due 2018"), we were previously carrying a larger cash balance than we would in the ordinary course of business. As a result, under the Waiver Agreement, GSV Asset Management agreed to waive its base management fee on any cash balances effective as of February 1, 2018 until the 5.25% Convertible Senior Notes due 2018 matured on September 15, 2018, at which time we repaid the remaining outstanding aggregate principal amount of the 5.25% Convertible Senior Notes due 2018, including accrued but unpaid interest. As a result, as of and after September 15, 2018, we paid GSV Asset Management a 1.75% base management fee on our cash balances.</w:t>
      </w:r>
    </w:p>
    <w:p>
      <w:pPr>
        <w:spacing w:after="0" w:line="160"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Further, pursuant to the Waiver Agreement, in addition to the “hurdle” feature in the incentive fee, GSV Asset Management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our stock price and our last reported net asset value per share were equal to or greater than $12.55 (the “High-Water Mark”). The High-Water Mark was based upon the volume weighted average price (VWAP) of all our equity offerings since the initial public offering, less the dollar amount of all dividends paid by us since inception. Upon such time that the High-Water Mark was achieved, and GSV Asset Management was paid an incentive fee, a new High-Water Mark would be established. Each new High-Water Mark would be equal to the most recent High-Water Mark, plus 10%. Any High-Water Mark then in effect would be adjusted to reflect any dividends paid by us or any stock split effected by us.</w:t>
      </w:r>
    </w:p>
    <w:p>
      <w:pPr>
        <w:spacing w:after="0" w:line="148"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For the avoidance of doubt, after these changes took effect, under no circumstances would the aggregate fees earned by GSV Asset Management in any quarterly period be higher than those aggregate fees that would have been earned prior to the effectiveness of the Waiver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60"/>
          </w:cols>
          <w:pgMar w:left="320" w:top="124" w:right="319" w:bottom="1440" w:gutter="0" w:footer="0" w:header="0"/>
        </w:sectPr>
      </w:pPr>
    </w:p>
    <w:bookmarkStart w:id="12" w:name="page13"/>
    <w:bookmarkEnd w:id="1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Payment of our Expenses</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Prior to our Internalization, our primary operating expenses were the payment of a base management fee and any incentive fees under the Investment Advisory Agreement and the allocable portion of overhead and other expenses incurred by GSV Capital Service Company in performing its obligations under the Administration Agreement. We bore all other costs and expenses of our operations, administration, and transactions, including (without limitation) fees and expenses relating to:</w:t>
      </w:r>
    </w:p>
    <w:p>
      <w:pPr>
        <w:spacing w:after="0" w:line="36" w:lineRule="exact"/>
        <w:rPr>
          <w:sz w:val="20"/>
          <w:szCs w:val="20"/>
          <w:color w:val="auto"/>
        </w:rPr>
      </w:pPr>
    </w:p>
    <w:p>
      <w:pPr>
        <w:ind w:left="1160" w:hanging="308"/>
        <w:spacing w:after="0"/>
        <w:tabs>
          <w:tab w:leader="none" w:pos="11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organization and offering;</w:t>
      </w:r>
    </w:p>
    <w:p>
      <w:pPr>
        <w:spacing w:after="0" w:line="82" w:lineRule="exact"/>
        <w:rPr>
          <w:rFonts w:ascii="Arial" w:cs="Arial" w:eastAsia="Arial" w:hAnsi="Arial"/>
          <w:sz w:val="15"/>
          <w:szCs w:val="15"/>
          <w:color w:val="auto"/>
        </w:rPr>
      </w:pPr>
    </w:p>
    <w:p>
      <w:pPr>
        <w:ind w:left="1160" w:hanging="308"/>
        <w:spacing w:after="0"/>
        <w:tabs>
          <w:tab w:leader="none" w:pos="11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calculating our net asset value (including the cost and expenses of any independent valuation firm);</w:t>
      </w:r>
    </w:p>
    <w:p>
      <w:pPr>
        <w:spacing w:after="0" w:line="82" w:lineRule="exact"/>
        <w:rPr>
          <w:rFonts w:ascii="Arial" w:cs="Arial" w:eastAsia="Arial" w:hAnsi="Arial"/>
          <w:sz w:val="15"/>
          <w:szCs w:val="15"/>
          <w:color w:val="auto"/>
        </w:rPr>
      </w:pPr>
    </w:p>
    <w:p>
      <w:pPr>
        <w:ind w:left="1100" w:hanging="271"/>
        <w:spacing w:after="0" w:line="291"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expenses incurred by GSV Asset Management payable to third parties, including agents, consultants, or other advisers in monitoring our financial and legal affairs and in providing administrative services, monitoring our investments and performing due diligence on any prospective portfolio companies;</w:t>
      </w:r>
    </w:p>
    <w:p>
      <w:pPr>
        <w:spacing w:after="0" w:line="2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interest payable on debt and any other related costs, if any, incurred to finance our investments;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cost of effecting sales and repurchases of shares our common stock and other securities;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investment advisory and management fees payable pursuant to the Investment Advisory Agreement</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administration fees, if any, payable pursuant to the Administration Agreement</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fees payable to third parties, including agents, consultants, or other advisers, relating to, or associated with, evaluating and making investments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transfer agent, trustee, and custodial fees;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federal and state registration fees;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all costs of registration and listing our shares on any securities exchange;</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federal, state, and local taxes;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independent directors’ fees and expenses, including travel expenses, and other costs of our Board of Directors’ meetings;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costs of preparing and filing reports or other documents required by the SEC;</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costs of any reports, proxy statements, or other notices to stockholders, including printing costs;</w:t>
      </w:r>
    </w:p>
    <w:p>
      <w:pPr>
        <w:spacing w:after="0" w:line="82" w:lineRule="exact"/>
        <w:rPr>
          <w:rFonts w:ascii="Arial" w:cs="Arial" w:eastAsia="Arial" w:hAnsi="Arial"/>
          <w:sz w:val="15"/>
          <w:szCs w:val="15"/>
          <w:color w:val="auto"/>
        </w:rPr>
      </w:pPr>
    </w:p>
    <w:p>
      <w:pPr>
        <w:ind w:left="1100" w:hanging="271"/>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allocable portion of the of the fidelity bond, directors and officers, errors and omissions liability insurance, and any other insurance premiums;</w:t>
      </w:r>
    </w:p>
    <w:p>
      <w:pPr>
        <w:spacing w:after="0" w:line="82" w:lineRule="exact"/>
        <w:rPr>
          <w:rFonts w:ascii="Arial" w:cs="Arial" w:eastAsia="Arial" w:hAnsi="Arial"/>
          <w:sz w:val="15"/>
          <w:szCs w:val="15"/>
          <w:color w:val="auto"/>
        </w:rPr>
      </w:pPr>
    </w:p>
    <w:p>
      <w:pPr>
        <w:ind w:left="1100" w:hanging="271"/>
        <w:spacing w:after="0" w:line="291"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fees and expenses associated with our website, public relations and marketing efforts (including attendance at industry and investor conferences and similar events);</w:t>
      </w:r>
    </w:p>
    <w:p>
      <w:pPr>
        <w:spacing w:after="0" w:line="22" w:lineRule="exact"/>
        <w:rPr>
          <w:rFonts w:ascii="Arial" w:cs="Arial" w:eastAsia="Arial" w:hAnsi="Arial"/>
          <w:sz w:val="15"/>
          <w:szCs w:val="15"/>
          <w:color w:val="auto"/>
        </w:rPr>
      </w:pPr>
    </w:p>
    <w:p>
      <w:pPr>
        <w:ind w:left="1100" w:hanging="271"/>
        <w:spacing w:after="0" w:line="291"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 costs and expenses of administration, including printing, mailing, long distance telephone, copying, secretarial and other staff, independent auditors, and outside legal costs; and</w:t>
      </w:r>
    </w:p>
    <w:p>
      <w:pPr>
        <w:spacing w:after="0" w:line="22" w:lineRule="exact"/>
        <w:rPr>
          <w:rFonts w:ascii="Arial" w:cs="Arial" w:eastAsia="Arial" w:hAnsi="Arial"/>
          <w:sz w:val="15"/>
          <w:szCs w:val="15"/>
          <w:color w:val="auto"/>
        </w:rPr>
      </w:pPr>
    </w:p>
    <w:p>
      <w:pPr>
        <w:jc w:val="both"/>
        <w:ind w:left="1100" w:hanging="271"/>
        <w:spacing w:after="0" w:line="269"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administrative support personnel.</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All of these expenses were ultimately borne by our common stockholders.</w:t>
      </w:r>
    </w:p>
    <w:p>
      <w:pPr>
        <w:spacing w:after="0" w:line="199"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All personnel of GSV Asset Management, when and to the extent engaged in providing investment advisory services, and the compensation and expenses of such personnel allocable to such services, were provided and paid for by GSV Asset Management.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Duration and Termination</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Investment Advisory Agreement was initially approved by our Board of Directors on March 28, 2011 and became effective on April 11, 2011.</w:t>
      </w:r>
    </w:p>
    <w:p>
      <w:pPr>
        <w:spacing w:after="0" w:line="199"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Unless earlier terminated as described below, the Investment Advisory Agreement would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would automatically terminate in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60"/>
          </w:cols>
          <w:pgMar w:left="320" w:top="124" w:right="319" w:bottom="1440" w:gutter="0" w:footer="0" w:header="0"/>
        </w:sectPr>
      </w:pPr>
    </w:p>
    <w:bookmarkStart w:id="13" w:name="page14"/>
    <w:bookmarkEnd w:id="1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the event of its assignment. The Investment Advisory Agreement could be terminated by either party without penalty upon not more than 60 days’ written notice to the other. The Investment Advisory Agreement could also be terminated, without penalty, upon the vote of a majority of our outstanding voting securities.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connection with our Internalization, the Investment Advisory Agreement was terminated on the Effective Date in accordance with its terms.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19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The Investment Advisory Agreement provided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would be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Board Approval of the Investment Advisory Agreement</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On April 9, 2018, at an in-person meeting, our Board of Directors, including a majority of the directors who were not “interested persons,” as defined by the 1940 Act, of the Company or GSV Asset Management, approved the continuation of the Investment Advisory Agreement to April 9, 2019. In its consideration of the re-approval of the Investment Advisory Agreement, the Board of Directors focused on information it had received relating to, among other things:</w:t>
      </w:r>
    </w:p>
    <w:p>
      <w:pPr>
        <w:spacing w:after="0" w:line="36" w:lineRule="exact"/>
        <w:rPr>
          <w:sz w:val="20"/>
          <w:szCs w:val="20"/>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nature, quality and extent of the advisory and other services to be provided to us by GSV Asset Management;</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investment performance of GSV Asset Management;</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comparative data with respect to advisory fees or similar expenses paid by other BDCs with similar investment objectives;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projected operating expenses and expense ratio;</w:t>
      </w:r>
    </w:p>
    <w:p>
      <w:pPr>
        <w:spacing w:after="0" w:line="82"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any existing and potential sources of indirect income to GSV Asset Management or GSV Capital Service Company from their relationships with us and the profitability of those relationships;</w:t>
      </w:r>
    </w:p>
    <w:p>
      <w:pPr>
        <w:spacing w:after="0" w:line="2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information about the services to be performed and the personnel performing such services under the Investment Advisory Agreement;</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organizational capability and financial condition of GSV Asset Management and its affiliates; and</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possibility of obtaining similar services from other third-party service providers or through an internally-managed structure.</w:t>
      </w:r>
    </w:p>
    <w:p>
      <w:pPr>
        <w:spacing w:after="0" w:line="234"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Based on the information reviewed and related discussions, our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our Board of Directors did not reach any specific conclusion on each factor considered, but rather, conducted an overall analysis of these factors. Individual members of the Board of Directors may have given different weights to different factors.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 Agreement</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i w:val="1"/>
          <w:iCs w:val="1"/>
          <w:color w:val="auto"/>
        </w:rPr>
        <w:t>The following disclosure regards the Administration Agreement, which was terminated in accordance with its terms on the Effective Date in connection with our Internalization. See “</w:t>
      </w:r>
      <w:r>
        <w:rPr>
          <w:rFonts w:ascii="Arial" w:cs="Arial" w:eastAsia="Arial" w:hAnsi="Arial"/>
          <w:sz w:val="15"/>
          <w:szCs w:val="15"/>
          <w:color w:val="auto"/>
        </w:rPr>
        <w:t>—</w:t>
      </w:r>
      <w:r>
        <w:rPr>
          <w:rFonts w:ascii="Arial" w:cs="Arial" w:eastAsia="Arial" w:hAnsi="Arial"/>
          <w:sz w:val="15"/>
          <w:szCs w:val="15"/>
          <w:i w:val="1"/>
          <w:iCs w:val="1"/>
          <w:color w:val="auto"/>
        </w:rPr>
        <w:t>Internalization of Operating Structure.”</w:t>
      </w:r>
    </w:p>
    <w:p>
      <w:pPr>
        <w:spacing w:after="0" w:line="13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Under the Administration Agreement, GSV Capital Service Company performed, or oversaw the performance of, our required administrative services, which included being responsible for the financial records that we are required to maintain and preparing reports to our stockholders and reports filed with the SEC. In addition, GSV Capital Service Company assisted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Further, pursuant to the Administration Agreement, GSV Capital Service Company furnished us with office facilities, together with equipment and clerical, bookkeeping and record-keeping services at such facilities.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60"/>
          </w:cols>
          <w:pgMar w:left="320" w:top="124" w:right="319" w:bottom="1440" w:gutter="0" w:footer="0" w:header="0"/>
        </w:sectPr>
      </w:pPr>
    </w:p>
    <w:bookmarkStart w:id="14" w:name="page15"/>
    <w:bookmarkEnd w:id="1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Incurred Under the Administration Agreement</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Costs incurred under the Administration Agreement were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administrative services.</w:t>
      </w:r>
    </w:p>
    <w:p>
      <w:pPr>
        <w:spacing w:after="0" w:line="15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In accordance with the terms of the Administration Agreement, overhead and other administrative expenses were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Capital Service Company performed administrative tasks for GSV Asset Management, the fees incurred with respect to the actual time dedicated to such tasks would be reimbursed by GSV Asset Management. While there was no limit on the total amount of expenses we could be required to reimburse to GSV Capital Service Company, our administrator would only charge us for the actual expenses it incurred on our behalf, or our allocable portion thereof, without any profit to GSV Capital Service Company.</w:t>
      </w:r>
    </w:p>
    <w:p>
      <w:pPr>
        <w:spacing w:after="0" w:line="158"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GSV Asset Management wholly owns and controls GSV Capital Service Company, which is a disregarded entity for tax purposes. The Administration Agreement could be terminated at any time without penalty upon 60 days’ written notice, by a vote of a majority of our outstanding voting securities, by a vote of our Board of Directors or by GSV Capital Service Company.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connection with our Internalization, the Administration Agreement was terminated on the Effective Date in accordance with its terms.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199" w:lineRule="exact"/>
        <w:rPr>
          <w:sz w:val="20"/>
          <w:szCs w:val="20"/>
          <w:color w:val="auto"/>
        </w:rPr>
      </w:pPr>
    </w:p>
    <w:p>
      <w:pPr>
        <w:jc w:val="both"/>
        <w:ind w:right="20" w:firstLine="302"/>
        <w:spacing w:after="0" w:line="294" w:lineRule="auto"/>
        <w:rPr>
          <w:sz w:val="20"/>
          <w:szCs w:val="20"/>
          <w:color w:val="auto"/>
        </w:rPr>
      </w:pPr>
      <w:r>
        <w:rPr>
          <w:rFonts w:ascii="Arial" w:cs="Arial" w:eastAsia="Arial" w:hAnsi="Arial"/>
          <w:sz w:val="14"/>
          <w:szCs w:val="14"/>
          <w:color w:val="auto"/>
        </w:rPr>
        <w:t>The Administration Agreement provided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would be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as a Business Development Company</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56"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56"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56"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60"/>
          </w:cols>
          <w:pgMar w:left="320" w:top="124" w:right="319" w:bottom="1440" w:gutter="0" w:footer="0" w:header="0"/>
        </w:sectPr>
      </w:pPr>
    </w:p>
    <w:bookmarkStart w:id="15" w:name="page16"/>
    <w:bookmarkEnd w:id="1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certain transactions with our affiliates without the prior approval of our directors who are not interested persons and, in some cases, prior approval by the SEC.</w:t>
      </w:r>
    </w:p>
    <w:p>
      <w:pPr>
        <w:spacing w:after="0" w:line="19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The Small Business Credit Availability Act (the “SBCAA”) modifies the asset coverage percentage from 200% to 150%.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88"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 SBCAA also instructs the SEC to issue rules or amendments to rules allowing BDCs to use the same securities offering and proxy rules that available to operating companies, including, among other things, allowing BDCs to incorporate by reference in registration statements filed with the SEC and allow certain BDCs to file shelf registration statements that are automatically effective and take advantage of other benefits available to Well-Known Seasoned Issuers; however, as of the date of this Form 10-K, we do not know when the rules relating to this legislation will become effective.</w:t>
      </w:r>
    </w:p>
    <w:p>
      <w:pPr>
        <w:spacing w:after="0" w:line="86"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4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56"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We are generally not able to issue and sell our common stock at a price below net asset value per share. See “Risk Factors—Risks Related to Our Business and Structure— 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58"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 We, GSV Asset Management and certain of our affiliates submitted an exemptive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subject to periodic examination by the SEC for compliance with the 1940 Act.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a BDC, we are subject to certain risks and uncertainties. See “Risk Factors—Risks Related to Our Business and Structure” in Part I, Item 1A of this Form 10-K.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60"/>
          </w:cols>
          <w:pgMar w:left="320" w:top="124" w:right="319" w:bottom="1440" w:gutter="0" w:footer="0" w:header="0"/>
        </w:sectPr>
      </w:pPr>
    </w:p>
    <w:bookmarkStart w:id="16" w:name="page17"/>
    <w:bookmarkEnd w:id="1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Qualifying Assets</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52" w:lineRule="exact"/>
        <w:rPr>
          <w:sz w:val="20"/>
          <w:szCs w:val="20"/>
          <w:color w:val="auto"/>
        </w:rPr>
      </w:pPr>
    </w:p>
    <w:p>
      <w:pPr>
        <w:jc w:val="both"/>
        <w:ind w:left="560" w:hanging="288"/>
        <w:spacing w:after="0" w:line="274"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87" w:lineRule="exact"/>
        <w:rPr>
          <w:rFonts w:ascii="Arial" w:cs="Arial" w:eastAsia="Arial" w:hAnsi="Arial"/>
          <w:sz w:val="15"/>
          <w:szCs w:val="15"/>
          <w:color w:val="auto"/>
        </w:rPr>
      </w:pPr>
    </w:p>
    <w:p>
      <w:pPr>
        <w:ind w:left="820" w:hanging="270"/>
        <w:spacing w:after="0"/>
        <w:tabs>
          <w:tab w:leader="none" w:pos="8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is organized under the laws of, and has its principal place of business in, the United States;</w:t>
      </w:r>
    </w:p>
    <w:p>
      <w:pPr>
        <w:spacing w:after="0" w:line="233" w:lineRule="exact"/>
        <w:rPr>
          <w:rFonts w:ascii="Arial" w:cs="Arial" w:eastAsia="Arial" w:hAnsi="Arial"/>
          <w:sz w:val="15"/>
          <w:szCs w:val="15"/>
          <w:color w:val="auto"/>
        </w:rPr>
      </w:pPr>
    </w:p>
    <w:p>
      <w:pPr>
        <w:ind w:left="820" w:right="20" w:hanging="270"/>
        <w:spacing w:after="0" w:line="291" w:lineRule="auto"/>
        <w:tabs>
          <w:tab w:leader="none" w:pos="8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BDC) or a company that would be an investment company but for certain exclusions under the 1940 Act; and</w:t>
      </w:r>
    </w:p>
    <w:p>
      <w:pPr>
        <w:spacing w:after="0" w:line="173" w:lineRule="exact"/>
        <w:rPr>
          <w:rFonts w:ascii="Arial" w:cs="Arial" w:eastAsia="Arial" w:hAnsi="Arial"/>
          <w:sz w:val="15"/>
          <w:szCs w:val="15"/>
          <w:color w:val="auto"/>
        </w:rPr>
      </w:pPr>
    </w:p>
    <w:p>
      <w:pPr>
        <w:ind w:left="820" w:hanging="270"/>
        <w:spacing w:after="0"/>
        <w:tabs>
          <w:tab w:leader="none" w:pos="8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satisfies any of the following:</w:t>
      </w:r>
    </w:p>
    <w:p>
      <w:pPr>
        <w:spacing w:after="0" w:line="233" w:lineRule="exact"/>
        <w:rPr>
          <w:rFonts w:ascii="Arial" w:cs="Arial" w:eastAsia="Arial" w:hAnsi="Arial"/>
          <w:sz w:val="15"/>
          <w:szCs w:val="15"/>
          <w:color w:val="auto"/>
        </w:rPr>
      </w:pPr>
    </w:p>
    <w:p>
      <w:pPr>
        <w:ind w:left="1100" w:hanging="271"/>
        <w:spacing w:after="0"/>
        <w:tabs>
          <w:tab w:leader="none" w:pos="1100" w:val="left"/>
        </w:tabs>
        <w:numPr>
          <w:ilvl w:val="2"/>
          <w:numId w:val="13"/>
        </w:numPr>
        <w:rPr>
          <w:rFonts w:ascii="Arial" w:cs="Arial" w:eastAsia="Arial" w:hAnsi="Arial"/>
          <w:sz w:val="15"/>
          <w:szCs w:val="15"/>
          <w:color w:val="auto"/>
        </w:rPr>
      </w:pPr>
      <w:r>
        <w:rPr>
          <w:rFonts w:ascii="Arial" w:cs="Arial" w:eastAsia="Arial" w:hAnsi="Arial"/>
          <w:sz w:val="15"/>
          <w:szCs w:val="15"/>
          <w:color w:val="auto"/>
        </w:rPr>
        <w:t>does not have any class of securities that is traded on a national securities exchange;</w:t>
      </w:r>
    </w:p>
    <w:p>
      <w:pPr>
        <w:spacing w:after="0" w:line="233" w:lineRule="exact"/>
        <w:rPr>
          <w:rFonts w:ascii="Arial" w:cs="Arial" w:eastAsia="Arial" w:hAnsi="Arial"/>
          <w:sz w:val="15"/>
          <w:szCs w:val="15"/>
          <w:color w:val="auto"/>
        </w:rPr>
      </w:pPr>
    </w:p>
    <w:p>
      <w:pPr>
        <w:ind w:left="1100" w:right="20" w:hanging="271"/>
        <w:spacing w:after="0" w:line="291" w:lineRule="auto"/>
        <w:tabs>
          <w:tab w:leader="none" w:pos="1100" w:val="left"/>
        </w:tabs>
        <w:numPr>
          <w:ilvl w:val="2"/>
          <w:numId w:val="13"/>
        </w:numPr>
        <w:rPr>
          <w:rFonts w:ascii="Arial" w:cs="Arial" w:eastAsia="Arial" w:hAnsi="Arial"/>
          <w:sz w:val="15"/>
          <w:szCs w:val="15"/>
          <w:color w:val="auto"/>
        </w:rPr>
      </w:pPr>
      <w:r>
        <w:rPr>
          <w:rFonts w:ascii="Arial" w:cs="Arial" w:eastAsia="Arial" w:hAnsi="Arial"/>
          <w:sz w:val="15"/>
          <w:szCs w:val="15"/>
          <w:color w:val="auto"/>
        </w:rPr>
        <w:t>has a class of securities listed on a national securities exchange, but has an aggregate market value of outstanding voting and non-voting common equity of less than $250.0 million;</w:t>
      </w:r>
    </w:p>
    <w:p>
      <w:pPr>
        <w:spacing w:after="0" w:line="173" w:lineRule="exact"/>
        <w:rPr>
          <w:rFonts w:ascii="Arial" w:cs="Arial" w:eastAsia="Arial" w:hAnsi="Arial"/>
          <w:sz w:val="15"/>
          <w:szCs w:val="15"/>
          <w:color w:val="auto"/>
        </w:rPr>
      </w:pPr>
    </w:p>
    <w:p>
      <w:pPr>
        <w:ind w:left="1100" w:hanging="271"/>
        <w:spacing w:after="0"/>
        <w:tabs>
          <w:tab w:leader="none" w:pos="1100" w:val="left"/>
        </w:tabs>
        <w:numPr>
          <w:ilvl w:val="2"/>
          <w:numId w:val="13"/>
        </w:numPr>
        <w:rPr>
          <w:rFonts w:ascii="Arial" w:cs="Arial" w:eastAsia="Arial" w:hAnsi="Arial"/>
          <w:sz w:val="15"/>
          <w:szCs w:val="15"/>
          <w:color w:val="auto"/>
        </w:rPr>
      </w:pPr>
      <w:r>
        <w:rPr>
          <w:rFonts w:ascii="Arial" w:cs="Arial" w:eastAsia="Arial" w:hAnsi="Arial"/>
          <w:sz w:val="15"/>
          <w:szCs w:val="15"/>
          <w:color w:val="auto"/>
        </w:rPr>
        <w:t>is controlled by a BDC or a group of companies including a BDC and the BDC has an affiliated person who is a director of the eligible portfolio company;</w:t>
      </w:r>
    </w:p>
    <w:p>
      <w:pPr>
        <w:spacing w:after="0" w:line="233" w:lineRule="exact"/>
        <w:rPr>
          <w:rFonts w:ascii="Arial" w:cs="Arial" w:eastAsia="Arial" w:hAnsi="Arial"/>
          <w:sz w:val="15"/>
          <w:szCs w:val="15"/>
          <w:color w:val="auto"/>
        </w:rPr>
      </w:pPr>
    </w:p>
    <w:p>
      <w:pPr>
        <w:ind w:left="1100" w:hanging="271"/>
        <w:spacing w:after="0"/>
        <w:tabs>
          <w:tab w:leader="none" w:pos="1100" w:val="left"/>
        </w:tabs>
        <w:numPr>
          <w:ilvl w:val="2"/>
          <w:numId w:val="13"/>
        </w:numPr>
        <w:rPr>
          <w:rFonts w:ascii="Arial" w:cs="Arial" w:eastAsia="Arial" w:hAnsi="Arial"/>
          <w:sz w:val="15"/>
          <w:szCs w:val="15"/>
          <w:color w:val="auto"/>
        </w:rPr>
      </w:pPr>
      <w:r>
        <w:rPr>
          <w:rFonts w:ascii="Arial" w:cs="Arial" w:eastAsia="Arial" w:hAnsi="Arial"/>
          <w:sz w:val="15"/>
          <w:szCs w:val="15"/>
          <w:color w:val="auto"/>
        </w:rPr>
        <w:t>is a small and solvent company having gross assets of not more than $4.0 million and capital and surplus of not less than $2.0 million; or</w:t>
      </w:r>
    </w:p>
    <w:p>
      <w:pPr>
        <w:spacing w:after="0" w:line="233" w:lineRule="exact"/>
        <w:rPr>
          <w:rFonts w:ascii="Arial" w:cs="Arial" w:eastAsia="Arial" w:hAnsi="Arial"/>
          <w:sz w:val="15"/>
          <w:szCs w:val="15"/>
          <w:color w:val="auto"/>
        </w:rPr>
      </w:pPr>
    </w:p>
    <w:p>
      <w:pPr>
        <w:ind w:left="1100" w:hanging="271"/>
        <w:spacing w:after="0"/>
        <w:tabs>
          <w:tab w:leader="none" w:pos="1100" w:val="left"/>
        </w:tabs>
        <w:numPr>
          <w:ilvl w:val="2"/>
          <w:numId w:val="13"/>
        </w:numPr>
        <w:rPr>
          <w:rFonts w:ascii="Arial" w:cs="Arial" w:eastAsia="Arial" w:hAnsi="Arial"/>
          <w:sz w:val="15"/>
          <w:szCs w:val="15"/>
          <w:color w:val="auto"/>
        </w:rPr>
      </w:pPr>
      <w:r>
        <w:rPr>
          <w:rFonts w:ascii="Arial" w:cs="Arial" w:eastAsia="Arial" w:hAnsi="Arial"/>
          <w:sz w:val="15"/>
          <w:szCs w:val="15"/>
          <w:color w:val="auto"/>
        </w:rPr>
        <w:t>meets such other criteria as may be established by the SEC.</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Securities of any eligible portfolio company which we control.</w:t>
      </w:r>
    </w:p>
    <w:p>
      <w:pPr>
        <w:spacing w:after="0" w:line="233" w:lineRule="exact"/>
        <w:rPr>
          <w:rFonts w:ascii="Arial" w:cs="Arial" w:eastAsia="Arial" w:hAnsi="Arial"/>
          <w:sz w:val="15"/>
          <w:szCs w:val="15"/>
          <w:color w:val="auto"/>
        </w:rPr>
      </w:pPr>
    </w:p>
    <w:p>
      <w:pPr>
        <w:jc w:val="both"/>
        <w:ind w:left="560" w:hanging="288"/>
        <w:spacing w:after="0" w:line="274"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87"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3" w:lineRule="exact"/>
        <w:rPr>
          <w:rFonts w:ascii="Arial" w:cs="Arial" w:eastAsia="Arial" w:hAnsi="Arial"/>
          <w:sz w:val="15"/>
          <w:szCs w:val="15"/>
          <w:color w:val="auto"/>
        </w:rPr>
      </w:pPr>
    </w:p>
    <w:p>
      <w:pPr>
        <w:ind w:left="560" w:hanging="288"/>
        <w:spacing w:after="0" w:line="291" w:lineRule="auto"/>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Securities received in exchange for or distributed on or with respect to securities described in 1 through 4 above, or pursuant to the exercise of options, warrants or rights relating to such securities.</w:t>
      </w:r>
    </w:p>
    <w:p>
      <w:pPr>
        <w:spacing w:after="0" w:line="173"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Cash, cash equivalents, U.S. government securities or high-quality debt securities maturing in one year or less from the time of investment.</w:t>
      </w:r>
    </w:p>
    <w:p>
      <w:pPr>
        <w:spacing w:after="0" w:line="234"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60"/>
          </w:cols>
          <w:pgMar w:left="320" w:top="124" w:right="319" w:bottom="1440" w:gutter="0" w:footer="0" w:header="0"/>
        </w:sectPr>
      </w:pPr>
    </w:p>
    <w:bookmarkStart w:id="17" w:name="page18"/>
    <w:bookmarkEnd w:id="1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were comprised of qualifying assets. We would not be required, however, to dispose of any non-qualifying assets in such circumstances.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Managerial Assistance to Portfolio Companies</w:t>
      </w:r>
    </w:p>
    <w:p>
      <w:pPr>
        <w:spacing w:after="0" w:line="19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Temporary Investments</w:t>
      </w:r>
    </w:p>
    <w:p>
      <w:pPr>
        <w:spacing w:after="0" w:line="199"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4"/>
          <w:szCs w:val="14"/>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Warrants and Options</w:t>
      </w:r>
    </w:p>
    <w:p>
      <w:pPr>
        <w:spacing w:after="0" w:line="199"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Senior Securities</w:t>
      </w:r>
    </w:p>
    <w:p>
      <w:pPr>
        <w:spacing w:after="0" w:line="199" w:lineRule="exact"/>
        <w:rPr>
          <w:sz w:val="20"/>
          <w:szCs w:val="20"/>
          <w:color w:val="auto"/>
        </w:rPr>
      </w:pPr>
    </w:p>
    <w:p>
      <w:pPr>
        <w:jc w:val="both"/>
        <w:ind w:right="20" w:firstLine="279"/>
        <w:spacing w:after="0" w:line="263"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our 4.75% Convertible Senior Notes due 2023 (the "4.75% Convertible Senior Notes due 2023"), can magnify the potential for gain or loss on amounts invested and may increase the risk of investing in us.” in Part I, Item 1A of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Code of Ethics</w:t>
      </w:r>
    </w:p>
    <w:p>
      <w:pPr>
        <w:spacing w:after="0" w:line="19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and are available on our website. You may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60"/>
          </w:cols>
          <w:pgMar w:left="320" w:top="124" w:right="319" w:bottom="1440" w:gutter="0" w:footer="0" w:header="0"/>
        </w:sectPr>
      </w:pPr>
    </w:p>
    <w:bookmarkStart w:id="18" w:name="page19"/>
    <w:bookmarkEnd w:id="1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also obtain copies of our code of ethics and our code of business conduct and ethics, after paying a duplicating fee, by electronic request at the following Email address: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publicinfo@sec.gov.</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Policies and Procedures</w:t>
      </w:r>
    </w:p>
    <w:p>
      <w:pPr>
        <w:spacing w:after="0" w:line="205"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with Corporate Governance Regulations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Sarbanes-Oxley Act imposes a wide variety of regulatory requirements on publicly held companies and their insiders. Many of these requirements affect us. For example:</w:t>
      </w:r>
    </w:p>
    <w:p>
      <w:pPr>
        <w:spacing w:after="0" w:line="211" w:lineRule="exact"/>
        <w:rPr>
          <w:sz w:val="20"/>
          <w:szCs w:val="20"/>
          <w:color w:val="auto"/>
        </w:rPr>
      </w:pPr>
    </w:p>
    <w:p>
      <w:pPr>
        <w:ind w:left="560" w:hanging="288"/>
        <w:spacing w:after="0" w:line="291"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pursuant to Rule 13a-14 of the Exchange Act, our Chief Executive Officer and Chief Financial Officer must certify the accuracy of the financial statements contained in our periodic reports;</w:t>
      </w:r>
    </w:p>
    <w:p>
      <w:pPr>
        <w:spacing w:after="0" w:line="173"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pursuant to Item 307 of Regulation S-K, our periodic reports must disclose our conclusions about the effectiveness of our disclosure controls and procedures;</w:t>
      </w:r>
    </w:p>
    <w:p>
      <w:pPr>
        <w:spacing w:after="0" w:line="233" w:lineRule="exact"/>
        <w:rPr>
          <w:rFonts w:ascii="Arial" w:cs="Arial" w:eastAsia="Arial" w:hAnsi="Arial"/>
          <w:sz w:val="15"/>
          <w:szCs w:val="15"/>
          <w:color w:val="auto"/>
        </w:rPr>
      </w:pPr>
    </w:p>
    <w:p>
      <w:pPr>
        <w:ind w:left="560" w:right="20" w:hanging="288"/>
        <w:spacing w:after="0" w:line="328" w:lineRule="auto"/>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175" w:lineRule="exact"/>
        <w:rPr>
          <w:rFonts w:ascii="Arial" w:cs="Arial" w:eastAsia="Arial" w:hAnsi="Arial"/>
          <w:sz w:val="14"/>
          <w:szCs w:val="14"/>
          <w:color w:val="auto"/>
        </w:rPr>
      </w:pPr>
    </w:p>
    <w:p>
      <w:pPr>
        <w:jc w:val="both"/>
        <w:ind w:left="560" w:hanging="288"/>
        <w:spacing w:after="0" w:line="331"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57"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52"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Proxy Voting Policies and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Proxy Policies</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52"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Proxy Voting Records</w:t>
      </w:r>
    </w:p>
    <w:p>
      <w:pPr>
        <w:spacing w:after="0" w:line="19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You may obtain information about how we voted proxies with respect to our portfolio securities by making a written request for proxy voting information to: Chief Compliance Officer, Sutter Rock Capital Corp., One Sansome Street, Suite 730, San Francisco, CA 94104 or compliance@sutterrock.com.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60"/>
          </w:cols>
          <w:pgMar w:left="320" w:top="124" w:right="319" w:bottom="1440" w:gutter="0" w:footer="0" w:header="0"/>
        </w:sectPr>
      </w:pPr>
    </w:p>
    <w:bookmarkStart w:id="19" w:name="page20"/>
    <w:bookmarkEnd w:id="1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Privacy Principles</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52"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 xml:space="preserve">The SEC maintains an Internet site that contains reports, proxy and information statements, and other information regarding issuers that file electronically with the SEC. The address of that site is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13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 xml:space="preserve">Our internet address is </w:t>
      </w:r>
      <w:r>
        <w:rPr>
          <w:rFonts w:ascii="Arial" w:cs="Arial" w:eastAsia="Arial" w:hAnsi="Arial"/>
          <w:sz w:val="15"/>
          <w:szCs w:val="15"/>
          <w:i w:val="1"/>
          <w:iCs w:val="1"/>
          <w:color w:val="auto"/>
        </w:rPr>
        <w:t>www.sutterrock.com.</w:t>
      </w:r>
      <w:r>
        <w:rPr>
          <w:rFonts w:ascii="Arial" w:cs="Arial" w:eastAsia="Arial" w:hAnsi="Arial"/>
          <w:sz w:val="15"/>
          <w:szCs w:val="15"/>
          <w:color w:val="auto"/>
        </w:rPr>
        <w:t xml:space="preserve">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20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Included in our consolidated financial statements, the following wholly-owned subsidiaries are taxable subsidiaries (collectively, the “Taxable Subsidiaries”), regardless of whether we qualify for tax treatment as a RIC: GSVC AE Holdings, Inc., GSVC AV Holdings, Inc., GSVC NG Holdings, Inc., GSVC SW Holdings, Inc., GSVC WS Holdings, Inc., and GSVC SVDS Holdings, Inc. The Taxable Subsidiaries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5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Election to be Taxed as a RIC</w:t>
      </w:r>
    </w:p>
    <w:p>
      <w:pPr>
        <w:spacing w:after="0" w:line="199"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We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4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As a RIC, we generally will not be subject to corporate-level U.S. federal income taxes on any income that we distribute to our stockholders. To maintain our tax status as a RIC, we must, among other things, meet certain source-of-income and asset diversification requirements (as described below). In addition, in order to maintain our status as a RIC, we must timely distribute to our stockholders, for each taxable year, at least 90.0% of our “investment company taxable income,” which is generally our net ordinary income plus the excess, if any, of realized net short-term capital gain over realized net long-term capital loss, or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60"/>
          </w:cols>
          <w:pgMar w:left="320" w:top="124" w:right="319" w:bottom="1440" w:gutter="0" w:footer="0" w:header="0"/>
        </w:sectPr>
      </w:pPr>
    </w:p>
    <w:bookmarkStart w:id="20" w:name="page21"/>
    <w:bookmarkEnd w:id="20"/>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left="7" w:right="20"/>
        <w:spacing w:after="0" w:line="294" w:lineRule="auto"/>
        <w:rPr>
          <w:sz w:val="20"/>
          <w:szCs w:val="20"/>
          <w:color w:val="auto"/>
        </w:rPr>
      </w:pPr>
      <w:r>
        <w:rPr>
          <w:rFonts w:ascii="Arial" w:cs="Arial" w:eastAsia="Arial" w:hAnsi="Arial"/>
          <w:sz w:val="14"/>
          <w:szCs w:val="14"/>
          <w:color w:val="auto"/>
        </w:rPr>
        <w:t>Annual Distribution Requirement. Depending on the level of taxable income earned in a tax year, we may choose to carry forward taxable income in excess of current year distributions into the next tax year and pay a 4.0%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corporate-level U.S. federal income tax on our undistributed taxable income and could be subject to U.S. federal excise, state, local and foreign taxes.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Taxation as a Regulated Investment Company</w:t>
      </w:r>
    </w:p>
    <w:p>
      <w:pPr>
        <w:spacing w:after="0" w:line="19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If we:</w:t>
      </w:r>
    </w:p>
    <w:p>
      <w:pPr>
        <w:spacing w:after="0" w:line="118" w:lineRule="exact"/>
        <w:rPr>
          <w:sz w:val="20"/>
          <w:szCs w:val="20"/>
          <w:color w:val="auto"/>
        </w:rPr>
      </w:pPr>
    </w:p>
    <w:p>
      <w:pPr>
        <w:ind w:left="567" w:hanging="288"/>
        <w:spacing w:after="0"/>
        <w:tabs>
          <w:tab w:leader="none" w:pos="5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qualify as a RIC; and</w:t>
      </w:r>
    </w:p>
    <w:p>
      <w:pPr>
        <w:spacing w:after="0" w:line="94" w:lineRule="exact"/>
        <w:rPr>
          <w:rFonts w:ascii="Arial" w:cs="Arial" w:eastAsia="Arial" w:hAnsi="Arial"/>
          <w:sz w:val="15"/>
          <w:szCs w:val="15"/>
          <w:color w:val="auto"/>
        </w:rPr>
      </w:pPr>
    </w:p>
    <w:p>
      <w:pPr>
        <w:ind w:left="567" w:hanging="288"/>
        <w:spacing w:after="0"/>
        <w:tabs>
          <w:tab w:leader="none" w:pos="5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satisfy the Annual Distribution Requirement,</w:t>
      </w:r>
    </w:p>
    <w:p>
      <w:pPr>
        <w:spacing w:after="0" w:line="234" w:lineRule="exact"/>
        <w:rPr>
          <w:sz w:val="20"/>
          <w:szCs w:val="20"/>
          <w:color w:val="auto"/>
        </w:rPr>
      </w:pPr>
    </w:p>
    <w:p>
      <w:pPr>
        <w:ind w:left="7"/>
        <w:spacing w:after="0" w:line="291" w:lineRule="auto"/>
        <w:rPr>
          <w:sz w:val="20"/>
          <w:szCs w:val="20"/>
          <w:color w:val="auto"/>
        </w:rPr>
      </w:pPr>
      <w:r>
        <w:rPr>
          <w:rFonts w:ascii="Arial" w:cs="Arial" w:eastAsia="Arial" w:hAnsi="Arial"/>
          <w:sz w:val="15"/>
          <w:szCs w:val="15"/>
          <w:color w:val="auto"/>
        </w:rPr>
        <w:t>then we will not be subject to U.S. federal income tax on the portion of our income we distribute (or are deemed to distribute) to stockholders. We will be subject to U.S. federal income tax at the regular corporate rates on any income, including capital gains not distributed (or deemed distributed) to our stockholders.</w:t>
      </w:r>
    </w:p>
    <w:p>
      <w:pPr>
        <w:spacing w:after="0" w:line="139" w:lineRule="exact"/>
        <w:rPr>
          <w:sz w:val="20"/>
          <w:szCs w:val="20"/>
          <w:color w:val="auto"/>
        </w:rPr>
      </w:pPr>
    </w:p>
    <w:p>
      <w:pPr>
        <w:ind w:left="307"/>
        <w:spacing w:after="0"/>
        <w:rPr>
          <w:sz w:val="20"/>
          <w:szCs w:val="20"/>
          <w:color w:val="auto"/>
        </w:rPr>
      </w:pPr>
      <w:r>
        <w:rPr>
          <w:rFonts w:ascii="Arial" w:cs="Arial" w:eastAsia="Arial" w:hAnsi="Arial"/>
          <w:sz w:val="14"/>
          <w:szCs w:val="14"/>
          <w:color w:val="auto"/>
        </w:rPr>
        <w:t>We will be subject to a 4% nondeductible U.S. federal excise tax on certain undistributed income unless we distribute in a timely manner an amount at least equal to the sum of</w:t>
      </w:r>
    </w:p>
    <w:p>
      <w:pPr>
        <w:spacing w:after="0" w:line="35" w:lineRule="exact"/>
        <w:rPr>
          <w:sz w:val="20"/>
          <w:szCs w:val="20"/>
          <w:color w:val="auto"/>
        </w:rPr>
      </w:pPr>
    </w:p>
    <w:p>
      <w:pPr>
        <w:jc w:val="both"/>
        <w:ind w:left="7" w:right="20" w:hanging="7"/>
        <w:spacing w:after="0" w:line="264" w:lineRule="auto"/>
        <w:tabs>
          <w:tab w:leader="none" w:pos="231" w:val="left"/>
        </w:tabs>
        <w:numPr>
          <w:ilvl w:val="0"/>
          <w:numId w:val="16"/>
        </w:numPr>
        <w:rPr>
          <w:rFonts w:ascii="Arial" w:cs="Arial" w:eastAsia="Arial" w:hAnsi="Arial"/>
          <w:sz w:val="15"/>
          <w:szCs w:val="15"/>
          <w:color w:val="auto"/>
        </w:rPr>
      </w:pPr>
      <w:r>
        <w:rPr>
          <w:rFonts w:ascii="Arial" w:cs="Arial" w:eastAsia="Arial" w:hAnsi="Arial"/>
          <w:sz w:val="15"/>
          <w:szCs w:val="15"/>
          <w:color w:val="auto"/>
        </w:rPr>
        <w:t>98% of our net ordinary income for each calendar year, (2) 98.2% of our capital gains in excess of capital losses for the one-year period ending October 31 in that calendar year and (3) any ordinary income and net capital gains we recognized in preceding years but were not distributed during such years and on which we paid no U.S. federal income tax (the “Excise Tax Avoidance Requirement”). We generally will endeavor in each year to make sufficient distributions to our stockholders to avoid any U.S. federal excise tax on our earnings.</w:t>
      </w:r>
    </w:p>
    <w:p>
      <w:pPr>
        <w:spacing w:after="0" w:line="160" w:lineRule="exact"/>
        <w:rPr>
          <w:sz w:val="20"/>
          <w:szCs w:val="20"/>
          <w:color w:val="auto"/>
        </w:rPr>
      </w:pPr>
    </w:p>
    <w:p>
      <w:pPr>
        <w:ind w:left="287"/>
        <w:spacing w:after="0"/>
        <w:rPr>
          <w:sz w:val="20"/>
          <w:szCs w:val="20"/>
          <w:color w:val="auto"/>
        </w:rPr>
      </w:pPr>
      <w:r>
        <w:rPr>
          <w:rFonts w:ascii="Arial" w:cs="Arial" w:eastAsia="Arial" w:hAnsi="Arial"/>
          <w:sz w:val="15"/>
          <w:szCs w:val="15"/>
          <w:color w:val="auto"/>
        </w:rPr>
        <w:t>In order to qualify as a RIC for U.S. federal income tax purposes, we must, among other things:</w:t>
      </w:r>
    </w:p>
    <w:p>
      <w:pPr>
        <w:spacing w:after="0" w:line="199" w:lineRule="exact"/>
        <w:rPr>
          <w:sz w:val="20"/>
          <w:szCs w:val="20"/>
          <w:color w:val="auto"/>
        </w:rPr>
      </w:pPr>
    </w:p>
    <w:p>
      <w:pPr>
        <w:ind w:left="567" w:hanging="288"/>
        <w:spacing w:after="0"/>
        <w:tabs>
          <w:tab w:leader="none" w:pos="5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have in effect an election to be regulated as a BDC under the 1940 Act at all times during each taxable year;</w:t>
      </w:r>
    </w:p>
    <w:p>
      <w:pPr>
        <w:spacing w:after="0" w:line="199" w:lineRule="exact"/>
        <w:rPr>
          <w:rFonts w:ascii="Arial" w:cs="Arial" w:eastAsia="Arial" w:hAnsi="Arial"/>
          <w:sz w:val="15"/>
          <w:szCs w:val="15"/>
          <w:color w:val="auto"/>
        </w:rPr>
      </w:pPr>
    </w:p>
    <w:p>
      <w:pPr>
        <w:jc w:val="both"/>
        <w:ind w:left="567" w:hanging="288"/>
        <w:spacing w:after="0" w:line="274" w:lineRule="auto"/>
        <w:tabs>
          <w:tab w:leader="none" w:pos="5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w:t>
      </w:r>
    </w:p>
    <w:p>
      <w:pPr>
        <w:spacing w:after="0" w:line="152" w:lineRule="exact"/>
        <w:rPr>
          <w:rFonts w:ascii="Arial" w:cs="Arial" w:eastAsia="Arial" w:hAnsi="Arial"/>
          <w:sz w:val="15"/>
          <w:szCs w:val="15"/>
          <w:color w:val="auto"/>
        </w:rPr>
      </w:pPr>
    </w:p>
    <w:p>
      <w:pPr>
        <w:ind w:left="567" w:hanging="288"/>
        <w:spacing w:after="0" w:line="291" w:lineRule="auto"/>
        <w:tabs>
          <w:tab w:leader="none" w:pos="5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distribute to our stockholders on a timely basis each year at least 90% of “investment company taxable income,” which is generally our net ordinary income plus the excess of realized net short-term capital gains over realized net long-term capital losses (the “Annual Distribution Requirement”). and</w:t>
      </w:r>
    </w:p>
    <w:p>
      <w:pPr>
        <w:spacing w:after="0" w:line="139" w:lineRule="exact"/>
        <w:rPr>
          <w:rFonts w:ascii="Arial" w:cs="Arial" w:eastAsia="Arial" w:hAnsi="Arial"/>
          <w:sz w:val="15"/>
          <w:szCs w:val="15"/>
          <w:color w:val="auto"/>
        </w:rPr>
      </w:pPr>
    </w:p>
    <w:p>
      <w:pPr>
        <w:ind w:left="567" w:hanging="288"/>
        <w:spacing w:after="0"/>
        <w:tabs>
          <w:tab w:leader="none" w:pos="5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diversify our holdings so that at the end of each quarter of the taxable year:</w:t>
      </w:r>
    </w:p>
    <w:p>
      <w:pPr>
        <w:spacing w:after="0" w:line="233" w:lineRule="exact"/>
        <w:rPr>
          <w:rFonts w:ascii="Arial" w:cs="Arial" w:eastAsia="Arial" w:hAnsi="Arial"/>
          <w:sz w:val="15"/>
          <w:szCs w:val="15"/>
          <w:color w:val="auto"/>
        </w:rPr>
      </w:pPr>
    </w:p>
    <w:p>
      <w:pPr>
        <w:jc w:val="both"/>
        <w:ind w:left="827" w:hanging="270"/>
        <w:spacing w:after="0" w:line="274" w:lineRule="auto"/>
        <w:tabs>
          <w:tab w:leader="none" w:pos="827" w:val="left"/>
        </w:tabs>
        <w:numPr>
          <w:ilvl w:val="1"/>
          <w:numId w:val="17"/>
        </w:numPr>
        <w:rPr>
          <w:rFonts w:ascii="Arial" w:cs="Arial" w:eastAsia="Arial" w:hAnsi="Arial"/>
          <w:sz w:val="15"/>
          <w:szCs w:val="15"/>
          <w:color w:val="auto"/>
        </w:rPr>
      </w:pPr>
      <w:r>
        <w:rPr>
          <w:rFonts w:ascii="Arial" w:cs="Arial" w:eastAsia="Arial" w:hAnsi="Arial"/>
          <w:sz w:val="15"/>
          <w:szCs w:val="15"/>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87" w:lineRule="exact"/>
        <w:rPr>
          <w:rFonts w:ascii="Arial" w:cs="Arial" w:eastAsia="Arial" w:hAnsi="Arial"/>
          <w:sz w:val="15"/>
          <w:szCs w:val="15"/>
          <w:color w:val="auto"/>
        </w:rPr>
      </w:pPr>
    </w:p>
    <w:p>
      <w:pPr>
        <w:jc w:val="both"/>
        <w:ind w:left="827" w:hanging="270"/>
        <w:spacing w:after="0" w:line="302" w:lineRule="auto"/>
        <w:tabs>
          <w:tab w:leader="none" w:pos="827" w:val="left"/>
        </w:tabs>
        <w:numPr>
          <w:ilvl w:val="1"/>
          <w:numId w:val="17"/>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“25% Diversification Test,” and together with the 50% Diversification Test, the “Diversification Tests”).</w:t>
      </w:r>
    </w:p>
    <w:p>
      <w:pPr>
        <w:spacing w:after="0" w:line="170" w:lineRule="exact"/>
        <w:rPr>
          <w:sz w:val="20"/>
          <w:szCs w:val="20"/>
          <w:color w:val="auto"/>
        </w:rPr>
      </w:pPr>
    </w:p>
    <w:p>
      <w:pPr>
        <w:jc w:val="both"/>
        <w:ind w:left="7" w:right="20" w:firstLine="302"/>
        <w:spacing w:after="0" w:line="265" w:lineRule="auto"/>
        <w:rPr>
          <w:sz w:val="20"/>
          <w:szCs w:val="20"/>
          <w:color w:val="auto"/>
        </w:rPr>
      </w:pPr>
      <w:r>
        <w:rPr>
          <w:rFonts w:ascii="Arial" w:cs="Arial" w:eastAsia="Arial" w:hAnsi="Arial"/>
          <w:sz w:val="15"/>
          <w:szCs w:val="15"/>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67"/>
          </w:cols>
          <w:pgMar w:left="313" w:top="124" w:right="319" w:bottom="1440" w:gutter="0" w:footer="0" w:header="0"/>
        </w:sectPr>
      </w:pPr>
    </w:p>
    <w:bookmarkStart w:id="21" w:name="page22"/>
    <w:bookmarkEnd w:id="21"/>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ind w:left="7"/>
        <w:spacing w:after="0"/>
        <w:rPr>
          <w:sz w:val="20"/>
          <w:szCs w:val="20"/>
          <w:color w:val="auto"/>
        </w:rPr>
      </w:pPr>
      <w:r>
        <w:rPr>
          <w:rFonts w:ascii="Arial" w:cs="Arial" w:eastAsia="Arial" w:hAnsi="Arial"/>
          <w:sz w:val="15"/>
          <w:szCs w:val="15"/>
          <w:color w:val="auto"/>
        </w:rPr>
        <w:t>quarter for purposes of applying the rule described in the preceding sentence, assuming that it is not the first quarter of RIC qualification.</w:t>
      </w:r>
    </w:p>
    <w:p>
      <w:pPr>
        <w:spacing w:after="0" w:line="199" w:lineRule="exact"/>
        <w:rPr>
          <w:sz w:val="20"/>
          <w:szCs w:val="20"/>
          <w:color w:val="auto"/>
        </w:rPr>
      </w:pPr>
    </w:p>
    <w:p>
      <w:pPr>
        <w:jc w:val="both"/>
        <w:ind w:left="7" w:firstLine="302"/>
        <w:spacing w:after="0" w:line="265" w:lineRule="auto"/>
        <w:rPr>
          <w:sz w:val="20"/>
          <w:szCs w:val="20"/>
          <w:color w:val="auto"/>
        </w:rPr>
      </w:pPr>
      <w:r>
        <w:rPr>
          <w:rFonts w:ascii="Arial" w:cs="Arial" w:eastAsia="Arial" w:hAnsi="Arial"/>
          <w:sz w:val="15"/>
          <w:szCs w:val="15"/>
          <w:color w:val="auto"/>
        </w:rPr>
        <w:t>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U.S. federal income tax on built-in gain will be an expense that will reduce the amount available for distribution to our stockholders. The built-in gain tax is calculated by determining a RIC’s net unrealized built-in gains, if any, by which the fair market value of the assets of the RIC at the beginning of the first RIC-year exceeds the aggregate adjusted basis of such assets at that time.</w:t>
      </w:r>
    </w:p>
    <w:p>
      <w:pPr>
        <w:spacing w:after="0" w:line="158" w:lineRule="exact"/>
        <w:rPr>
          <w:sz w:val="20"/>
          <w:szCs w:val="20"/>
          <w:color w:val="auto"/>
        </w:rPr>
      </w:pPr>
    </w:p>
    <w:p>
      <w:pPr>
        <w:jc w:val="both"/>
        <w:ind w:left="7" w:firstLine="302"/>
        <w:spacing w:after="0" w:line="284"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48" w:lineRule="exact"/>
        <w:rPr>
          <w:sz w:val="20"/>
          <w:szCs w:val="20"/>
          <w:color w:val="auto"/>
        </w:rPr>
      </w:pPr>
    </w:p>
    <w:p>
      <w:pPr>
        <w:jc w:val="both"/>
        <w:ind w:left="7" w:firstLine="302"/>
        <w:spacing w:after="0" w:line="266" w:lineRule="auto"/>
        <w:rPr>
          <w:sz w:val="20"/>
          <w:szCs w:val="20"/>
          <w:color w:val="auto"/>
        </w:rPr>
      </w:pPr>
      <w:r>
        <w:rPr>
          <w:rFonts w:ascii="Arial" w:cs="Arial" w:eastAsia="Arial" w:hAnsi="Arial"/>
          <w:sz w:val="15"/>
          <w:szCs w:val="15"/>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59" w:lineRule="exact"/>
        <w:rPr>
          <w:sz w:val="20"/>
          <w:szCs w:val="20"/>
          <w:color w:val="auto"/>
        </w:rPr>
      </w:pPr>
    </w:p>
    <w:p>
      <w:pPr>
        <w:jc w:val="both"/>
        <w:ind w:left="7" w:firstLine="302"/>
        <w:spacing w:after="0" w:line="281" w:lineRule="auto"/>
        <w:rPr>
          <w:sz w:val="20"/>
          <w:szCs w:val="20"/>
          <w:color w:val="auto"/>
        </w:rPr>
      </w:pPr>
      <w:r>
        <w:rPr>
          <w:rFonts w:ascii="Arial" w:cs="Arial" w:eastAsia="Arial" w:hAnsi="Arial"/>
          <w:sz w:val="14"/>
          <w:szCs w:val="14"/>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w:t>
      </w:r>
    </w:p>
    <w:p>
      <w:pPr>
        <w:spacing w:after="0" w:line="2" w:lineRule="exact"/>
        <w:rPr>
          <w:sz w:val="20"/>
          <w:szCs w:val="20"/>
          <w:color w:val="auto"/>
        </w:rPr>
      </w:pPr>
    </w:p>
    <w:p>
      <w:pPr>
        <w:jc w:val="both"/>
        <w:ind w:left="7" w:hanging="7"/>
        <w:spacing w:after="0" w:line="267" w:lineRule="auto"/>
        <w:tabs>
          <w:tab w:leader="none" w:pos="227"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57" w:lineRule="exact"/>
        <w:rPr>
          <w:sz w:val="20"/>
          <w:szCs w:val="20"/>
          <w:color w:val="auto"/>
        </w:rPr>
      </w:pPr>
    </w:p>
    <w:p>
      <w:pPr>
        <w:jc w:val="both"/>
        <w:ind w:left="7" w:firstLine="302"/>
        <w:spacing w:after="0" w:line="302" w:lineRule="auto"/>
        <w:rPr>
          <w:sz w:val="20"/>
          <w:szCs w:val="20"/>
          <w:color w:val="auto"/>
        </w:rPr>
      </w:pPr>
      <w:r>
        <w:rPr>
          <w:rFonts w:ascii="Arial" w:cs="Arial" w:eastAsia="Arial" w:hAnsi="Arial"/>
          <w:sz w:val="14"/>
          <w:szCs w:val="14"/>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Failure to Maintain our Qualification as a RIC</w:t>
      </w:r>
    </w:p>
    <w:p>
      <w:pPr>
        <w:spacing w:after="0" w:line="199" w:lineRule="exact"/>
        <w:rPr>
          <w:sz w:val="20"/>
          <w:szCs w:val="20"/>
          <w:color w:val="auto"/>
        </w:rPr>
      </w:pPr>
    </w:p>
    <w:p>
      <w:pPr>
        <w:jc w:val="both"/>
        <w:ind w:left="7" w:firstLine="302"/>
        <w:spacing w:after="0" w:line="291" w:lineRule="auto"/>
        <w:rPr>
          <w:sz w:val="20"/>
          <w:szCs w:val="20"/>
          <w:color w:val="auto"/>
        </w:rPr>
      </w:pPr>
      <w:r>
        <w:rPr>
          <w:rFonts w:ascii="Arial" w:cs="Arial" w:eastAsia="Arial" w:hAnsi="Arial"/>
          <w:sz w:val="15"/>
          <w:szCs w:val="15"/>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39" w:lineRule="exact"/>
        <w:rPr>
          <w:sz w:val="20"/>
          <w:szCs w:val="20"/>
          <w:color w:val="auto"/>
        </w:rPr>
      </w:pPr>
    </w:p>
    <w:p>
      <w:pPr>
        <w:jc w:val="both"/>
        <w:ind w:left="7" w:firstLine="302"/>
        <w:spacing w:after="0" w:line="265" w:lineRule="auto"/>
        <w:rPr>
          <w:sz w:val="20"/>
          <w:szCs w:val="20"/>
          <w:color w:val="auto"/>
        </w:rPr>
      </w:pPr>
      <w:r>
        <w:rPr>
          <w:rFonts w:ascii="Arial" w:cs="Arial" w:eastAsia="Arial" w:hAnsi="Arial"/>
          <w:sz w:val="15"/>
          <w:szCs w:val="15"/>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67"/>
          </w:cols>
          <w:pgMar w:left="313" w:top="124" w:right="319" w:bottom="1440" w:gutter="0" w:footer="0" w:header="0"/>
        </w:sectPr>
      </w:pPr>
    </w:p>
    <w:bookmarkStart w:id="22" w:name="page23"/>
    <w:bookmarkEnd w:id="2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5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52"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See “Risk Factors—Risks Related to Our Business and Structure” in Part I, Item 1A of this Form 10-K and “Note 2—Significant Accounting Policies—</w:t>
      </w:r>
      <w:r>
        <w:rPr>
          <w:rFonts w:ascii="Arial" w:cs="Arial" w:eastAsia="Arial" w:hAnsi="Arial"/>
          <w:sz w:val="15"/>
          <w:szCs w:val="15"/>
          <w:i w:val="1"/>
          <w:iCs w:val="1"/>
          <w:color w:val="auto"/>
        </w:rPr>
        <w:t>U.S. Federal and State</w:t>
      </w:r>
      <w:r>
        <w:rPr>
          <w:rFonts w:ascii="Arial" w:cs="Arial" w:eastAsia="Arial" w:hAnsi="Arial"/>
          <w:sz w:val="15"/>
          <w:szCs w:val="15"/>
          <w:color w:val="auto"/>
        </w:rPr>
        <w:t xml:space="preserve"> </w:t>
      </w:r>
      <w:r>
        <w:rPr>
          <w:rFonts w:ascii="Arial" w:cs="Arial" w:eastAsia="Arial" w:hAnsi="Arial"/>
          <w:sz w:val="15"/>
          <w:szCs w:val="15"/>
          <w:i w:val="1"/>
          <w:iCs w:val="1"/>
          <w:color w:val="auto"/>
        </w:rPr>
        <w:t>Income Taxes</w:t>
      </w:r>
      <w:r>
        <w:rPr>
          <w:rFonts w:ascii="Arial" w:cs="Arial" w:eastAsia="Arial" w:hAnsi="Arial"/>
          <w:sz w:val="15"/>
          <w:szCs w:val="15"/>
          <w:color w:val="auto"/>
        </w:rPr>
        <w:t>” and “Note 9—Income Taxes” to our consolidated financial statements for the year ended December 31, 2019 for further detail.</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05" w:lineRule="exact"/>
        <w:rPr>
          <w:sz w:val="20"/>
          <w:szCs w:val="20"/>
          <w:color w:val="auto"/>
        </w:rPr>
      </w:pPr>
    </w:p>
    <w:p>
      <w:pPr>
        <w:jc w:val="both"/>
        <w:ind w:right="20" w:firstLine="302"/>
        <w:spacing w:after="0" w:line="266" w:lineRule="auto"/>
        <w:rPr>
          <w:sz w:val="20"/>
          <w:szCs w:val="20"/>
          <w:color w:val="auto"/>
        </w:rPr>
      </w:pPr>
      <w:r>
        <w:rPr>
          <w:rFonts w:ascii="Arial" w:cs="Arial" w:eastAsia="Arial" w:hAnsi="Arial"/>
          <w:sz w:val="15"/>
          <w:szCs w:val="15"/>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investments in the rapidly growing venture-capital-backed emerging companies that we target may be extremely risky and we could lose all or part of our investments.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Investment in the rapidly growing venture-capital-backed emerging companies that we target involves a number of significant risks, including the following:</w:t>
      </w:r>
    </w:p>
    <w:p>
      <w:pPr>
        <w:spacing w:after="0" w:line="199" w:lineRule="exact"/>
        <w:rPr>
          <w:sz w:val="20"/>
          <w:szCs w:val="20"/>
          <w:color w:val="auto"/>
        </w:rPr>
      </w:pPr>
    </w:p>
    <w:p>
      <w:pPr>
        <w:jc w:val="both"/>
        <w:ind w:left="560" w:hanging="288"/>
        <w:spacing w:after="0" w:line="274" w:lineRule="auto"/>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187" w:lineRule="exact"/>
        <w:rPr>
          <w:rFonts w:ascii="Arial" w:cs="Arial" w:eastAsia="Arial" w:hAnsi="Arial"/>
          <w:sz w:val="15"/>
          <w:szCs w:val="15"/>
          <w:color w:val="auto"/>
        </w:rPr>
      </w:pPr>
    </w:p>
    <w:p>
      <w:pPr>
        <w:ind w:left="560" w:right="20" w:hanging="288"/>
        <w:spacing w:after="0" w:line="328"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52" w:lineRule="exact"/>
        <w:rPr>
          <w:rFonts w:ascii="Arial" w:cs="Arial" w:eastAsia="Arial" w:hAnsi="Arial"/>
          <w:sz w:val="14"/>
          <w:szCs w:val="14"/>
          <w:color w:val="auto"/>
        </w:rPr>
      </w:pPr>
    </w:p>
    <w:p>
      <w:pPr>
        <w:ind w:left="560" w:right="20" w:hanging="288"/>
        <w:spacing w:after="0" w:line="328"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52" w:lineRule="exact"/>
        <w:rPr>
          <w:rFonts w:ascii="Arial" w:cs="Arial" w:eastAsia="Arial" w:hAnsi="Arial"/>
          <w:sz w:val="14"/>
          <w:szCs w:val="14"/>
          <w:color w:val="auto"/>
        </w:rPr>
      </w:pPr>
    </w:p>
    <w:p>
      <w:pPr>
        <w:jc w:val="both"/>
        <w:ind w:left="560" w:hanging="288"/>
        <w:spacing w:after="0" w:line="294"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because they are privately owned, there is generally little publicly available information about these businesses; therefore, although we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174" w:lineRule="exact"/>
        <w:rPr>
          <w:rFonts w:ascii="Arial" w:cs="Arial" w:eastAsia="Arial" w:hAnsi="Arial"/>
          <w:sz w:val="14"/>
          <w:szCs w:val="14"/>
          <w:color w:val="auto"/>
        </w:rPr>
      </w:pPr>
    </w:p>
    <w:p>
      <w:pPr>
        <w:ind w:left="560" w:right="20" w:hanging="288"/>
        <w:spacing w:after="0" w:line="291" w:lineRule="auto"/>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60"/>
          </w:cols>
          <w:pgMar w:left="320" w:top="124" w:right="319" w:bottom="1440" w:gutter="0" w:footer="0" w:header="0"/>
        </w:sectPr>
      </w:pPr>
    </w:p>
    <w:bookmarkStart w:id="23" w:name="page24"/>
    <w:bookmarkEnd w:id="2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5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139" w:lineRule="exact"/>
        <w:rPr>
          <w:sz w:val="20"/>
          <w:szCs w:val="20"/>
          <w:color w:val="auto"/>
        </w:rPr>
      </w:pPr>
    </w:p>
    <w:p>
      <w:pPr>
        <w:jc w:val="both"/>
        <w:ind w:firstLine="302"/>
        <w:spacing w:after="0" w:line="280" w:lineRule="auto"/>
        <w:rPr>
          <w:sz w:val="20"/>
          <w:szCs w:val="20"/>
          <w:color w:val="auto"/>
        </w:rPr>
      </w:pPr>
      <w:r>
        <w:rPr>
          <w:rFonts w:ascii="Arial" w:cs="Arial" w:eastAsia="Arial" w:hAnsi="Arial"/>
          <w:sz w:val="14"/>
          <w:szCs w:val="14"/>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our executive officers and investment professionals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151" w:lineRule="exact"/>
        <w:rPr>
          <w:sz w:val="20"/>
          <w:szCs w:val="20"/>
          <w:color w:val="auto"/>
        </w:rPr>
      </w:pPr>
    </w:p>
    <w:p>
      <w:pPr>
        <w:jc w:val="both"/>
        <w:ind w:right="20"/>
        <w:spacing w:after="0" w:line="372" w:lineRule="auto"/>
        <w:rPr>
          <w:sz w:val="20"/>
          <w:szCs w:val="20"/>
          <w:color w:val="auto"/>
        </w:rPr>
      </w:pPr>
      <w:r>
        <w:rPr>
          <w:rFonts w:ascii="Arial" w:cs="Arial" w:eastAsia="Arial" w:hAnsi="Arial"/>
          <w:sz w:val="13"/>
          <w:szCs w:val="13"/>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94"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63"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60"/>
          </w:cols>
          <w:pgMar w:left="320" w:top="124" w:right="319" w:bottom="1440" w:gutter="0" w:footer="0" w:header="0"/>
        </w:sectPr>
      </w:pPr>
    </w:p>
    <w:bookmarkStart w:id="24" w:name="page25"/>
    <w:bookmarkEnd w:id="2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buyers may be deterred from entering into purchase transactions with us due to the delay and uncertainty that these transfer and other limitations create.</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5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158"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5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39"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We invest principally in the equity and equity-related securities of what we believe to be rapidly growing venture-capital-backed emerging companies. However, the equity interests we acquire may not appreciate in value and, in fact, may decline in value.</w:t>
      </w:r>
    </w:p>
    <w:p>
      <w:pPr>
        <w:spacing w:after="0" w:line="139"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3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lack of liquidity in, and potentially extended holding period of, our many investments may adversely affect our business and will delay any distributions of gains, if any.</w:t>
      </w:r>
    </w:p>
    <w:p>
      <w:pPr>
        <w:spacing w:after="0" w:line="22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60"/>
          </w:cols>
          <w:pgMar w:left="320" w:top="124" w:right="319" w:bottom="1440" w:gutter="0" w:footer="0" w:header="0"/>
        </w:sectPr>
      </w:pPr>
    </w:p>
    <w:bookmarkStart w:id="25" w:name="page26"/>
    <w:bookmarkEnd w:id="2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3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2019, 81.3%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58"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39"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Given the experience of our executive officers and investment professionals within the technology space, a number of the companies in which we have invested and intend to invest operate in technology-related sectors. Investments in such companies are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w:t>
      </w:r>
    </w:p>
    <w:p>
      <w:pPr>
        <w:spacing w:after="0" w:line="156" w:lineRule="exact"/>
        <w:rPr>
          <w:sz w:val="20"/>
          <w:szCs w:val="20"/>
          <w:color w:val="auto"/>
        </w:rPr>
      </w:pPr>
    </w:p>
    <w:p>
      <w:pPr>
        <w:jc w:val="both"/>
        <w:ind w:firstLine="302"/>
        <w:spacing w:after="0" w:line="283" w:lineRule="auto"/>
        <w:rPr>
          <w:sz w:val="20"/>
          <w:szCs w:val="20"/>
          <w:color w:val="auto"/>
        </w:rPr>
      </w:pPr>
      <w:r>
        <w:rPr>
          <w:rFonts w:ascii="Arial" w:cs="Arial" w:eastAsia="Arial" w:hAnsi="Arial"/>
          <w:sz w:val="14"/>
          <w:szCs w:val="14"/>
          <w:color w:val="auto"/>
        </w:rPr>
        <w:t>In addition, our portfolio companies face intense competition since their businesses are rapidly evolving, intensely competitive and subject to changing technology, shifting user needs and frequent introductions of new products and services. Potential competitors to our portfolio companies in the technology industry range from large and established companies to emerging start-ups. Further, such companies are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60"/>
          </w:cols>
          <w:pgMar w:left="320" w:top="124" w:right="319" w:bottom="1440" w:gutter="0" w:footer="0" w:header="0"/>
        </w:sectPr>
      </w:pPr>
    </w:p>
    <w:bookmarkStart w:id="26" w:name="page27"/>
    <w:bookmarkEnd w:id="2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results could be negatively affected if a significant portfolio company fails to perform as expected.</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Fair</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5"/>
              </w:rPr>
              <w:t>% of Net</w:t>
            </w:r>
          </w:p>
        </w:tc>
        <w:tc>
          <w:tcPr>
            <w:tcW w:w="0" w:type="dxa"/>
            <w:vAlign w:val="bottom"/>
          </w:tcPr>
          <w:p>
            <w:pPr>
              <w:spacing w:after="0"/>
              <w:rPr>
                <w:sz w:val="1"/>
                <w:szCs w:val="1"/>
                <w:color w:val="auto"/>
              </w:rPr>
            </w:pPr>
          </w:p>
        </w:tc>
      </w:tr>
      <w:tr>
        <w:trPr>
          <w:trHeight w:val="128"/>
        </w:trPr>
        <w:tc>
          <w:tcPr>
            <w:tcW w:w="5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vMerge w:val="restart"/>
          </w:tcPr>
          <w:p>
            <w:pPr>
              <w:jc w:val="right"/>
              <w:ind w:right="704"/>
              <w:spacing w:after="0"/>
              <w:rPr>
                <w:sz w:val="20"/>
                <w:szCs w:val="20"/>
                <w:color w:val="auto"/>
              </w:rPr>
            </w:pPr>
            <w:r>
              <w:rPr>
                <w:rFonts w:ascii="Arial" w:cs="Arial" w:eastAsia="Arial" w:hAnsi="Arial"/>
                <w:sz w:val="12"/>
                <w:szCs w:val="12"/>
                <w:b w:val="1"/>
                <w:bCs w:val="1"/>
                <w:color w:val="auto"/>
              </w:rPr>
              <w:t>Cost</w:t>
            </w:r>
          </w:p>
        </w:tc>
        <w:tc>
          <w:tcPr>
            <w:tcW w:w="1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Asset</w:t>
            </w:r>
          </w:p>
        </w:tc>
        <w:tc>
          <w:tcPr>
            <w:tcW w:w="0" w:type="dxa"/>
            <w:vAlign w:val="bottom"/>
          </w:tcPr>
          <w:p>
            <w:pPr>
              <w:spacing w:after="0"/>
              <w:rPr>
                <w:sz w:val="1"/>
                <w:szCs w:val="1"/>
                <w:color w:val="auto"/>
              </w:rPr>
            </w:pPr>
          </w:p>
        </w:tc>
      </w:tr>
      <w:tr>
        <w:trPr>
          <w:trHeight w:val="165"/>
        </w:trPr>
        <w:tc>
          <w:tcPr>
            <w:tcW w:w="5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5"/>
              <w:spacing w:after="0"/>
              <w:rPr>
                <w:sz w:val="20"/>
                <w:szCs w:val="20"/>
                <w:color w:val="auto"/>
              </w:rPr>
            </w:pPr>
            <w:r>
              <w:rPr>
                <w:rFonts w:ascii="Arial" w:cs="Arial" w:eastAsia="Arial" w:hAnsi="Arial"/>
                <w:sz w:val="12"/>
                <w:szCs w:val="12"/>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Coursera, Inc.</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14,519,519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33,569,902</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16.8%</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5"/>
                <w:szCs w:val="15"/>
                <w:color w:val="auto"/>
              </w:rPr>
              <w:t>Palantir Technologies, Inc.</w:t>
            </w:r>
          </w:p>
        </w:tc>
        <w:tc>
          <w:tcPr>
            <w:tcW w:w="4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16,189,935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5"/>
              <w:spacing w:after="0"/>
              <w:rPr>
                <w:sz w:val="20"/>
                <w:szCs w:val="20"/>
                <w:color w:val="auto"/>
              </w:rPr>
            </w:pPr>
            <w:r>
              <w:rPr>
                <w:rFonts w:ascii="Arial" w:cs="Arial" w:eastAsia="Arial" w:hAnsi="Arial"/>
                <w:sz w:val="15"/>
                <w:szCs w:val="15"/>
                <w:color w:val="auto"/>
              </w:rPr>
              <w:t>31,582,084</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15.8%</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Course Hero, Inc.</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5,000,001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25,674,019</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12.8%</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5"/>
                <w:szCs w:val="15"/>
                <w:color w:val="auto"/>
              </w:rPr>
              <w:t>Ozy Media, Inc.</w:t>
            </w:r>
          </w:p>
        </w:tc>
        <w:tc>
          <w:tcPr>
            <w:tcW w:w="4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10,945,024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5"/>
              <w:spacing w:after="0"/>
              <w:rPr>
                <w:sz w:val="20"/>
                <w:szCs w:val="20"/>
                <w:color w:val="auto"/>
              </w:rPr>
            </w:pPr>
            <w:r>
              <w:rPr>
                <w:rFonts w:ascii="Arial" w:cs="Arial" w:eastAsia="Arial" w:hAnsi="Arial"/>
                <w:sz w:val="15"/>
                <w:szCs w:val="15"/>
                <w:color w:val="auto"/>
              </w:rPr>
              <w:t>15,684,182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7.8%</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Parchment, Inc.</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4,000,982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10,896,585</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5.5%</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5"/>
                <w:szCs w:val="15"/>
                <w:color w:val="auto"/>
              </w:rPr>
              <w:t>Nextdoor.com, Inc.</w:t>
            </w:r>
          </w:p>
        </w:tc>
        <w:tc>
          <w:tcPr>
            <w:tcW w:w="4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10,006,578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5"/>
              <w:spacing w:after="0"/>
              <w:rPr>
                <w:sz w:val="20"/>
                <w:szCs w:val="20"/>
                <w:color w:val="auto"/>
              </w:rPr>
            </w:pPr>
            <w:r>
              <w:rPr>
                <w:rFonts w:ascii="Arial" w:cs="Arial" w:eastAsia="Arial" w:hAnsi="Arial"/>
                <w:sz w:val="15"/>
                <w:szCs w:val="15"/>
                <w:color w:val="auto"/>
              </w:rPr>
              <w:t>10,867,365</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5.4%</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Neutron Holdings, Inc. (d/b/a/ Lime)</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10,006,800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10,000,000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5.0%</w:t>
            </w:r>
          </w:p>
        </w:tc>
        <w:tc>
          <w:tcPr>
            <w:tcW w:w="0" w:type="dxa"/>
            <w:vAlign w:val="bottom"/>
          </w:tcPr>
          <w:p>
            <w:pPr>
              <w:spacing w:after="0"/>
              <w:rPr>
                <w:sz w:val="1"/>
                <w:szCs w:val="1"/>
                <w:color w:val="auto"/>
              </w:rPr>
            </w:pPr>
          </w:p>
        </w:tc>
      </w:tr>
      <w:tr>
        <w:trPr>
          <w:trHeight w:val="220"/>
        </w:trPr>
        <w:tc>
          <w:tcPr>
            <w:tcW w:w="5860" w:type="dxa"/>
            <w:vAlign w:val="bottom"/>
            <w:gridSpan w:val="2"/>
          </w:tcPr>
          <w:p>
            <w:pPr>
              <w:ind w:left="20"/>
              <w:spacing w:after="0"/>
              <w:rPr>
                <w:sz w:val="20"/>
                <w:szCs w:val="20"/>
                <w:color w:val="auto"/>
              </w:rPr>
            </w:pPr>
            <w:r>
              <w:rPr>
                <w:rFonts w:ascii="Arial" w:cs="Arial" w:eastAsia="Arial" w:hAnsi="Arial"/>
                <w:sz w:val="15"/>
                <w:szCs w:val="15"/>
                <w:color w:val="auto"/>
              </w:rPr>
              <w:t>StormWind, LLC</w:t>
            </w:r>
          </w:p>
        </w:tc>
        <w:tc>
          <w:tcPr>
            <w:tcW w:w="440" w:type="dxa"/>
            <w:vAlign w:val="bottom"/>
          </w:tcPr>
          <w:p>
            <w:pPr>
              <w:spacing w:after="0"/>
              <w:rPr>
                <w:sz w:val="19"/>
                <w:szCs w:val="19"/>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6,387,741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25"/>
              <w:spacing w:after="0"/>
              <w:rPr>
                <w:sz w:val="20"/>
                <w:szCs w:val="20"/>
                <w:color w:val="auto"/>
              </w:rPr>
            </w:pPr>
            <w:r>
              <w:rPr>
                <w:rFonts w:ascii="Arial" w:cs="Arial" w:eastAsia="Arial" w:hAnsi="Arial"/>
                <w:sz w:val="15"/>
                <w:szCs w:val="15"/>
                <w:color w:val="auto"/>
              </w:rPr>
              <w:t>9,300,873</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4.7%</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GreenAcreage Real Estate Corp.</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7,501,530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7,500,000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3.8%</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5"/>
                <w:szCs w:val="15"/>
                <w:color w:val="auto"/>
              </w:rPr>
              <w:t>Treehouse Real Estate Corp.</w:t>
            </w:r>
          </w:p>
        </w:tc>
        <w:tc>
          <w:tcPr>
            <w:tcW w:w="4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7,500,000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5"/>
              <w:spacing w:after="0"/>
              <w:rPr>
                <w:sz w:val="20"/>
                <w:szCs w:val="20"/>
                <w:color w:val="auto"/>
              </w:rPr>
            </w:pPr>
            <w:r>
              <w:rPr>
                <w:rFonts w:ascii="Arial" w:cs="Arial" w:eastAsia="Arial" w:hAnsi="Arial"/>
                <w:sz w:val="15"/>
                <w:szCs w:val="15"/>
                <w:color w:val="auto"/>
              </w:rPr>
              <w:t>7,384,738</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93"/>
              </w:rPr>
              <w:t>3.7%</w:t>
            </w:r>
          </w:p>
        </w:tc>
        <w:tc>
          <w:tcPr>
            <w:tcW w:w="0" w:type="dxa"/>
            <w:vAlign w:val="bottom"/>
          </w:tcPr>
          <w:p>
            <w:pPr>
              <w:spacing w:after="0"/>
              <w:rPr>
                <w:sz w:val="1"/>
                <w:szCs w:val="1"/>
                <w:color w:val="auto"/>
              </w:rPr>
            </w:pPr>
          </w:p>
        </w:tc>
      </w:tr>
      <w:tr>
        <w:trPr>
          <w:trHeight w:val="24"/>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92,058,110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162,459,748</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81.3%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-176530</wp:posOffset>
            </wp:positionV>
            <wp:extent cx="660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-176530</wp:posOffset>
            </wp:positionV>
            <wp:extent cx="736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-1665605</wp:posOffset>
            </wp:positionV>
            <wp:extent cx="660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-1665605</wp:posOffset>
            </wp:positionV>
            <wp:extent cx="736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660" cy="7620"/>
                    </a:xfrm>
                    <a:prstGeom prst="rect">
                      <a:avLst/>
                    </a:prstGeom>
                    <a:noFill/>
                  </pic:spPr>
                </pic:pic>
              </a:graphicData>
            </a:graphic>
          </wp:anchor>
        </w:drawing>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We may be limited in our ability to make follow-on investments, and our failure to make follow-on investments in our portfolio companies could impair the value of our portfolio.</w:t>
      </w:r>
    </w:p>
    <w:p>
      <w:pPr>
        <w:spacing w:after="0" w:line="13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5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addition, we may be unable to complete follow-on investments in our portfolio companies that have conducted an IPO as a result of regulatory or financial restrictions.</w:t>
      </w:r>
    </w:p>
    <w:p>
      <w:pPr>
        <w:spacing w:after="0" w:line="211" w:lineRule="exact"/>
        <w:rPr>
          <w:sz w:val="20"/>
          <w:szCs w:val="20"/>
          <w:color w:val="auto"/>
        </w:rPr>
      </w:pPr>
    </w:p>
    <w:p>
      <w:pPr>
        <w:jc w:val="both"/>
        <w:spacing w:after="0" w:line="328" w:lineRule="auto"/>
        <w:rPr>
          <w:sz w:val="20"/>
          <w:szCs w:val="20"/>
          <w:color w:val="auto"/>
        </w:rPr>
      </w:pPr>
      <w:r>
        <w:rPr>
          <w:rFonts w:ascii="Arial" w:cs="Arial" w:eastAsia="Arial" w:hAnsi="Arial"/>
          <w:sz w:val="14"/>
          <w:szCs w:val="14"/>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17"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60"/>
          </w:cols>
          <w:pgMar w:left="320" w:top="124" w:right="319" w:bottom="1440" w:gutter="0" w:footer="0" w:header="0"/>
        </w:sectPr>
      </w:pPr>
    </w:p>
    <w:bookmarkStart w:id="27" w:name="page28"/>
    <w:bookmarkEnd w:id="2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 in foreign companies may involve significant risks in addition to the risks inherent in U.S. investments.</w:t>
      </w:r>
    </w:p>
    <w:p>
      <w:pPr>
        <w:spacing w:after="0" w:line="199"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60"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expose ourselves to risks if we engage in hedging transactions.</w:t>
      </w:r>
    </w:p>
    <w:p>
      <w:pPr>
        <w:spacing w:after="0" w:line="199" w:lineRule="exact"/>
        <w:rPr>
          <w:sz w:val="20"/>
          <w:szCs w:val="20"/>
          <w:color w:val="auto"/>
        </w:rPr>
      </w:pPr>
    </w:p>
    <w:p>
      <w:pPr>
        <w:jc w:val="both"/>
        <w:ind w:firstLine="302"/>
        <w:spacing w:after="0" w:line="262" w:lineRule="auto"/>
        <w:rPr>
          <w:sz w:val="20"/>
          <w:szCs w:val="20"/>
          <w:color w:val="auto"/>
        </w:rPr>
      </w:pPr>
      <w:r>
        <w:rPr>
          <w:rFonts w:ascii="Arial" w:cs="Arial" w:eastAsia="Arial" w:hAnsi="Arial"/>
          <w:sz w:val="15"/>
          <w:szCs w:val="15"/>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enter into transactions involving derivatives and financial commitment transactions may be limited.</w:t>
      </w:r>
    </w:p>
    <w:p>
      <w:pPr>
        <w:spacing w:after="0" w:line="199" w:lineRule="exact"/>
        <w:rPr>
          <w:sz w:val="20"/>
          <w:szCs w:val="20"/>
          <w:color w:val="auto"/>
        </w:rPr>
      </w:pPr>
    </w:p>
    <w:p>
      <w:pPr>
        <w:jc w:val="both"/>
        <w:ind w:firstLine="302"/>
        <w:spacing w:after="0" w:line="282" w:lineRule="auto"/>
        <w:rPr>
          <w:sz w:val="20"/>
          <w:szCs w:val="20"/>
          <w:color w:val="auto"/>
        </w:rPr>
      </w:pPr>
      <w:r>
        <w:rPr>
          <w:rFonts w:ascii="Arial" w:cs="Arial" w:eastAsia="Arial" w:hAnsi="Arial"/>
          <w:sz w:val="14"/>
          <w:szCs w:val="14"/>
          <w:color w:val="auto"/>
        </w:rPr>
        <w:t>In November 2019, the SEC published a proposed rulemaking regarding the ability of a BDC (or a registered investment company) to use derivatives and other transactions that create future payment or delivery obligations (except reverse repurchase agreements and similar financing transactions). If adopted as proposed, BDCs that use derivatives would be subject to a value-at-risk (“VaR”) leverage limit, certain other derivatives risk management program and testing requirements and requirements related to board reporting. These new requirements would apply unless the BDC qualified as a “limited derivatives user,” as defined in the SEC’s proposal. A BDC that enters into reverse repurchase agreements or similar financing transactions would need to aggregate the amount of indebtedness associated with the reverse repurchase agreements or similar financing transactions with the aggregate amount of any other senior securities representing indebtedness when calculating the BDC’s asset coverage ratio. Under the proposed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proposed requirements, if adopted, may limit our ability to use derivatives and/or enter into certain other financial contracts.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Structure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on our part to maintain our status as a BDC would reduce our operating flexibility.</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1940 Act imposes numerous constraints on the operations of BDCs. For example, BDCs are required to invest at least 70% of their gross assets in specified types of securities, primarily in private companies or thinly-traded U.S. public companies, cash, cash equivalents, U.S. government securities and other high quality debt investments that mature in one year or less.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60"/>
          </w:cols>
          <w:pgMar w:left="320" w:top="124" w:right="319" w:bottom="1440" w:gutter="0" w:footer="0" w:header="0"/>
        </w:sectPr>
      </w:pPr>
    </w:p>
    <w:bookmarkStart w:id="28" w:name="page29"/>
    <w:bookmarkEnd w:id="2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an internally managed BDC, we are subject to certain restrictions that may adversely affect our business.</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52"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Additionally, as an internally managed BDC, our ability to offer more competitive and flexible compensation structures, such as offering both a profit-sharing plan and an equity incentive plan, is subject to the limitations imposed by the 1940 Act, which limits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56"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senior management team, our ability to implement our business strategy could be significantly harmed.</w:t>
      </w:r>
    </w:p>
    <w:p>
      <w:pPr>
        <w:spacing w:after="0" w:line="152"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As an internally managed BDC, our ability to achieve our investment objectives and to make distributions to our stockholders depends upon the performance of our management team and investment professionals. We depend upon the members of our management and our investment professionals for the identification, final selection, structuring, closing and monitoring of our investments. These employees have critical industry experience and relationships on which we rely to implement our business plan. If we lose the services of key members of our senior management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45"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52" w:lineRule="exact"/>
        <w:rPr>
          <w:sz w:val="20"/>
          <w:szCs w:val="20"/>
          <w:color w:val="auto"/>
        </w:rPr>
      </w:pPr>
    </w:p>
    <w:p>
      <w:pPr>
        <w:jc w:val="both"/>
        <w:ind w:right="20" w:firstLine="279"/>
        <w:spacing w:after="0" w:line="302" w:lineRule="auto"/>
        <w:rPr>
          <w:sz w:val="20"/>
          <w:szCs w:val="20"/>
          <w:color w:val="auto"/>
        </w:rPr>
      </w:pPr>
      <w:r>
        <w:rPr>
          <w:rFonts w:ascii="Arial" w:cs="Arial" w:eastAsia="Arial" w:hAnsi="Arial"/>
          <w:sz w:val="14"/>
          <w:szCs w:val="14"/>
          <w:color w:val="auto"/>
        </w:rPr>
        <w:t>Members of our senior management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senior management team could have a negative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financial condition and results of operations will depend on our ability to achieve our investment objective.</w:t>
      </w:r>
    </w:p>
    <w:p>
      <w:pPr>
        <w:spacing w:after="0" w:line="199" w:lineRule="exact"/>
        <w:rPr>
          <w:sz w:val="20"/>
          <w:szCs w:val="20"/>
          <w:color w:val="auto"/>
        </w:rPr>
      </w:pPr>
    </w:p>
    <w:p>
      <w:pPr>
        <w:jc w:val="both"/>
        <w:ind w:right="20" w:firstLine="279"/>
        <w:spacing w:after="0" w:line="287" w:lineRule="auto"/>
        <w:rPr>
          <w:sz w:val="20"/>
          <w:szCs w:val="20"/>
          <w:color w:val="auto"/>
        </w:rPr>
      </w:pPr>
      <w:r>
        <w:rPr>
          <w:rFonts w:ascii="Arial" w:cs="Arial" w:eastAsia="Arial" w:hAnsi="Arial"/>
          <w:sz w:val="14"/>
          <w:szCs w:val="14"/>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its ability to provide competent, attentive and efficient services to us. We seek a specified number of investments in rapidly growing venture-capital-backed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145"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60"/>
          </w:cols>
          <w:pgMar w:left="320" w:top="124" w:right="319" w:bottom="1440" w:gutter="0" w:footer="0" w:header="0"/>
        </w:sectPr>
      </w:pPr>
    </w:p>
    <w:bookmarkStart w:id="29" w:name="page30"/>
    <w:bookmarkEnd w:id="2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We will likely experience fluctuations in our quarterly results and we may be unable to replicate past investment opportunities or make the types of investments we have made to date in future periods.</w:t>
      </w:r>
    </w:p>
    <w:p>
      <w:pPr>
        <w:spacing w:after="0" w:line="13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2019,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model depends upon the development and maintenance of strong referral relationships with private equity, venture capital funds and investment banking firms.</w:t>
      </w:r>
    </w:p>
    <w:p>
      <w:pPr>
        <w:spacing w:after="0" w:line="222"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significant potential risks related to investing in securities traded on private secondary marketplaces.</w:t>
      </w:r>
    </w:p>
    <w:p>
      <w:pPr>
        <w:spacing w:after="0" w:line="199" w:lineRule="exact"/>
        <w:rPr>
          <w:sz w:val="20"/>
          <w:szCs w:val="20"/>
          <w:color w:val="auto"/>
        </w:rPr>
      </w:pPr>
    </w:p>
    <w:p>
      <w:pPr>
        <w:jc w:val="both"/>
        <w:ind w:firstLine="279"/>
        <w:spacing w:after="0" w:line="285" w:lineRule="auto"/>
        <w:rPr>
          <w:sz w:val="20"/>
          <w:szCs w:val="20"/>
          <w:color w:val="auto"/>
        </w:rPr>
      </w:pPr>
      <w:r>
        <w:rPr>
          <w:rFonts w:ascii="Arial" w:cs="Arial" w:eastAsia="Arial" w:hAnsi="Arial"/>
          <w:sz w:val="14"/>
          <w:szCs w:val="14"/>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of our management team and investment professionals and our Board of Directors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148"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63"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60"/>
          </w:cols>
          <w:pgMar w:left="320" w:top="124" w:right="319" w:bottom="1440" w:gutter="0" w:footer="0" w:header="0"/>
        </w:sectPr>
      </w:pPr>
    </w:p>
    <w:bookmarkStart w:id="30" w:name="page31"/>
    <w:bookmarkEnd w:id="3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to transfer restrictions and the illiquid nature of our investments, we may not be able to purchase or sell our investments when we wish to do so.</w:t>
      </w:r>
    </w:p>
    <w:p>
      <w:pPr>
        <w:spacing w:after="0" w:line="199" w:lineRule="exact"/>
        <w:rPr>
          <w:sz w:val="20"/>
          <w:szCs w:val="20"/>
          <w:color w:val="auto"/>
        </w:rPr>
      </w:pPr>
    </w:p>
    <w:p>
      <w:pPr>
        <w:jc w:val="both"/>
        <w:ind w:firstLine="279"/>
        <w:spacing w:after="0" w:line="281" w:lineRule="auto"/>
        <w:rPr>
          <w:sz w:val="20"/>
          <w:szCs w:val="20"/>
          <w:color w:val="auto"/>
        </w:rPr>
      </w:pPr>
      <w:r>
        <w:rPr>
          <w:rFonts w:ascii="Arial" w:cs="Arial" w:eastAsia="Arial" w:hAnsi="Arial"/>
          <w:sz w:val="14"/>
          <w:szCs w:val="14"/>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 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53"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156" w:lineRule="exact"/>
        <w:rPr>
          <w:sz w:val="20"/>
          <w:szCs w:val="20"/>
          <w:color w:val="auto"/>
        </w:rPr>
      </w:pPr>
    </w:p>
    <w:p>
      <w:pPr>
        <w:jc w:val="both"/>
        <w:ind w:right="20" w:firstLine="279"/>
        <w:spacing w:after="0" w:line="302" w:lineRule="auto"/>
        <w:rPr>
          <w:sz w:val="20"/>
          <w:szCs w:val="20"/>
          <w:color w:val="auto"/>
        </w:rPr>
      </w:pPr>
      <w:r>
        <w:rPr>
          <w:rFonts w:ascii="Arial" w:cs="Arial" w:eastAsia="Arial" w:hAnsi="Arial"/>
          <w:sz w:val="14"/>
          <w:szCs w:val="14"/>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significant potential risks associated with investing in venture capital companies with complex capital structures.</w:t>
      </w:r>
    </w:p>
    <w:p>
      <w:pPr>
        <w:spacing w:after="0" w:line="199"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management team and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61"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39" w:lineRule="exact"/>
        <w:rPr>
          <w:sz w:val="20"/>
          <w:szCs w:val="20"/>
          <w:color w:val="auto"/>
        </w:rPr>
      </w:pPr>
    </w:p>
    <w:p>
      <w:pPr>
        <w:jc w:val="both"/>
        <w:ind w:right="20" w:firstLine="279"/>
        <w:spacing w:after="0" w:line="302" w:lineRule="auto"/>
        <w:rPr>
          <w:sz w:val="20"/>
          <w:szCs w:val="20"/>
          <w:color w:val="auto"/>
        </w:rPr>
      </w:pPr>
      <w:r>
        <w:rPr>
          <w:rFonts w:ascii="Arial" w:cs="Arial" w:eastAsia="Arial" w:hAnsi="Arial"/>
          <w:sz w:val="14"/>
          <w:szCs w:val="14"/>
          <w:color w:val="auto"/>
        </w:rPr>
        <w:t>We are subject to changing rules and regulations of federal and state government as well as the stock exchange on which our common stock is listed. These entities, including the Public Company Accounting Oversight Board, the SEC and the Nasdaq Capital Market, have issued a significant number of new and increasingly complex requirements and regulations over the course of the last several years and continue to develop additional regulations and requirements in response to laws enacted by Congress.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60"/>
          </w:cols>
          <w:pgMar w:left="320" w:top="124" w:right="319" w:bottom="1440" w:gutter="0" w:footer="0" w:header="0"/>
        </w:sectPr>
      </w:pPr>
    </w:p>
    <w:bookmarkStart w:id="31" w:name="page32"/>
    <w:bookmarkEnd w:id="3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52"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56"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13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As a BDC,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3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From time to 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63"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Given the volatility and dislocation in the capital markets over the past several years, many BDCs have faced, and may in the future face, a challenging environment in which to raise or access capital. In addition, this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market-to-market transactions between market participants.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investments we may make and adversely affect the value of our portfolio investments, which could have a material and adverse effect on our business, financial condition, results of operations and cash flows.</w:t>
      </w:r>
    </w:p>
    <w:p>
      <w:pPr>
        <w:spacing w:after="0" w:line="163"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Global economic, political and market conditions may adversely affect our business, results of operations and financial condition, including our revenue growth and profitability.</w:t>
      </w:r>
    </w:p>
    <w:p>
      <w:pPr>
        <w:spacing w:after="0" w:line="13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The current worldwide financial market situation, as well as various social and political tensions in the United States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60"/>
          </w:cols>
          <w:pgMar w:left="320" w:top="124" w:right="319" w:bottom="1440" w:gutter="0" w:footer="0" w:header="0"/>
        </w:sectPr>
      </w:pPr>
    </w:p>
    <w:bookmarkStart w:id="32" w:name="page33"/>
    <w:bookmarkEnd w:id="3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In June 2016, the United Kingdom held a referendum in which voters approved an exit from the European Union (“Brexit”) and, subsequently, on March 29, 2017, the U.K. government began the formal process of leaving the European Union. Brexit created political and economic uncertainty and instability in the global markets (including currency and credit markets), and especially in the United Kingdom and the European Union. Under current Prime Minister Boris Johnson, the House of Commons passed the Brexit deal on December 20, 2019 and the U.K. formally left the European Union on January 31, 2020. The U.K. is currently in a transition period until December 31, 2020, where agreements surrounding trade and other aspects of the U.K.’s future relationship with the European Union will need to be finalized. Failure to come to terms on a free trade deal could result in checks and tariffs on U.K. goods traveling to the European Union and thus prolong the economic uncertainty. There is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161"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 Chinese capital markets have also experienced periods of instability over the past several years. The current political climate has also intensified concerns about a potential trade war between the U.S. and China in connection with each country’s recent or proposed tariffs on the other country’s products. These market and economic disruptions and the potential trade war with China have affected, and may in the future affect, the U.S. capital markets, which could adversely affect our business, financial condition or results of operations.</w:t>
      </w:r>
    </w:p>
    <w:p>
      <w:pPr>
        <w:spacing w:after="0" w:line="156"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The current global financial market situation, as well as various social and political circumstances in the United States and around the world (including wars and other forms of conflict, terrorist acts, security operations and catastrophic events such as fires, floods, earthquakes, tornadoes, hurricanes and global health epidemics), may contribute to increased market volatility and economic uncertainties or deterioration in the United States and worldwide. For example, the recent outbreak of coronavirus, or COVID-19, in many countries continues to adversely impact global commercial activity, particularly in China, and has contributed to significant volatility in financial markets. The outbreak of COVID-19 may have a material adverse impact on the ability of our portfolio companies to fulfill their end customers’ orders due to supply chain delays, limited access to key commodities or technologies or other events that impact their manufacturers or their suppliers. Such events have affected, and may in the future affect, the global and U.S. capital markets, and our business, financial condition or results of operations.</w:t>
      </w:r>
    </w:p>
    <w:p>
      <w:pPr>
        <w:spacing w:after="0" w:line="163"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Additionally, the U.S. government’s credit and deficit concerns, the European sovereign debt crisis, and the potential trade war with China could cause interest rates to be volatile, which may negatively impact our ability to access the debt markets on favorable terms.</w:t>
      </w:r>
    </w:p>
    <w:p>
      <w:pPr>
        <w:spacing w:after="0" w:line="139"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color w:val="auto"/>
        </w:rPr>
        <w:t>The Republican Party currently controls the executive branch and the senate portion of the legislative branch of government, which increases the likelihood that legislation may be adopted that could significantly affect the regulation of U.S. financial markets. Areas subject to potential change, amendment or repeal include the Dodd-Frank Wall Street Reform and Consumer Protection Act and the authority of the Federal Reserve and the Financial Stability Oversight Council. For example, in March 2018, the U.S. Senate passed a bill that eased financial regulations and reduced oversight for certain entities.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148"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On May 24, 2018, President Trump signed into law the Economic Growth, Regulatory Relief, and Consumer Protection Act,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60"/>
          </w:cols>
          <w:pgMar w:left="320" w:top="124" w:right="319" w:bottom="1440" w:gutter="0" w:footer="0" w:header="0"/>
        </w:sectPr>
      </w:pPr>
    </w:p>
    <w:bookmarkStart w:id="33" w:name="page34"/>
    <w:bookmarkEnd w:id="3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Events outside of our control, including public health crises, may negatively affect our results of operations and financial performance.</w:t>
      </w:r>
    </w:p>
    <w:p>
      <w:pPr>
        <w:spacing w:after="0" w:line="129" w:lineRule="exact"/>
        <w:rPr>
          <w:sz w:val="20"/>
          <w:szCs w:val="20"/>
          <w:color w:val="auto"/>
        </w:rPr>
      </w:pPr>
    </w:p>
    <w:p>
      <w:pPr>
        <w:jc w:val="both"/>
        <w:ind w:firstLine="279"/>
        <w:spacing w:after="0" w:line="285" w:lineRule="auto"/>
        <w:rPr>
          <w:sz w:val="20"/>
          <w:szCs w:val="20"/>
          <w:color w:val="auto"/>
        </w:rPr>
      </w:pPr>
      <w:r>
        <w:rPr>
          <w:rFonts w:ascii="Arial" w:cs="Arial" w:eastAsia="Arial" w:hAnsi="Arial"/>
          <w:sz w:val="14"/>
          <w:szCs w:val="14"/>
          <w:color w:val="auto"/>
        </w:rPr>
        <w:t>Periods of market volatility may occur in response to pandemics or other events outside of our control. These types of events could adversely affect our results of operations and financial performance. For example, in December 2019, a novel strain of coronavirus surfaced in Wuhan, China, which has resulted in the temporary closure of many corporate offices, retail stores, and manufacturing facilities and factories across China and the rest of the world. As the potential impact on global markets from the coronavirus is difficult to predict, the extent to which the coronavirus may negatively affect our results of operation and financial performance or the duration of any potential business disruption is uncertain. Any potential impact to our results of operations and financial performance will depend to a large extent on future developments and new information that may emerge regarding the duration and severity of the coronavirus and the actions taken by authorities and other entities to contain the coronavirus or treat its impact, all of which are beyond our control. These potential impacts, while uncertain, could adversely affect our results of operations and financial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risks associated with changes in interest rates.</w:t>
      </w:r>
    </w:p>
    <w:p>
      <w:pPr>
        <w:spacing w:after="0" w:line="12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163"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40"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5"/>
          <w:szCs w:val="15"/>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59" w:lineRule="exact"/>
        <w:rPr>
          <w:sz w:val="20"/>
          <w:szCs w:val="20"/>
          <w:color w:val="auto"/>
        </w:rPr>
      </w:pPr>
    </w:p>
    <w:p>
      <w:pPr>
        <w:jc w:val="both"/>
        <w:ind w:firstLine="279"/>
        <w:spacing w:after="0" w:line="281" w:lineRule="auto"/>
        <w:rPr>
          <w:sz w:val="20"/>
          <w:szCs w:val="20"/>
          <w:color w:val="auto"/>
        </w:rPr>
      </w:pPr>
      <w:r>
        <w:rPr>
          <w:rFonts w:ascii="Arial" w:cs="Arial" w:eastAsia="Arial" w:hAnsi="Arial"/>
          <w:sz w:val="14"/>
          <w:szCs w:val="14"/>
          <w:color w:val="auto"/>
        </w:rPr>
        <w:t>On July 27, 2017, the United Kingdom’s Financial Conduct Authority, which regulates LIBOR, announced that it intends to phase out LIBOR by the end of 2021. It is unclear if at that time whether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 lower interest rate, which could have an adverse impact on our results of operations. Moreover, if LIBOR ceases to exist, we may need to renegotiate certain terms of our credit facilities, if any. If we are unable to do so, amounts drawn under our credit facilities (if any) may bear interest at a higher rate, which would increase the cost of our borrowings and, in turn, affect our results of operations.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60"/>
          </w:cols>
          <w:pgMar w:left="320" w:top="124" w:right="319" w:bottom="1440" w:gutter="0" w:footer="0" w:header="0"/>
        </w:sectPr>
      </w:pPr>
    </w:p>
    <w:bookmarkStart w:id="34" w:name="page35"/>
    <w:bookmarkEnd w:id="3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recessions or downturns could impair our portfolio companies and harm our operating results.</w:t>
      </w:r>
    </w:p>
    <w:p>
      <w:pPr>
        <w:spacing w:after="0" w:line="199"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5"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5"/>
          <w:szCs w:val="15"/>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5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63"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Economic sanction laws in the United States and other jurisdictions may prohibit us from transacting with certain countries, individuals and companies. Economic sanction laws in the United States and other jurisdictions may prohibit us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60"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60"/>
          </w:cols>
          <w:pgMar w:left="320" w:top="124" w:right="319" w:bottom="1440" w:gutter="0" w:footer="0" w:header="0"/>
        </w:sectPr>
      </w:pPr>
    </w:p>
    <w:bookmarkStart w:id="35" w:name="page36"/>
    <w:bookmarkEnd w:id="3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3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highly competitive market for direct equity investment opportunities.</w:t>
      </w:r>
    </w:p>
    <w:p>
      <w:pPr>
        <w:spacing w:after="0" w:line="199"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A large number of entities compete with us to make the types of direct equity investments that we target as part of our business strategy. We compete for such investments with a large number of private equity and venture capital funds, other equity and non- 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Borrowings, such as the 4.75% Convertible Senior Notes due 2023, can magnify the potential for gain or loss on amounts invested and may increase the risk of investing in us.</w:t>
      </w:r>
    </w:p>
    <w:p>
      <w:pPr>
        <w:spacing w:after="0" w:line="222"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4"/>
          <w:szCs w:val="14"/>
          <w:color w:val="auto"/>
        </w:rPr>
        <w:t>Borrowings, also known as leverage, magnify the potential for gain or loss on amounts invested and, therefore, increase the risks associated with investing in our securities. In addition to the 4.75% Convertible Senior Notes due 2023,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4.75% Convertible Senior Notes due 2023,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borrowed funds to make investments exposes us to risks typically associated with leverage.</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borrow money and may issue additional debt securities or preferred stock to leverage our capital structure. As a result:</w:t>
      </w:r>
    </w:p>
    <w:p>
      <w:pPr>
        <w:spacing w:after="0" w:line="83" w:lineRule="exact"/>
        <w:rPr>
          <w:sz w:val="20"/>
          <w:szCs w:val="20"/>
          <w:color w:val="auto"/>
        </w:rPr>
      </w:pPr>
    </w:p>
    <w:p>
      <w:pPr>
        <w:ind w:left="560" w:hanging="288"/>
        <w:spacing w:after="0" w:line="291" w:lineRule="auto"/>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22" w:lineRule="exact"/>
        <w:rPr>
          <w:rFonts w:ascii="Arial" w:cs="Arial" w:eastAsia="Arial" w:hAnsi="Arial"/>
          <w:sz w:val="15"/>
          <w:szCs w:val="15"/>
          <w:color w:val="auto"/>
        </w:rPr>
      </w:pPr>
    </w:p>
    <w:p>
      <w:pPr>
        <w:ind w:left="560" w:hanging="288"/>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depreciation in the value of our assets may magnify losses associated with an investment and could totally eliminate the value of an asset to 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60"/>
          </w:cols>
          <w:pgMar w:left="320" w:top="124" w:right="319" w:bottom="1440" w:gutter="0" w:footer="0" w:header="0"/>
        </w:sectPr>
      </w:pPr>
    </w:p>
    <w:bookmarkStart w:id="36" w:name="page37"/>
    <w:bookmarkEnd w:id="3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60" w:hanging="288"/>
        <w:spacing w:after="0" w:line="347"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ind w:left="560" w:hanging="288"/>
        <w:spacing w:after="0" w:line="291"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22"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future credit facility we may enter would be, subject to periodic renewal by our lenders, whose continued participation cannot be guaranteed;</w:t>
      </w:r>
    </w:p>
    <w:p>
      <w:pPr>
        <w:spacing w:after="0" w:line="82"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57"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and indirectly our common stockholders, bear the entire cost of issuing and paying interest or dividends on such securities;</w:t>
      </w:r>
    </w:p>
    <w:p>
      <w:pPr>
        <w:spacing w:after="0" w:line="94" w:lineRule="exact"/>
        <w:rPr>
          <w:rFonts w:ascii="Arial" w:cs="Arial" w:eastAsia="Arial" w:hAnsi="Arial"/>
          <w:sz w:val="15"/>
          <w:szCs w:val="15"/>
          <w:color w:val="auto"/>
        </w:rPr>
      </w:pPr>
    </w:p>
    <w:p>
      <w:pPr>
        <w:jc w:val="both"/>
        <w:ind w:left="560" w:hanging="288"/>
        <w:spacing w:after="0" w:line="274"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71"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convertible or exchangeable securities that we issue may have rights, preferences and privileges more favorable than those of our common shares; and</w:t>
      </w:r>
    </w:p>
    <w:p>
      <w:pPr>
        <w:spacing w:after="0" w:line="117" w:lineRule="exact"/>
        <w:rPr>
          <w:rFonts w:ascii="Arial" w:cs="Arial" w:eastAsia="Arial" w:hAnsi="Arial"/>
          <w:sz w:val="15"/>
          <w:szCs w:val="15"/>
          <w:color w:val="auto"/>
        </w:rPr>
      </w:pPr>
    </w:p>
    <w:p>
      <w:pPr>
        <w:ind w:left="560" w:hanging="288"/>
        <w:spacing w:after="0" w:line="347" w:lineRule="auto"/>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r>
        <w:rPr>
          <w:rFonts w:ascii="Arial" w:cs="Arial" w:eastAsia="Arial" w:hAnsi="Arial"/>
          <w:sz w:val="16"/>
          <w:szCs w:val="16"/>
          <w:color w:val="auto"/>
        </w:rPr>
        <w:t>)</w:t>
      </w:r>
    </w:p>
    <w:p>
      <w:pPr>
        <w:jc w:val="both"/>
        <w:ind w:firstLine="302"/>
        <w:spacing w:after="0" w:line="274" w:lineRule="auto"/>
        <w:rPr>
          <w:sz w:val="20"/>
          <w:szCs w:val="20"/>
          <w:color w:val="auto"/>
        </w:rPr>
      </w:pPr>
      <w:r>
        <w:rPr>
          <w:rFonts w:ascii="Arial" w:cs="Arial" w:eastAsia="Arial" w:hAnsi="Arial"/>
          <w:sz w:val="15"/>
          <w:szCs w:val="15"/>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under any future credit facility or any other future indebtedness, we may not be able to make payments on the 4.75% Convertible Senior Notes due 2023.</w:t>
      </w:r>
    </w:p>
    <w:p>
      <w:pPr>
        <w:spacing w:after="0" w:line="211"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4"/>
          <w:szCs w:val="14"/>
          <w:color w:val="auto"/>
        </w:rPr>
        <w:t>Any default under any future credit facility or any other future indebtedness to which we may be a party that is not waived by the required lenders or holders, and the remedies sought by the holders of such indebtedness, could make us unable to pay principal, premium, if any, and interest on the 4.75% Convertible Senior Notes due 2023 and substantially decrease the market value of the 4.75% Convertible Senior Notes due 2023.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may have the ability to elect to declare all the funds borrowed thereunder due and payable, together with accrued and unpaid interest, the lenders under any credit future facility or other future debt we may incur in the future may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any future credit facility or other future debt that we may incur in the future to avoid being in default. If we breach our covenants under any future credit facility or other future debt and seek a waiver, we may not be able to obtain a waiver from the required lenders or holders. If this occurs, we may be in default under the relevant credit facility or other debt, the lenders or holders could exercise their rights as described above, and we could be forced into bankruptcy or liquidation. If we are unable to repay debt, lenders having secured obligations, including the lenders under any future credit facility or other future indebtedness, could proceed against the collateral securing the debt. Because any future credit facilities will likely have, customary cross-default provisions, if the indebtedness under the 4.75% Convertible Senior Notes due 2023, or under any future credit facility is accelerated, we may be unable to repay or finance the amounts due.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60"/>
          </w:cols>
          <w:pgMar w:left="320" w:top="124" w:right="319" w:bottom="1440" w:gutter="0" w:footer="0" w:header="0"/>
        </w:sectPr>
      </w:pPr>
    </w:p>
    <w:bookmarkStart w:id="37" w:name="page38"/>
    <w:bookmarkEnd w:id="3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56"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paying our required distributions if we recognize income before or without receiving cash representing such income.</w:t>
      </w:r>
    </w:p>
    <w:p>
      <w:pPr>
        <w:spacing w:after="0" w:line="19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159"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3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We may in the future issue additional debt securities or preferred stock and/or borrow money from banks or other financial institutions, which we refer to collectively (along with the 4.75% Convertible Senior Notes due 2023)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63"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All of the costs of offering and servicing the 4.75% Convertible Senior Notes due 2023 and any additional debt or preferred stock we may issue in the future, including interest or preferential dividend payments thereon, will be borne by our common stockholders. The interests of the holders of the 4.75% Convertible Senior Notes due 2023, any additional debt or preferred stock we may issue will not necessarily be aligned with the interests of our common stockholders. In particular, the rights of holders of the 4.75% Convertible Senior Notes due 2023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60"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Sutter Rock Capital and its stockholders, and our stockholders approve such sale. In any such case, the price at which our securities are to be issued and sold may not be less than a price which, in the determination of our Board of Directors, closely approximates the market value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60"/>
          </w:cols>
          <w:pgMar w:left="320" w:top="124" w:right="319" w:bottom="1440" w:gutter="0" w:footer="0" w:header="0"/>
        </w:sectPr>
      </w:pPr>
    </w:p>
    <w:bookmarkStart w:id="38" w:name="page39"/>
    <w:bookmarkEnd w:id="3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such securities (less any distributing commission or discount). We are also generally prohibited under the 1940 Act from issuing securities convertible into voting securities without obtaining the approval of our existing stockholders.</w:t>
      </w:r>
    </w:p>
    <w:p>
      <w:pPr>
        <w:spacing w:after="0" w:line="139" w:lineRule="exact"/>
        <w:rPr>
          <w:sz w:val="20"/>
          <w:szCs w:val="20"/>
          <w:color w:val="auto"/>
        </w:rPr>
      </w:pPr>
    </w:p>
    <w:p>
      <w:pPr>
        <w:jc w:val="both"/>
        <w:ind w:right="20"/>
        <w:spacing w:after="0" w:line="328" w:lineRule="auto"/>
        <w:rPr>
          <w:sz w:val="20"/>
          <w:szCs w:val="20"/>
          <w:color w:val="auto"/>
        </w:rPr>
      </w:pPr>
      <w:r>
        <w:rPr>
          <w:rFonts w:ascii="Arial" w:cs="Arial" w:eastAsia="Arial" w:hAnsi="Arial"/>
          <w:sz w:val="14"/>
          <w:szCs w:val="14"/>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17"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a limitation on the reduction of our net asset value,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58"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We will be subject to corporate-level U.S. federal income tax if we are profitable and are unable to qualify as a RIC, which could have a material adverse effect on us and our stockholders.</w:t>
      </w:r>
    </w:p>
    <w:p>
      <w:pPr>
        <w:spacing w:after="0" w:line="139"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“Business—Material U.S. Federal Income Tax Considerations” and “Note 2—Significant Accounting Policies—</w:t>
      </w:r>
      <w:r>
        <w:rPr>
          <w:rFonts w:ascii="Arial" w:cs="Arial" w:eastAsia="Arial" w:hAnsi="Arial"/>
          <w:sz w:val="15"/>
          <w:szCs w:val="15"/>
          <w:i w:val="1"/>
          <w:iCs w:val="1"/>
          <w:color w:val="auto"/>
        </w:rPr>
        <w:t>U.S. Federal and State Income Taxes</w:t>
      </w:r>
      <w:r>
        <w:rPr>
          <w:rFonts w:ascii="Arial" w:cs="Arial" w:eastAsia="Arial" w:hAnsi="Arial"/>
          <w:sz w:val="15"/>
          <w:szCs w:val="15"/>
          <w:color w:val="auto"/>
        </w:rPr>
        <w:t>” and “Note 9—Income Taxes” to our consolidated financial statements for the year ended December 31, 2019 for more information.</w:t>
      </w:r>
    </w:p>
    <w:p>
      <w:pPr>
        <w:spacing w:after="0" w:line="156"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corporate-level U.S. federal income tax, which could substantially reduce our net assets, the amount of income available for distribution or reinvestment and the amount of our distributions. Such a failure could have a material adverse effect on us and our stockholders.</w:t>
      </w:r>
    </w:p>
    <w:p>
      <w:pPr>
        <w:spacing w:after="0" w:line="15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39" w:lineRule="exact"/>
        <w:rPr>
          <w:sz w:val="20"/>
          <w:szCs w:val="20"/>
          <w:color w:val="auto"/>
        </w:rPr>
      </w:pPr>
    </w:p>
    <w:p>
      <w:pPr>
        <w:jc w:val="both"/>
        <w:ind w:firstLine="302"/>
        <w:spacing w:after="0" w:line="282" w:lineRule="auto"/>
        <w:rPr>
          <w:sz w:val="20"/>
          <w:szCs w:val="20"/>
          <w:color w:val="auto"/>
        </w:rPr>
      </w:pPr>
      <w:r>
        <w:rPr>
          <w:rFonts w:ascii="Arial" w:cs="Arial" w:eastAsia="Arial" w:hAnsi="Arial"/>
          <w:sz w:val="14"/>
          <w:szCs w:val="14"/>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260"/>
          </w:cols>
          <w:pgMar w:left="320" w:top="124" w:right="319" w:bottom="1440" w:gutter="0" w:footer="0" w:header="0"/>
        </w:sectPr>
      </w:pPr>
    </w:p>
    <w:bookmarkStart w:id="39" w:name="page40"/>
    <w:bookmarkEnd w:id="3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comprehensive tax reform bill could adversely affect our business and financial condition.</w:t>
      </w:r>
    </w:p>
    <w:p>
      <w:pPr>
        <w:spacing w:after="0" w:line="199"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4"/>
          <w:szCs w:val="14"/>
          <w:color w:val="auto"/>
        </w:rPr>
        <w:t>On December 22, 2017, the Tax Cuts and Jobs Act of 2017 (the “Tax Act”) was signed into law and significantly changed the Code. The Tax Act,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or net operating losses to 80% of current year taxable income and elimination of net operating loss carrybacks, one time taxation of offshore earnings at reduced rates regardless of whether they are repatriated, immediate deductions for certain new investments instead of deductions for depreciation expense over time, and modifying or repealing many business deductions and credits. Our U.S. federal net operating loss carryovers created in 2018 and thereafter will be carried forward indefinitely pursuant to the Tax Act. We continue to examine the impact this tax legislation may have on our business. Notwithstanding the reduction in the corporate income tax rate, the overall impact of the Tax Act is uncertain and our business and financial condition could be adversely affected. The impact of this Tax Act on holders of the 4.75% Convertible Senior Notes due 2023 or our common stock is also uncertain and could be adverse. We urge such holders to consult with their legal and tax advisors with respect to such legislation and the potential tax consequences of investing in our convertible notes and common stock.</w:t>
      </w:r>
    </w:p>
    <w:p>
      <w:pPr>
        <w:spacing w:after="0" w:line="149"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39"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have to pay corporate-level income taxes on income we distribute to our stockholders as dividends, allowing us to substantially reduce or eliminate our U.S. federal corporate-level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continue to choose to pay dividends in our common stock, in which case you may be required to pay tax in excess of the cash you receive.</w:t>
      </w:r>
    </w:p>
    <w:p>
      <w:pPr>
        <w:spacing w:after="0" w:line="199" w:lineRule="exact"/>
        <w:rPr>
          <w:sz w:val="20"/>
          <w:szCs w:val="20"/>
          <w:color w:val="auto"/>
        </w:rPr>
      </w:pPr>
    </w:p>
    <w:p>
      <w:pPr>
        <w:jc w:val="both"/>
        <w:ind w:firstLine="279"/>
        <w:spacing w:after="0" w:line="280" w:lineRule="auto"/>
        <w:rPr>
          <w:sz w:val="20"/>
          <w:szCs w:val="20"/>
          <w:color w:val="auto"/>
        </w:rPr>
      </w:pPr>
      <w:r>
        <w:rPr>
          <w:rFonts w:ascii="Arial" w:cs="Arial" w:eastAsia="Arial" w:hAnsi="Arial"/>
          <w:sz w:val="14"/>
          <w:szCs w:val="14"/>
          <w:color w:val="auto"/>
        </w:rPr>
        <w:t>We have in the past, and may continue to, distribute taxable dividends that are payable in part in shares of our common stock. For example, on November 4, 2015, our Board of Directors declared a dividend of $2.76 per share to stockholders, paid partially in cash and partially in shares of our common stock on December 31, 2015.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260"/>
          </w:cols>
          <w:pgMar w:left="320" w:top="124" w:right="319" w:bottom="1440" w:gutter="0" w:footer="0" w:header="0"/>
        </w:sectPr>
      </w:pPr>
    </w:p>
    <w:bookmarkStart w:id="40" w:name="page41"/>
    <w:bookmarkEnd w:id="4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372" w:lineRule="auto"/>
        <w:rPr>
          <w:sz w:val="20"/>
          <w:szCs w:val="20"/>
          <w:color w:val="auto"/>
        </w:rPr>
      </w:pPr>
      <w:r>
        <w:rPr>
          <w:rFonts w:ascii="Arial" w:cs="Arial" w:eastAsia="Arial" w:hAnsi="Arial"/>
          <w:sz w:val="13"/>
          <w:szCs w:val="13"/>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94"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(including the Dodd-Frank Act and the regulations adopted thereunder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48" w:lineRule="exact"/>
        <w:rPr>
          <w:sz w:val="20"/>
          <w:szCs w:val="20"/>
          <w:color w:val="auto"/>
        </w:rPr>
      </w:pPr>
    </w:p>
    <w:p>
      <w:pPr>
        <w:jc w:val="both"/>
        <w:ind w:right="20" w:firstLine="302"/>
        <w:spacing w:after="0" w:line="294" w:lineRule="auto"/>
        <w:rPr>
          <w:sz w:val="20"/>
          <w:szCs w:val="20"/>
          <w:color w:val="auto"/>
        </w:rPr>
      </w:pPr>
      <w:r>
        <w:rPr>
          <w:rFonts w:ascii="Arial" w:cs="Arial" w:eastAsia="Arial" w:hAnsi="Arial"/>
          <w:sz w:val="14"/>
          <w:szCs w:val="14"/>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40"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56"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Small Business Credit Availability Act allows us to incur additional leverage, which could increase the risk of investing in the Company.</w:t>
      </w:r>
    </w:p>
    <w:p>
      <w:pPr>
        <w:spacing w:after="0" w:line="199" w:lineRule="exact"/>
        <w:rPr>
          <w:sz w:val="20"/>
          <w:szCs w:val="20"/>
          <w:color w:val="auto"/>
        </w:rPr>
      </w:pPr>
    </w:p>
    <w:p>
      <w:pPr>
        <w:jc w:val="both"/>
        <w:ind w:firstLine="279"/>
        <w:spacing w:after="0" w:line="284" w:lineRule="auto"/>
        <w:rPr>
          <w:sz w:val="20"/>
          <w:szCs w:val="20"/>
          <w:color w:val="auto"/>
        </w:rPr>
      </w:pPr>
      <w:r>
        <w:rPr>
          <w:rFonts w:ascii="Arial" w:cs="Arial" w:eastAsia="Arial" w:hAnsi="Arial"/>
          <w:sz w:val="14"/>
          <w:szCs w:val="14"/>
          <w:color w:val="auto"/>
        </w:rPr>
        <w:t>The 1940 Act had generally prohibited us from incurring indebtedness unless immediately after such borrowing we had an asset coverage for total borrowings of at least 200% (i.e., the amount of debt may not exceed 50% of the value of our total assets). However, the Small Business Credit Availability Act (the “SBCA") modified the 1940 Act to allow BDCs to decrease their asset coverage requirement from 200% to 150% (i.e. the amount of debt may not exceed 66.7% of the value of our total assets), if certain requirements are met. Under the SBCA,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48"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As a result of the SBCA,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260"/>
          </w:cols>
          <w:pgMar w:left="320" w:top="124" w:right="319" w:bottom="1440" w:gutter="0" w:footer="0" w:header="0"/>
        </w:sectPr>
      </w:pPr>
    </w:p>
    <w:bookmarkStart w:id="41" w:name="page42"/>
    <w:bookmarkEnd w:id="4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about presidential administration initiatives could negatively impact our business, financial condition and results of operations.</w:t>
      </w:r>
    </w:p>
    <w:p>
      <w:pPr>
        <w:spacing w:after="0" w:line="199" w:lineRule="exact"/>
        <w:rPr>
          <w:sz w:val="20"/>
          <w:szCs w:val="20"/>
          <w:color w:val="auto"/>
        </w:rPr>
      </w:pPr>
    </w:p>
    <w:p>
      <w:pPr>
        <w:jc w:val="both"/>
        <w:ind w:right="20" w:firstLine="302"/>
        <w:spacing w:after="0" w:line="265" w:lineRule="auto"/>
        <w:rPr>
          <w:sz w:val="20"/>
          <w:szCs w:val="20"/>
          <w:color w:val="auto"/>
        </w:rPr>
      </w:pPr>
      <w:r>
        <w:rPr>
          <w:rFonts w:ascii="Arial" w:cs="Arial" w:eastAsia="Arial" w:hAnsi="Arial"/>
          <w:sz w:val="15"/>
          <w:szCs w:val="15"/>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158"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4"/>
          <w:szCs w:val="14"/>
          <w:color w:val="auto"/>
        </w:rPr>
        <w:t>A particular area identified as subject to potential change, amendment or repeal includes the Dodd-Frank Wall Street Reform and Consumer Protection Act, or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how tax reform legislation will affect us, our investments, or our stockholders, and any such legislation could adversely affect our business.</w:t>
      </w:r>
    </w:p>
    <w:p>
      <w:pPr>
        <w:spacing w:after="0" w:line="211"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Legislative or other actions relating to taxes could have a negative effect on us. The rules dealing with U.S. federal income taxation are constantly under review by persons involved in the legislative process and by the IRS and the U.S. Treasury Department. In December 2017, the U.S. House of Representatives and U.S. Senate passed tax reform legislation, which the President signed into law. Such legislation significantly changed the Code, including significant changes to the taxation of business entities, the deductibility of interest expense, and the tax treatment of capital investment. We cannot predict with certainty how any changes in the tax laws might affect us, our stockholders,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United States tariff and import/export regulations may have a negative effect on our portfolio companies and, in turn, harm us.</w:t>
      </w:r>
    </w:p>
    <w:p>
      <w:pPr>
        <w:spacing w:after="0" w:line="19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There has been ongoing discussion and commentary regarding potential significant changes to United States trade policies, treaties and tariffs. The current administration, along with Congress, has created significant uncertainty about the future relationship between the United States and other countries with respect to the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260"/>
          </w:cols>
          <w:pgMar w:left="320" w:top="124" w:right="319" w:bottom="1440" w:gutter="0" w:footer="0" w:header="0"/>
        </w:sectPr>
      </w:pPr>
    </w:p>
    <w:bookmarkStart w:id="42" w:name="page43"/>
    <w:bookmarkEnd w:id="4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investors are limited in their ability to make significant investments in us.</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significant costs as a result of being a publicly traded company.</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Ineffective internal controls could impact our business and operating results.</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5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39" w:lineRule="exact"/>
        <w:rPr>
          <w:sz w:val="20"/>
          <w:szCs w:val="20"/>
          <w:color w:val="auto"/>
        </w:rPr>
      </w:pPr>
    </w:p>
    <w:p>
      <w:pPr>
        <w:jc w:val="both"/>
        <w:ind w:firstLine="302"/>
        <w:spacing w:after="0" w:line="280" w:lineRule="auto"/>
        <w:rPr>
          <w:sz w:val="20"/>
          <w:szCs w:val="20"/>
          <w:color w:val="auto"/>
        </w:rPr>
      </w:pPr>
      <w:r>
        <w:rPr>
          <w:rFonts w:ascii="Arial" w:cs="Arial" w:eastAsia="Arial" w:hAnsi="Arial"/>
          <w:sz w:val="14"/>
          <w:szCs w:val="14"/>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Sutter Rock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260"/>
          </w:cols>
          <w:pgMar w:left="320" w:top="124" w:right="319" w:bottom="1440" w:gutter="0" w:footer="0" w:header="0"/>
        </w:sectPr>
      </w:pPr>
    </w:p>
    <w:bookmarkStart w:id="43" w:name="page44"/>
    <w:bookmarkEnd w:id="4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 operating policies and strategies without prior notice or stockholder approval, the effects of which may be adverse.</w:t>
      </w:r>
    </w:p>
    <w:p>
      <w:pPr>
        <w:spacing w:after="0" w:line="222"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56"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Provisions of the Maryland General Corporation Law and of our charter and bylaws could deter takeover attempts and have an adverse impact on the price of our common stock.</w:t>
      </w:r>
    </w:p>
    <w:p>
      <w:pPr>
        <w:spacing w:after="0" w:line="139" w:lineRule="exact"/>
        <w:rPr>
          <w:sz w:val="20"/>
          <w:szCs w:val="20"/>
          <w:color w:val="auto"/>
        </w:rPr>
      </w:pPr>
    </w:p>
    <w:p>
      <w:pPr>
        <w:jc w:val="both"/>
        <w:ind w:firstLine="279"/>
        <w:spacing w:after="0" w:line="283" w:lineRule="auto"/>
        <w:rPr>
          <w:sz w:val="20"/>
          <w:szCs w:val="20"/>
          <w:color w:val="auto"/>
        </w:rPr>
      </w:pPr>
      <w:r>
        <w:rPr>
          <w:rFonts w:ascii="Arial" w:cs="Arial" w:eastAsia="Arial" w:hAnsi="Arial"/>
          <w:sz w:val="14"/>
          <w:szCs w:val="14"/>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49"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39"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39" w:lineRule="exact"/>
        <w:rPr>
          <w:sz w:val="20"/>
          <w:szCs w:val="20"/>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sudden electrical or telecommunications outages;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natural disasters such as earthquakes, tornadoes and hurricanes;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disease pandemics (including the recent coronavirus outbreak);</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events arising from local or larger scale political or social matters, including terrorist acts; and</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cyber-attacks.</w:t>
      </w:r>
    </w:p>
    <w:p>
      <w:pPr>
        <w:spacing w:after="0" w:line="48"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color w:val="auto"/>
        </w:rPr>
        <w:t>These events, in turn, could have a material adverse effect on our operating results and negatively affect the market price of our common stock and our ability to pay dividends to our stockholders.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60"/>
          </w:cols>
          <w:pgMar w:left="320" w:top="124" w:right="319" w:bottom="1440" w:gutter="0" w:footer="0" w:header="0"/>
        </w:sectPr>
      </w:pPr>
    </w:p>
    <w:bookmarkStart w:id="44" w:name="page45"/>
    <w:bookmarkEnd w:id="4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3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cyber-security risks.</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3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40"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4"/>
          <w:szCs w:val="14"/>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50"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56"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60"/>
          </w:cols>
          <w:pgMar w:left="320" w:top="124" w:right="319" w:bottom="1440" w:gutter="0" w:footer="0" w:header="0"/>
        </w:sectPr>
      </w:pPr>
    </w:p>
    <w:bookmarkStart w:id="45" w:name="page46"/>
    <w:bookmarkEnd w:id="4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4.75% Convertible Senior Notes due 2023</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stockholders may experience dilution upon the conversion of the 4.75% Convertible Senior Notes due 2023.</w:t>
      </w:r>
    </w:p>
    <w:p>
      <w:pPr>
        <w:spacing w:after="0" w:line="19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The 4.75% Convertible Senior Notes due 2023 are convertible into shares of our common stock. Upon conversion, we must deliver shares of our common stock. The current conversion rate of the 4.75% Convertible Senior Notes due 2023 is 97.9448 shares of common stock per $1,000 principal amount of the 4.75% Convertible Senior Notes due 2023, which is equivalent to a conversion price of approximately $10.21 per share of common stock. Based on the current conversion rate, as of March 13, 2020, the maximum number of shares of common stock that would be issued upon conversion of the $40,000,000 of 4.75% Convertible Senior Notes due 2023 currently outstanding is approximately 3,917,792. If we deliver shares of common stock upon a conversion at the time our net asset value per share exceeds the conversion price in effect at such time, our stockholders will incur dilution. In addition, our stockholders will experience dilution in their ownership percentage of our common stock upon our issuance of common stock in connection with the conversion of the 4.75% Convertible Senior Notes due 2023 and any dividends paid on our common stock will also be paid on shares issued in connection with such conversion after such issuance.</w:t>
      </w:r>
    </w:p>
    <w:p>
      <w:pPr>
        <w:spacing w:after="0" w:line="160" w:lineRule="exact"/>
        <w:rPr>
          <w:sz w:val="20"/>
          <w:szCs w:val="20"/>
          <w:color w:val="auto"/>
        </w:rPr>
      </w:pPr>
    </w:p>
    <w:p>
      <w:pPr>
        <w:jc w:val="both"/>
        <w:ind w:right="20"/>
        <w:spacing w:after="0" w:line="372" w:lineRule="auto"/>
        <w:rPr>
          <w:sz w:val="20"/>
          <w:szCs w:val="20"/>
          <w:color w:val="auto"/>
        </w:rPr>
      </w:pPr>
      <w:r>
        <w:rPr>
          <w:rFonts w:ascii="Arial" w:cs="Arial" w:eastAsia="Arial" w:hAnsi="Arial"/>
          <w:sz w:val="13"/>
          <w:szCs w:val="13"/>
          <w:b w:val="1"/>
          <w:bCs w:val="1"/>
          <w:i w:val="1"/>
          <w:iCs w:val="1"/>
          <w:color w:val="auto"/>
        </w:rPr>
        <w:t>We may not have, or have the ability to raise, the funds necessary to repurchase the 4.75% Convertible Senior Notes due 2023 upon a fundamental change, and our debt may contain limitations on our ability to deliver shares of our common stock upon conversion or pay cash upon repurchase of the 4.75% Convertible Senior Notes due 2023.</w:t>
      </w:r>
    </w:p>
    <w:p>
      <w:pPr>
        <w:spacing w:after="0" w:line="94" w:lineRule="exact"/>
        <w:rPr>
          <w:sz w:val="20"/>
          <w:szCs w:val="20"/>
          <w:color w:val="auto"/>
        </w:rPr>
      </w:pPr>
    </w:p>
    <w:p>
      <w:pPr>
        <w:jc w:val="both"/>
        <w:ind w:firstLine="279"/>
        <w:spacing w:after="0" w:line="281" w:lineRule="auto"/>
        <w:rPr>
          <w:sz w:val="20"/>
          <w:szCs w:val="20"/>
          <w:color w:val="auto"/>
        </w:rPr>
      </w:pPr>
      <w:r>
        <w:rPr>
          <w:rFonts w:ascii="Arial" w:cs="Arial" w:eastAsia="Arial" w:hAnsi="Arial"/>
          <w:sz w:val="14"/>
          <w:szCs w:val="14"/>
          <w:color w:val="auto"/>
        </w:rPr>
        <w:t>Holders of the 4.75% Convertible Senior Notes due 2023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the 4.75% Convertible Senior Notes due 2023 surrendered therefor. In addition, our ability to repurchase the 4.75% Convertible Senior Notes due 2023 or deliver shares of our common stock upon conversions of the 4.75% Convertible Senior Notes due 2023 may be limited by law, by regulatory authority or by agreements governing our indebtedness. For example, any future credit facility may generally prohibit us from prepaying indebtedness other than borrowings under any such credit facility. As a result, before making any such repurchase of the 4.75% Convertible Senior Notes due 2023, we would have to obtain consent from the lender under any such credit facility to the extent such requirement is in effect at such time. Our failure to repurchase the 4.75% Convertible Senior Notes due 2023 at a time when the repurchase is required by the indenture relating to the 4.75% Convertible Senior Notes due 2023 or to deliver any shares of our common stock deliverable on future conversions of such 4.75% Convertible Senior Notes due 2023 as required by such indenture would constitute a default under such indenture. A default under the indenture relating to the 4.75% Convertible Senior Notes due 2023 or the occurrence of a fundamental change itself could also lead to a default under agreements governing any future credit facility or our future indebtedness. If the repayment of the related indebtedness were to be accelerated after any applicable notice or grace periods, we may not have sufficient funds to repay the indebtedness and repurchase the 4.75% Convertible Senior Notes due 2023.</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of the 4.75% Convertible Senior Notes due 2023 could discourage an acquisition of us by a third party.</w:t>
      </w:r>
    </w:p>
    <w:p>
      <w:pPr>
        <w:spacing w:after="0" w:line="199"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5"/>
          <w:szCs w:val="15"/>
          <w:color w:val="auto"/>
        </w:rPr>
        <w:t>Certain provisions of the 4.75% Convertible Senior Notes due 2023 could make it more difficult or more expensive for a third party to acquire us. Upon the occurrence of certain transactions constituting a fundamental change, the holders of the 4.75% Convertible Senior Notes due 2023 will have the right, at their option, to require us to repurchase all or a portion of their 4.75% Convertible Senior Notes due 2023, plus accrued and unpaid interest. We may also be required to increase the conversion rate of the 4.75% Convertible Senior Notes due 2023 in certain other circumstances, including in the event of certain transactions constituting fundamental changes or a make-whole adjustment event. These provisions could discourage an acquisition of us by a third party.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260"/>
          </w:cols>
          <w:pgMar w:left="320" w:top="124" w:right="319" w:bottom="1440" w:gutter="0" w:footer="0" w:header="0"/>
        </w:sectPr>
      </w:pPr>
    </w:p>
    <w:bookmarkStart w:id="46" w:name="page47"/>
    <w:bookmarkEnd w:id="4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debt.</w:t>
      </w:r>
    </w:p>
    <w:p>
      <w:pPr>
        <w:spacing w:after="0" w:line="19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Our ability to make scheduled payments of the principal of, to pay interest on or to refinance our indebtedness, including the 4.75% Convertible Senior Notes due 2023,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(including interests in our portfolio companies if permitted pursuant to the terms of our investment) under terms that may be disadvantageous for us,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63"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Any adverse rating of the 4.75% Convertible Senior Notes due 2023 may negatively affect the trading price and liquidity of the 4.75% Convertible Senior Notes due 2023 and the price of our common stock.</w:t>
      </w:r>
    </w:p>
    <w:p>
      <w:pPr>
        <w:spacing w:after="0" w:line="139"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We do not intend to seek a rating on the 4.75% Convertible Senior Notes due 2023. However, if a rating service were to rate the 4.75% Convertible Senior Notes due 2023, and if such rating service were to assign the 4.75% Convertible Senior Notes due 2023 a rating lower than the rating expected by investors or were to lower its rating on the 4.75% Convertible Senior Notes due 2023 below the rating initially assigned to the 4.75% Convertible Senior Notes due 2023 or otherwise announce its intention to put the 4.75% Convertible Senior Notes due 2023 on credit watch, the trading price or liquidity of the 4.75% Convertible Senior Notes due 2023 and the price of our common stock could decline.</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Holders of the 4.75% Convertible Senior Notes due 2023 may be subject to tax if we make or fail to make certain adjustments to the conversion rate of the 4.75% Convertible Senior Notes due 2023, even though such holders do not receive a corresponding cash distribution.</w:t>
      </w:r>
    </w:p>
    <w:p>
      <w:pPr>
        <w:spacing w:after="0" w:line="139"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The conversion rate of the 4.75% Convertible Senior Notes due 2023 is subject to adjustment in certain circumstances, including the payment of cash dividends. If the conversion rate is adjusted as a result of a distribution that is taxable to our common stockholders, holders of the 4.75% Convertible Senior Notes due 2023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such holder. If a make-whole adjustment event occurs on or prior to the business day immediately preceding the stated maturity date of the 4.75% Convertible Senior Notes due 2023, under some circumstances, we will increase the conversion rate for the 4.75% Convertible Senior Notes due 2023 converted in connection with the make-whole adjustment event. Such increase may also be treated as a distribution subject to U.S. federal income tax as a dividend. In addition, if a holder is a Non-U.S. Holder, such holder may be subject to U.S. federal withholding tax in connection with such a deemed distribution. If withholding tax is paid on a noteholder’s behalf as a result of an adjustment to the conversion rate of the 4.75% Convertible Senior Notes due 2023, the withholding agent may offset such payments against payments of cash and common stock on the 4.75% Convertible Senior Notes due 2023. Refer to the prospectus supplement related to the offering of the 4.75% Convertible Senior Notes due 2023, dated March 22, 2018, for more information.</w:t>
      </w:r>
    </w:p>
    <w:p>
      <w:pPr>
        <w:spacing w:after="0" w:line="152"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Certain adverse consequences could result if the 4.75% Convertible Senior Notes due 2023 are treated as equity interests in us for purposes of regulations under the Employee Retirement Income Security Act of 1974.</w:t>
      </w:r>
    </w:p>
    <w:p>
      <w:pPr>
        <w:spacing w:after="0" w:line="139"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4"/>
          <w:szCs w:val="14"/>
          <w:color w:val="auto"/>
        </w:rPr>
        <w:t>Pursuant to regulations under the Employee Retirement Income Security Act of 1974 (“ERISA”), it is possible that, due to their convertibility feature, the 4.75% Convertible Senior Notes due 2023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the 4.75% Convertible Senior Notes due 2023,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 in interest or disqualified persons by virtue of their provision of such services.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60"/>
          </w:cols>
          <w:pgMar w:left="320" w:top="124" w:right="319" w:bottom="1440" w:gutter="0" w:footer="0" w:header="0"/>
        </w:sectPr>
      </w:pPr>
    </w:p>
    <w:bookmarkStart w:id="47" w:name="page48"/>
    <w:bookmarkEnd w:id="4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279"/>
        <w:spacing w:after="0" w:line="291" w:lineRule="auto"/>
        <w:rPr>
          <w:sz w:val="20"/>
          <w:szCs w:val="20"/>
          <w:color w:val="auto"/>
        </w:rPr>
      </w:pPr>
      <w:r>
        <w:rPr>
          <w:rFonts w:ascii="Arial" w:cs="Arial" w:eastAsia="Arial" w:hAnsi="Arial"/>
          <w:sz w:val="15"/>
          <w:szCs w:val="15"/>
          <w:color w:val="auto"/>
        </w:rPr>
        <w:t>We do not believe that the 4.75% Convertible Senior Notes due 2023 should be treated as equity interests in us for purposes of ERISA in light of the relevant regulations. No assurance can be given, however, that the 4.75% Convertible Senior Notes due 2023 will not be so treated.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accounting for convertible debt securities is complex and subject to uncertainty.</w:t>
      </w:r>
    </w:p>
    <w:p>
      <w:pPr>
        <w:spacing w:after="0" w:line="199"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 accounting for convertible debt securities is complex and subject to frequent scrutiny by the accounting regulatory bodies and is subject to change. The issuance of the 4.75% Convertible Senior Notes due 2023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an Investment in Our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in our securities may involve an above average degree of risk.</w:t>
      </w:r>
    </w:p>
    <w:p>
      <w:pPr>
        <w:spacing w:after="0" w:line="19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may be volatile and may decrease substantially.</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36" w:lineRule="exact"/>
        <w:rPr>
          <w:sz w:val="20"/>
          <w:szCs w:val="20"/>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investor demand for our shares;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significant volatility in the market price and trading volume of securities of RICs, BDCs or other financial services companies;</w:t>
      </w:r>
    </w:p>
    <w:p>
      <w:pPr>
        <w:spacing w:after="0" w:line="106"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regulatory policies or tax guidelines with respect to RICs or BDCs;</w:t>
      </w:r>
    </w:p>
    <w:p>
      <w:pPr>
        <w:spacing w:after="0" w:line="106"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to qualify as a RIC for a particular taxable year, or the loss of RIC status;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actual or anticipated changes in our earnings or fluctuations in our operating results or changes in the expectations of securities analysts;</w:t>
      </w:r>
    </w:p>
    <w:p>
      <w:pPr>
        <w:spacing w:after="0" w:line="106"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106"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fluctuations in the valuation of our portfolio investments;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operating performance of companies comparable to us;</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market sentiment against technology-related companies; or</w:t>
      </w:r>
    </w:p>
    <w:p>
      <w:pPr>
        <w:spacing w:after="0" w:line="8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departures of any of the senior members of our management team.</w:t>
      </w:r>
    </w:p>
    <w:p>
      <w:pPr>
        <w:spacing w:after="0" w:line="118" w:lineRule="exact"/>
        <w:rPr>
          <w:sz w:val="20"/>
          <w:szCs w:val="20"/>
          <w:color w:val="auto"/>
        </w:rPr>
      </w:pPr>
    </w:p>
    <w:p>
      <w:pPr>
        <w:jc w:val="both"/>
        <w:ind w:firstLine="279"/>
        <w:spacing w:after="0" w:line="323" w:lineRule="auto"/>
        <w:rPr>
          <w:sz w:val="20"/>
          <w:szCs w:val="20"/>
          <w:color w:val="auto"/>
        </w:rPr>
      </w:pPr>
      <w:r>
        <w:rPr>
          <w:rFonts w:ascii="Arial" w:cs="Arial" w:eastAsia="Arial" w:hAnsi="Arial"/>
          <w:sz w:val="15"/>
          <w:szCs w:val="15"/>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have recently traded, and may in the future trade, at discounts from net asset value or at premiums that may prove to be unsustainable.</w:t>
      </w:r>
    </w:p>
    <w:p>
      <w:pPr>
        <w:spacing w:after="0" w:line="211"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60"/>
          </w:cols>
          <w:pgMar w:left="320" w:top="124" w:right="319" w:bottom="1440" w:gutter="0" w:footer="0" w:header="0"/>
        </w:sectPr>
      </w:pPr>
    </w:p>
    <w:bookmarkStart w:id="48" w:name="page49"/>
    <w:bookmarkEnd w:id="4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perceived value of companies in our investment portfolio could result in a decline in the trading price of our common stock relative to our net asset value per share.</w:t>
      </w:r>
    </w:p>
    <w:p>
      <w:pPr>
        <w:spacing w:after="0" w:line="199"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11, 2020, the closing price of our common stock on the Nasdaq Capital Market was $6.06 per share, which represented an approximately 46.7% discount to our net asset value of $11.38 per share as of December 31, 2019.</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4"/>
          <w:szCs w:val="14"/>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17"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63"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over the use of proceeds from our offerings, to the extent they are successful, and will use proceeds in part to satisfy operating expenses.</w:t>
      </w:r>
    </w:p>
    <w:p>
      <w:pPr>
        <w:spacing w:after="0" w:line="211"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158"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39" w:lineRule="exact"/>
        <w:rPr>
          <w:sz w:val="20"/>
          <w:szCs w:val="20"/>
          <w:color w:val="auto"/>
        </w:rPr>
      </w:pPr>
    </w:p>
    <w:p>
      <w:pPr>
        <w:jc w:val="both"/>
        <w:ind w:right="20" w:firstLine="279"/>
        <w:spacing w:after="0" w:line="302" w:lineRule="auto"/>
        <w:rPr>
          <w:sz w:val="20"/>
          <w:szCs w:val="20"/>
          <w:color w:val="auto"/>
        </w:rPr>
      </w:pPr>
      <w:r>
        <w:rPr>
          <w:rFonts w:ascii="Arial" w:cs="Arial" w:eastAsia="Arial" w:hAnsi="Arial"/>
          <w:sz w:val="14"/>
          <w:szCs w:val="14"/>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35" w:lineRule="exact"/>
        <w:rPr>
          <w:sz w:val="20"/>
          <w:szCs w:val="20"/>
          <w:color w:val="auto"/>
        </w:rPr>
      </w:pPr>
    </w:p>
    <w:p>
      <w:pPr>
        <w:jc w:val="both"/>
        <w:ind w:firstLine="279"/>
        <w:spacing w:after="0" w:line="291" w:lineRule="auto"/>
        <w:rPr>
          <w:sz w:val="20"/>
          <w:szCs w:val="20"/>
          <w:color w:val="auto"/>
        </w:rPr>
      </w:pPr>
      <w:r>
        <w:rPr>
          <w:rFonts w:ascii="Arial" w:cs="Arial" w:eastAsia="Arial" w:hAnsi="Arial"/>
          <w:sz w:val="15"/>
          <w:szCs w:val="15"/>
          <w:color w:val="auto"/>
        </w:rPr>
        <w:t>While we will no longer bear the costs of the various fees and expenses we previously paid to GSV Asset Management under the Investment Advisory Agreement, our direct expenses will generally include general and administrative costs, including legal,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260"/>
          </w:cols>
          <w:pgMar w:left="320" w:top="124" w:right="319" w:bottom="1440" w:gutter="0" w:footer="0" w:header="0"/>
        </w:sectPr>
      </w:pPr>
    </w:p>
    <w:bookmarkStart w:id="49" w:name="page50"/>
    <w:bookmarkEnd w:id="4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40"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52"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40"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All of these factors could have a material adverse effect on our results of operations, financial condition, and ability to pay distributions.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 applicable.</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28"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Through March 31, 2019, our corporate headquarters were located at 2925 Woodside Road, Woodside, California, 94062, in the offices of GSV Asset Management. Subsequent to our Internalization, we leased office space at 345 California Street, Suite 600, San Francisco, CA 94104. On June 3, 2019, we entered into a 5-year operating lease for primary office space at One Sansome Street, Suite 730, San Francisco, CA 94104. Our office facilities are suitable and adequate for our business as it is presently conducted.</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228"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From time to time, we are involved in various legal proceedings, lawsuits and claims incidental to the conduct of our business. Our business is also subject to extensive regulation, which may result in regulatory proceedings against us. Except as described below, we are not currently a party to any material legal proceedings.</w:t>
      </w:r>
    </w:p>
    <w:p>
      <w:pPr>
        <w:spacing w:after="0" w:line="139" w:lineRule="exact"/>
        <w:rPr>
          <w:sz w:val="20"/>
          <w:szCs w:val="20"/>
          <w:color w:val="auto"/>
        </w:rPr>
      </w:pPr>
    </w:p>
    <w:p>
      <w:pPr>
        <w:jc w:val="both"/>
        <w:ind w:firstLine="302"/>
        <w:spacing w:after="0" w:line="262" w:lineRule="auto"/>
        <w:rPr>
          <w:sz w:val="20"/>
          <w:szCs w:val="20"/>
          <w:color w:val="auto"/>
        </w:rPr>
      </w:pPr>
      <w:r>
        <w:rPr>
          <w:rFonts w:ascii="Arial" w:cs="Arial" w:eastAsia="Arial" w:hAnsi="Arial"/>
          <w:sz w:val="15"/>
          <w:szCs w:val="15"/>
          <w:color w:val="auto"/>
        </w:rPr>
        <w:t>On March 12, 2020, a complaint was filed in the United States District Court in the Northern District of California, by Sutter Hill Ventures, captioned, Sutter Hill Ventures, a California limited partnership (Plaintiff) v. Sutter Rock Capital Corp, a Maryland corporation (Defendant). The complaint alleges that the Defendant infringed on the Plaintiff’s federally-registered service mark SUTTER HILL VENTURES; engaged in unfair competition and false designation of origin under Section 43(a) of the Latham Act; and related claims of unfair competition and trademark infringement under California common law. The Plaintiff is seeking an injunction on Defendant from using the SUTTER ROCK and SUTTER ROCK CAPITAL marks and trade names, or any other mark or name that it views as similar to SUTTER HILL and SUTTER HILL VENTURES; an unspecified amount of damages and disgorgement of Defendant’s profits; a determination that the alleged infringement was willful, intentional and deliberate, warranting an award to Plaintiff of three times Defendant’s profits and three times Plaintiff’s damages; an award of Plaintiff’s attorney’s fees and cost; and an award of prejudgment and post judgment interest. While we are unable to determine the ultimate outcome of this matter, we believe that the alleged claims in the complaint are frivolous and completely without merit and intend to defend this lawsuit vigorously.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60"/>
          </w:cols>
          <w:pgMar w:left="320" w:top="124" w:right="319" w:bottom="1440" w:gutter="0" w:footer="0" w:header="0"/>
        </w:sectPr>
      </w:pPr>
    </w:p>
    <w:bookmarkStart w:id="50" w:name="page51"/>
    <w:bookmarkEnd w:id="5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Not applicable.</w:t>
      </w:r>
    </w:p>
    <w:p>
      <w:pPr>
        <w:spacing w:after="0" w:line="211"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139"/>
          </w:cols>
          <w:pgMar w:left="320" w:top="124" w:right="1440" w:bottom="1440" w:gutter="0" w:footer="0" w:header="0"/>
        </w:sectPr>
      </w:pPr>
    </w:p>
    <w:bookmarkStart w:id="51" w:name="page52"/>
    <w:bookmarkEnd w:id="5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240"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Our common stock is traded on the Nasdaq Capital Market under the symbol “SSSS.” The following table sets forth the high and low closing market prices for our common stock for each fiscal quarter for the years ended December 31, 2019 and 2018. The closing market prices reported below have been adjusted to give retroactive effect to material changes resulting from stock dividends. The reported closing market price of our common stock on March 11, 2020 was $6.06.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2"/>
                <w:szCs w:val="12"/>
                <w:b w:val="1"/>
                <w:bCs w:val="1"/>
                <w:color w:val="auto"/>
              </w:rPr>
              <w:t>Price Range</w:t>
            </w:r>
          </w:p>
        </w:tc>
        <w:tc>
          <w:tcPr>
            <w:tcW w:w="1020" w:type="dxa"/>
            <w:vAlign w:val="bottom"/>
            <w:tcBorders>
              <w:bottom w:val="single" w:sz="8" w:color="auto"/>
            </w:tcBorders>
          </w:tcPr>
          <w:p>
            <w:pPr>
              <w:spacing w:after="0"/>
              <w:rPr>
                <w:sz w:val="14"/>
                <w:szCs w:val="14"/>
                <w:color w:val="auto"/>
              </w:rPr>
            </w:pPr>
          </w:p>
        </w:tc>
      </w:tr>
      <w:tr>
        <w:trPr>
          <w:trHeight w:val="224"/>
        </w:trPr>
        <w:tc>
          <w:tcPr>
            <w:tcW w:w="8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Low</w:t>
            </w: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Fiscal 2019</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9"/>
        </w:trPr>
        <w:tc>
          <w:tcPr>
            <w:tcW w:w="8220" w:type="dxa"/>
            <w:vAlign w:val="bottom"/>
          </w:tcPr>
          <w:p>
            <w:pPr>
              <w:ind w:left="140"/>
              <w:spacing w:after="0"/>
              <w:rPr>
                <w:sz w:val="20"/>
                <w:szCs w:val="20"/>
                <w:color w:val="auto"/>
              </w:rPr>
            </w:pPr>
            <w:r>
              <w:rPr>
                <w:rFonts w:ascii="Arial" w:cs="Arial" w:eastAsia="Arial" w:hAnsi="Arial"/>
                <w:sz w:val="15"/>
                <w:szCs w:val="15"/>
                <w:color w:val="auto"/>
              </w:rPr>
              <w:t>Fourth Quarter</w:t>
            </w:r>
          </w:p>
        </w:tc>
        <w:tc>
          <w:tcPr>
            <w:tcW w:w="980" w:type="dxa"/>
            <w:vAlign w:val="bottom"/>
          </w:tcPr>
          <w:p>
            <w:pPr>
              <w:jc w:val="right"/>
              <w:ind w:right="808"/>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6.94</w:t>
            </w:r>
          </w:p>
        </w:tc>
        <w:tc>
          <w:tcPr>
            <w:tcW w:w="120" w:type="dxa"/>
            <w:vAlign w:val="bottom"/>
          </w:tcPr>
          <w:p>
            <w:pPr>
              <w:spacing w:after="0"/>
              <w:rPr>
                <w:sz w:val="18"/>
                <w:szCs w:val="18"/>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5.71</w:t>
            </w:r>
          </w:p>
        </w:tc>
      </w:tr>
      <w:tr>
        <w:trPr>
          <w:trHeight w:val="24"/>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Third Quarter</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6.70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6.06</w:t>
            </w:r>
          </w:p>
        </w:tc>
      </w:tr>
      <w:tr>
        <w:trPr>
          <w:trHeight w:val="209"/>
        </w:trPr>
        <w:tc>
          <w:tcPr>
            <w:tcW w:w="8220" w:type="dxa"/>
            <w:vAlign w:val="bottom"/>
          </w:tcPr>
          <w:p>
            <w:pPr>
              <w:ind w:left="140"/>
              <w:spacing w:after="0"/>
              <w:rPr>
                <w:sz w:val="20"/>
                <w:szCs w:val="20"/>
                <w:color w:val="auto"/>
              </w:rPr>
            </w:pPr>
            <w:r>
              <w:rPr>
                <w:rFonts w:ascii="Arial" w:cs="Arial" w:eastAsia="Arial" w:hAnsi="Arial"/>
                <w:sz w:val="15"/>
                <w:szCs w:val="15"/>
                <w:color w:val="auto"/>
              </w:rPr>
              <w:t>Second Quarter</w:t>
            </w:r>
          </w:p>
        </w:tc>
        <w:tc>
          <w:tcPr>
            <w:tcW w:w="98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7.57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5.95</w:t>
            </w:r>
          </w:p>
        </w:tc>
      </w:tr>
      <w:tr>
        <w:trPr>
          <w:trHeight w:val="24"/>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First Quarter</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8.39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5.15</w:t>
            </w:r>
          </w:p>
        </w:tc>
      </w:tr>
      <w:tr>
        <w:trPr>
          <w:trHeight w:val="209"/>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Fiscal 2018</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Fourth Quarter</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7.22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5.12</w:t>
            </w:r>
          </w:p>
        </w:tc>
      </w:tr>
      <w:tr>
        <w:trPr>
          <w:trHeight w:val="209"/>
        </w:trPr>
        <w:tc>
          <w:tcPr>
            <w:tcW w:w="8220" w:type="dxa"/>
            <w:vAlign w:val="bottom"/>
          </w:tcPr>
          <w:p>
            <w:pPr>
              <w:ind w:left="140"/>
              <w:spacing w:after="0"/>
              <w:rPr>
                <w:sz w:val="20"/>
                <w:szCs w:val="20"/>
                <w:color w:val="auto"/>
              </w:rPr>
            </w:pPr>
            <w:r>
              <w:rPr>
                <w:rFonts w:ascii="Arial" w:cs="Arial" w:eastAsia="Arial" w:hAnsi="Arial"/>
                <w:sz w:val="15"/>
                <w:szCs w:val="15"/>
                <w:color w:val="auto"/>
              </w:rPr>
              <w:t>Third Quarter</w:t>
            </w:r>
          </w:p>
        </w:tc>
        <w:tc>
          <w:tcPr>
            <w:tcW w:w="98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7.35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6.81</w:t>
            </w:r>
          </w:p>
        </w:tc>
      </w:tr>
      <w:tr>
        <w:trPr>
          <w:trHeight w:val="24"/>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Second Quarter</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7.50</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6.68</w:t>
            </w:r>
          </w:p>
        </w:tc>
      </w:tr>
      <w:tr>
        <w:trPr>
          <w:trHeight w:val="209"/>
        </w:trPr>
        <w:tc>
          <w:tcPr>
            <w:tcW w:w="8220" w:type="dxa"/>
            <w:vAlign w:val="bottom"/>
          </w:tcPr>
          <w:p>
            <w:pPr>
              <w:ind w:left="140"/>
              <w:spacing w:after="0"/>
              <w:rPr>
                <w:sz w:val="20"/>
                <w:szCs w:val="20"/>
                <w:color w:val="auto"/>
              </w:rPr>
            </w:pPr>
            <w:r>
              <w:rPr>
                <w:rFonts w:ascii="Arial" w:cs="Arial" w:eastAsia="Arial" w:hAnsi="Arial"/>
                <w:sz w:val="15"/>
                <w:szCs w:val="15"/>
                <w:color w:val="auto"/>
              </w:rPr>
              <w:t>First Quarter</w:t>
            </w:r>
          </w:p>
        </w:tc>
        <w:tc>
          <w:tcPr>
            <w:tcW w:w="980" w:type="dxa"/>
            <w:vAlign w:val="bottom"/>
          </w:tcPr>
          <w:p>
            <w:pPr>
              <w:spacing w:after="0"/>
              <w:rPr>
                <w:sz w:val="18"/>
                <w:szCs w:val="18"/>
                <w:color w:val="auto"/>
              </w:rPr>
            </w:pPr>
          </w:p>
        </w:tc>
        <w:tc>
          <w:tcPr>
            <w:tcW w:w="500" w:type="dxa"/>
            <w:vAlign w:val="bottom"/>
          </w:tcPr>
          <w:p>
            <w:pPr>
              <w:jc w:val="right"/>
              <w:ind w:right="44"/>
              <w:spacing w:after="0"/>
              <w:rPr>
                <w:sz w:val="20"/>
                <w:szCs w:val="20"/>
                <w:color w:val="auto"/>
              </w:rPr>
            </w:pPr>
            <w:r>
              <w:rPr>
                <w:rFonts w:ascii="Arial" w:cs="Arial" w:eastAsia="Arial" w:hAnsi="Arial"/>
                <w:sz w:val="15"/>
                <w:szCs w:val="15"/>
                <w:color w:val="auto"/>
              </w:rPr>
              <w:t>9.18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5.58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March 13, 2020, there were 3 holders of record of our common stock (including Cede &amp; Co.).</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205"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4"/>
          <w:szCs w:val="14"/>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60"/>
          </w:cols>
          <w:pgMar w:left="320" w:top="124" w:right="319" w:bottom="1440" w:gutter="0" w:footer="0" w:header="0"/>
        </w:sectPr>
      </w:pPr>
    </w:p>
    <w:bookmarkStart w:id="52" w:name="page53"/>
    <w:bookmarkEnd w:id="52"/>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left="7" w:firstLine="302"/>
        <w:spacing w:after="0" w:line="274" w:lineRule="auto"/>
        <w:rPr>
          <w:sz w:val="20"/>
          <w:szCs w:val="20"/>
          <w:color w:val="auto"/>
        </w:rPr>
      </w:pPr>
      <w:r>
        <w:rPr>
          <w:rFonts w:ascii="Arial" w:cs="Arial" w:eastAsia="Arial" w:hAnsi="Arial"/>
          <w:sz w:val="15"/>
          <w:szCs w:val="15"/>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2019. The table is divided by fiscal year according to record date:</w: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Date Declared</w:t>
            </w:r>
          </w:p>
        </w:tc>
        <w:tc>
          <w:tcPr>
            <w:tcW w:w="12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Record Date</w:t>
            </w:r>
          </w:p>
        </w:tc>
        <w:tc>
          <w:tcPr>
            <w:tcW w:w="10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Payment Date</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25"/>
              <w:spacing w:after="0"/>
              <w:rPr>
                <w:sz w:val="20"/>
                <w:szCs w:val="20"/>
                <w:color w:val="auto"/>
              </w:rPr>
            </w:pPr>
            <w:r>
              <w:rPr>
                <w:rFonts w:ascii="Arial" w:cs="Arial" w:eastAsia="Arial" w:hAnsi="Arial"/>
                <w:sz w:val="12"/>
                <w:szCs w:val="12"/>
                <w:b w:val="1"/>
                <w:bCs w:val="1"/>
                <w:color w:val="auto"/>
              </w:rPr>
              <w:t>Amount per Share</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Fiscal 2015:</w:t>
            </w: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40" w:type="dxa"/>
            <w:vAlign w:val="bottom"/>
            <w:gridSpan w:val="2"/>
          </w:tcPr>
          <w:p>
            <w:pPr>
              <w:ind w:left="160"/>
              <w:spacing w:after="0" w:line="232" w:lineRule="exact"/>
              <w:rPr>
                <w:sz w:val="20"/>
                <w:szCs w:val="20"/>
                <w:color w:val="auto"/>
              </w:rPr>
            </w:pPr>
            <w:r>
              <w:rPr>
                <w:rFonts w:ascii="Arial" w:cs="Arial" w:eastAsia="Arial" w:hAnsi="Arial"/>
                <w:sz w:val="15"/>
                <w:szCs w:val="15"/>
                <w:color w:val="auto"/>
              </w:rPr>
              <w:t>November 4, 2015</w:t>
            </w:r>
            <w:r>
              <w:rPr>
                <w:rFonts w:ascii="Arial" w:cs="Arial" w:eastAsia="Arial" w:hAnsi="Arial"/>
                <w:sz w:val="21"/>
                <w:szCs w:val="21"/>
                <w:color w:val="auto"/>
                <w:vertAlign w:val="superscript"/>
              </w:rPr>
              <w:t>(1)</w:t>
            </w:r>
          </w:p>
        </w:tc>
        <w:tc>
          <w:tcPr>
            <w:tcW w:w="238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November 16, 2015</w:t>
            </w:r>
          </w:p>
        </w:tc>
        <w:tc>
          <w:tcPr>
            <w:tcW w:w="226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31, 2015</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Fiscal 2016:</w:t>
            </w: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40" w:type="dxa"/>
            <w:vAlign w:val="bottom"/>
            <w:gridSpan w:val="2"/>
          </w:tcPr>
          <w:p>
            <w:pPr>
              <w:ind w:left="160"/>
              <w:spacing w:after="0" w:line="232" w:lineRule="exact"/>
              <w:rPr>
                <w:sz w:val="20"/>
                <w:szCs w:val="20"/>
                <w:color w:val="auto"/>
              </w:rPr>
            </w:pPr>
            <w:r>
              <w:rPr>
                <w:rFonts w:ascii="Arial" w:cs="Arial" w:eastAsia="Arial" w:hAnsi="Arial"/>
                <w:sz w:val="15"/>
                <w:szCs w:val="15"/>
                <w:color w:val="auto"/>
              </w:rPr>
              <w:t>August 3, 2016</w:t>
            </w:r>
            <w:r>
              <w:rPr>
                <w:rFonts w:ascii="Arial" w:cs="Arial" w:eastAsia="Arial" w:hAnsi="Arial"/>
                <w:sz w:val="21"/>
                <w:szCs w:val="21"/>
                <w:color w:val="auto"/>
                <w:vertAlign w:val="superscript"/>
              </w:rPr>
              <w:t>(2)</w:t>
            </w:r>
          </w:p>
        </w:tc>
        <w:tc>
          <w:tcPr>
            <w:tcW w:w="238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August 16, 2016</w:t>
            </w:r>
          </w:p>
        </w:tc>
        <w:tc>
          <w:tcPr>
            <w:tcW w:w="22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August 24, 2016</w:t>
            </w:r>
          </w:p>
        </w:tc>
        <w:tc>
          <w:tcPr>
            <w:tcW w:w="240" w:type="dxa"/>
            <w:vAlign w:val="bottom"/>
          </w:tcPr>
          <w:p>
            <w:pPr>
              <w:spacing w:after="0"/>
              <w:rPr>
                <w:sz w:val="20"/>
                <w:szCs w:val="20"/>
                <w:color w:val="auto"/>
              </w:rPr>
            </w:pP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Fiscal 2019:</w:t>
            </w: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40" w:type="dxa"/>
            <w:vAlign w:val="bottom"/>
            <w:gridSpan w:val="2"/>
          </w:tcPr>
          <w:p>
            <w:pPr>
              <w:ind w:left="160"/>
              <w:spacing w:after="0" w:line="232" w:lineRule="exact"/>
              <w:rPr>
                <w:sz w:val="20"/>
                <w:szCs w:val="20"/>
                <w:color w:val="auto"/>
              </w:rPr>
            </w:pPr>
            <w:r>
              <w:rPr>
                <w:rFonts w:ascii="Arial" w:cs="Arial" w:eastAsia="Arial" w:hAnsi="Arial"/>
                <w:sz w:val="15"/>
                <w:szCs w:val="15"/>
                <w:color w:val="auto"/>
              </w:rPr>
              <w:t>November 5, 2019</w:t>
            </w:r>
            <w:r>
              <w:rPr>
                <w:rFonts w:ascii="Arial" w:cs="Arial" w:eastAsia="Arial" w:hAnsi="Arial"/>
                <w:sz w:val="21"/>
                <w:szCs w:val="21"/>
                <w:color w:val="auto"/>
                <w:vertAlign w:val="superscript"/>
              </w:rPr>
              <w:t>(3)</w:t>
            </w:r>
          </w:p>
        </w:tc>
        <w:tc>
          <w:tcPr>
            <w:tcW w:w="238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December 2, 2019</w:t>
            </w:r>
          </w:p>
        </w:tc>
        <w:tc>
          <w:tcPr>
            <w:tcW w:w="226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12, 2019</w:t>
            </w:r>
          </w:p>
        </w:tc>
        <w:tc>
          <w:tcPr>
            <w:tcW w:w="240" w:type="dxa"/>
            <w:vAlign w:val="bottom"/>
          </w:tcPr>
          <w:p>
            <w:pPr>
              <w:spacing w:after="0"/>
              <w:rPr>
                <w:sz w:val="20"/>
                <w:szCs w:val="20"/>
                <w:color w:val="auto"/>
              </w:rPr>
            </w:pP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32"/>
        </w:trPr>
        <w:tc>
          <w:tcPr>
            <w:tcW w:w="4840" w:type="dxa"/>
            <w:vAlign w:val="bottom"/>
            <w:gridSpan w:val="2"/>
            <w:shd w:val="clear" w:color="auto" w:fill="CCEEFF"/>
          </w:tcPr>
          <w:p>
            <w:pPr>
              <w:ind w:left="160"/>
              <w:spacing w:after="0" w:line="232" w:lineRule="exact"/>
              <w:rPr>
                <w:sz w:val="20"/>
                <w:szCs w:val="20"/>
                <w:color w:val="auto"/>
              </w:rPr>
            </w:pPr>
            <w:r>
              <w:rPr>
                <w:rFonts w:ascii="Arial" w:cs="Arial" w:eastAsia="Arial" w:hAnsi="Arial"/>
                <w:sz w:val="15"/>
                <w:szCs w:val="15"/>
                <w:color w:val="auto"/>
              </w:rPr>
              <w:t>December 20, 2019</w:t>
            </w:r>
            <w:r>
              <w:rPr>
                <w:rFonts w:ascii="Arial" w:cs="Arial" w:eastAsia="Arial" w:hAnsi="Arial"/>
                <w:sz w:val="21"/>
                <w:szCs w:val="21"/>
                <w:color w:val="auto"/>
                <w:vertAlign w:val="superscript"/>
              </w:rPr>
              <w:t>(4)</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1"/>
              </w:rPr>
              <w:t>December 31, 2019</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January 15, 2020</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2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287" w:hanging="287"/>
        <w:spacing w:after="0" w:line="245" w:lineRule="auto"/>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2" w:lineRule="exact"/>
        <w:rPr>
          <w:rFonts w:ascii="Arial" w:cs="Arial" w:eastAsia="Arial" w:hAnsi="Arial"/>
          <w:sz w:val="14"/>
          <w:szCs w:val="14"/>
          <w:color w:val="auto"/>
        </w:rPr>
      </w:pPr>
    </w:p>
    <w:p>
      <w:pPr>
        <w:ind w:left="287" w:hanging="287"/>
        <w:spacing w:after="0"/>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Of the total distribution of $887,240 on August 24, 2016, $820,753 represented a distribution from realized gains, and $66,487 represented a return of capital.</w:t>
      </w:r>
    </w:p>
    <w:p>
      <w:pPr>
        <w:spacing w:after="0" w:line="1" w:lineRule="exact"/>
        <w:rPr>
          <w:rFonts w:ascii="Arial" w:cs="Arial" w:eastAsia="Arial" w:hAnsi="Arial"/>
          <w:sz w:val="14"/>
          <w:szCs w:val="14"/>
          <w:color w:val="auto"/>
        </w:rPr>
      </w:pPr>
    </w:p>
    <w:p>
      <w:pPr>
        <w:ind w:left="287" w:hanging="287"/>
        <w:spacing w:after="0"/>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the total distribution of $3,512,849 on December 12, 2019 represented a distribution from realized gains. None of the distribution represented a return of capital.</w:t>
      </w:r>
    </w:p>
    <w:p>
      <w:pPr>
        <w:spacing w:after="0" w:line="1" w:lineRule="exact"/>
        <w:rPr>
          <w:rFonts w:ascii="Arial" w:cs="Arial" w:eastAsia="Arial" w:hAnsi="Arial"/>
          <w:sz w:val="14"/>
          <w:szCs w:val="14"/>
          <w:color w:val="auto"/>
        </w:rPr>
      </w:pPr>
    </w:p>
    <w:p>
      <w:pPr>
        <w:ind w:left="207" w:hanging="207"/>
        <w:spacing w:after="0"/>
        <w:tabs>
          <w:tab w:leader="none" w:pos="2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the total distribution of $2,107,709 on January 15, 2020 represented a distribution from realized gains. None of the distribution represented a return of capital.</w:t>
      </w:r>
    </w:p>
    <w:p>
      <w:pPr>
        <w:spacing w:after="0" w:line="173" w:lineRule="exact"/>
        <w:rPr>
          <w:sz w:val="20"/>
          <w:szCs w:val="20"/>
          <w:color w:val="auto"/>
        </w:rPr>
      </w:pPr>
    </w:p>
    <w:p>
      <w:pPr>
        <w:jc w:val="both"/>
        <w:ind w:left="7" w:firstLine="302"/>
        <w:spacing w:after="0" w:line="269" w:lineRule="auto"/>
        <w:rPr>
          <w:sz w:val="20"/>
          <w:szCs w:val="20"/>
          <w:color w:val="auto"/>
        </w:rPr>
      </w:pPr>
      <w:r>
        <w:rPr>
          <w:rFonts w:ascii="Arial" w:cs="Arial" w:eastAsia="Arial" w:hAnsi="Arial"/>
          <w:sz w:val="15"/>
          <w:szCs w:val="15"/>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56" w:lineRule="exact"/>
        <w:rPr>
          <w:sz w:val="20"/>
          <w:szCs w:val="20"/>
          <w:color w:val="auto"/>
        </w:rPr>
      </w:pPr>
    </w:p>
    <w:p>
      <w:pPr>
        <w:jc w:val="both"/>
        <w:ind w:left="7" w:firstLine="302"/>
        <w:spacing w:after="0" w:line="284" w:lineRule="auto"/>
        <w:rPr>
          <w:sz w:val="20"/>
          <w:szCs w:val="20"/>
          <w:color w:val="auto"/>
        </w:rPr>
      </w:pPr>
      <w:r>
        <w:rPr>
          <w:rFonts w:ascii="Arial" w:cs="Arial" w:eastAsia="Arial" w:hAnsi="Arial"/>
          <w:sz w:val="14"/>
          <w:szCs w:val="14"/>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48" w:lineRule="exact"/>
        <w:rPr>
          <w:sz w:val="20"/>
          <w:szCs w:val="20"/>
          <w:color w:val="auto"/>
        </w:rPr>
      </w:pPr>
    </w:p>
    <w:p>
      <w:pPr>
        <w:jc w:val="both"/>
        <w:ind w:left="7" w:firstLine="302"/>
        <w:spacing w:after="0" w:line="287" w:lineRule="auto"/>
        <w:rPr>
          <w:sz w:val="20"/>
          <w:szCs w:val="20"/>
          <w:color w:val="auto"/>
        </w:rPr>
      </w:pPr>
      <w:r>
        <w:rPr>
          <w:rFonts w:ascii="Arial" w:cs="Arial" w:eastAsia="Arial" w:hAnsi="Arial"/>
          <w:sz w:val="14"/>
          <w:szCs w:val="14"/>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4"/>
          <w:szCs w:val="14"/>
          <w:i w:val="1"/>
          <w:iCs w:val="1"/>
          <w:color w:val="auto"/>
        </w:rPr>
        <w:t>U.S. Federal and State Income Taxes</w:t>
      </w:r>
      <w:r>
        <w:rPr>
          <w:rFonts w:ascii="Arial" w:cs="Arial" w:eastAsia="Arial" w:hAnsi="Arial"/>
          <w:sz w:val="14"/>
          <w:szCs w:val="14"/>
          <w:color w:val="auto"/>
        </w:rPr>
        <w:t>” and “Note 9—Income Taxes” to our consolidated financial statements for the year ended December 31, 2019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67"/>
          </w:cols>
          <w:pgMar w:left="313" w:top="124" w:right="319" w:bottom="1440" w:gutter="0" w:footer="0" w:header="0"/>
        </w:sectPr>
      </w:pPr>
    </w:p>
    <w:bookmarkStart w:id="53" w:name="page54"/>
    <w:bookmarkEnd w:id="5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Graph</w:t>
      </w:r>
    </w:p>
    <w:p>
      <w:pPr>
        <w:spacing w:after="0" w:line="205"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2019. The graph assumes that, on December 31, 2014, a person invested $100.00 in our common stock, at the closing price of our common stock on December 31, 2014,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5027930" cy="2632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2793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12/31/14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12/31/15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12/31/16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12/31/17</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12/31/18</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12/31/19</w:t>
            </w: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SSSS</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108.57</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82.62</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89.52</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85.74</w:t>
            </w:r>
          </w:p>
        </w:tc>
        <w:tc>
          <w:tcPr>
            <w:tcW w:w="3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107.59</w:t>
            </w:r>
          </w:p>
        </w:tc>
      </w:tr>
      <w:tr>
        <w:trPr>
          <w:trHeight w:val="209"/>
        </w:trPr>
        <w:tc>
          <w:tcPr>
            <w:tcW w:w="304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99.27</w:t>
            </w:r>
          </w:p>
        </w:tc>
        <w:tc>
          <w:tcPr>
            <w:tcW w:w="280" w:type="dxa"/>
            <w:vAlign w:val="bottom"/>
          </w:tcPr>
          <w:p>
            <w:pPr>
              <w:ind w:left="4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108.74</w:t>
            </w:r>
          </w:p>
        </w:tc>
        <w:tc>
          <w:tcPr>
            <w:tcW w:w="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129.86</w:t>
            </w:r>
          </w:p>
        </w:tc>
        <w:tc>
          <w:tcPr>
            <w:tcW w:w="300" w:type="dxa"/>
            <w:vAlign w:val="bottom"/>
          </w:tcPr>
          <w:p>
            <w:pPr>
              <w:ind w:left="4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121.76</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
              <w:spacing w:after="0"/>
              <w:rPr>
                <w:sz w:val="20"/>
                <w:szCs w:val="20"/>
                <w:color w:val="auto"/>
              </w:rPr>
            </w:pPr>
            <w:r>
              <w:rPr>
                <w:rFonts w:ascii="Arial" w:cs="Arial" w:eastAsia="Arial" w:hAnsi="Arial"/>
                <w:sz w:val="15"/>
                <w:szCs w:val="15"/>
                <w:color w:val="auto"/>
              </w:rPr>
              <w:t>156.92</w:t>
            </w:r>
          </w:p>
        </w:tc>
      </w:tr>
      <w:tr>
        <w:trPr>
          <w:trHeight w:val="24"/>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Nasdaq Stock Index</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105.73</w:t>
            </w:r>
          </w:p>
        </w:tc>
        <w:tc>
          <w:tcPr>
            <w:tcW w:w="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113.66</w:t>
            </w:r>
          </w:p>
        </w:tc>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145.76</w:t>
            </w: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140.10</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189.45</w:t>
            </w:r>
          </w:p>
        </w:tc>
      </w:tr>
      <w:tr>
        <w:trPr>
          <w:trHeight w:val="24"/>
        </w:trPr>
        <w:tc>
          <w:tcPr>
            <w:tcW w:w="3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60"/>
          </w:cols>
          <w:pgMar w:left="320" w:top="124" w:right="319" w:bottom="1440" w:gutter="0" w:footer="0" w:header="0"/>
        </w:sectPr>
      </w:pPr>
    </w:p>
    <w:bookmarkStart w:id="54" w:name="page55"/>
    <w:bookmarkEnd w:id="54"/>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Sales of Unregistered Equity Securities</w:t>
      </w:r>
    </w:p>
    <w:p>
      <w:pPr>
        <w:spacing w:after="0" w:line="205" w:lineRule="exact"/>
        <w:rPr>
          <w:sz w:val="20"/>
          <w:szCs w:val="20"/>
          <w:color w:val="auto"/>
        </w:rPr>
      </w:pPr>
    </w:p>
    <w:p>
      <w:pPr>
        <w:ind w:left="307"/>
        <w:spacing w:after="0"/>
        <w:rPr>
          <w:sz w:val="20"/>
          <w:szCs w:val="20"/>
          <w:color w:val="auto"/>
        </w:rPr>
      </w:pPr>
      <w:r>
        <w:rPr>
          <w:rFonts w:ascii="Arial" w:cs="Arial" w:eastAsia="Arial" w:hAnsi="Arial"/>
          <w:sz w:val="15"/>
          <w:szCs w:val="15"/>
          <w:color w:val="auto"/>
        </w:rPr>
        <w:t>We did not sell any equity securities during the period covered in this report that were not registered under the Securities Act of 1933, as amended.</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Issuer Purchases of Equity Securities</w:t>
      </w:r>
      <w:r>
        <w:rPr>
          <w:rFonts w:ascii="Arial" w:cs="Arial" w:eastAsia="Arial" w:hAnsi="Arial"/>
          <w:sz w:val="21"/>
          <w:szCs w:val="21"/>
          <w:b w:val="1"/>
          <w:bCs w:val="1"/>
          <w:color w:val="auto"/>
          <w:vertAlign w:val="superscript"/>
        </w:rPr>
        <w:t>(1)</w:t>
      </w:r>
    </w:p>
    <w:p>
      <w:pPr>
        <w:spacing w:after="0" w:line="136" w:lineRule="exact"/>
        <w:rPr>
          <w:sz w:val="20"/>
          <w:szCs w:val="20"/>
          <w:color w:val="auto"/>
        </w:rPr>
      </w:pPr>
    </w:p>
    <w:p>
      <w:pPr>
        <w:ind w:left="307"/>
        <w:spacing w:after="0"/>
        <w:rPr>
          <w:sz w:val="20"/>
          <w:szCs w:val="20"/>
          <w:color w:val="auto"/>
        </w:rPr>
      </w:pPr>
      <w:r>
        <w:rPr>
          <w:rFonts w:ascii="Arial" w:cs="Arial" w:eastAsia="Arial" w:hAnsi="Arial"/>
          <w:sz w:val="15"/>
          <w:szCs w:val="15"/>
          <w:color w:val="auto"/>
        </w:rPr>
        <w:t>Information relating to the Company’s purchases of its common stock during the year ended December 31, 2019 is as follows:</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Total 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Approximate</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28" w:lineRule="exact"/>
              <w:rPr>
                <w:sz w:val="20"/>
                <w:szCs w:val="20"/>
                <w:color w:val="auto"/>
              </w:rPr>
            </w:pPr>
            <w:r>
              <w:rPr>
                <w:rFonts w:ascii="Arial" w:cs="Arial" w:eastAsia="Arial" w:hAnsi="Arial"/>
                <w:sz w:val="12"/>
                <w:szCs w:val="12"/>
                <w:b w:val="1"/>
                <w:bCs w:val="1"/>
                <w:color w:val="auto"/>
                <w:w w:val="95"/>
              </w:rPr>
              <w:t>Dollar Value of</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28" w:lineRule="exact"/>
              <w:rPr>
                <w:sz w:val="20"/>
                <w:szCs w:val="20"/>
                <w:color w:val="auto"/>
              </w:rPr>
            </w:pPr>
            <w:r>
              <w:rPr>
                <w:rFonts w:ascii="Arial" w:cs="Arial" w:eastAsia="Arial" w:hAnsi="Arial"/>
                <w:sz w:val="12"/>
                <w:szCs w:val="12"/>
                <w:b w:val="1"/>
                <w:bCs w:val="1"/>
                <w:color w:val="auto"/>
                <w:w w:val="95"/>
              </w:rPr>
              <w:t>Shares that May</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88"/>
              </w:rPr>
              <w:t>Average</w:t>
            </w:r>
          </w:p>
        </w:tc>
        <w:tc>
          <w:tcPr>
            <w:tcW w:w="1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Purchased as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28" w:lineRule="exact"/>
              <w:rPr>
                <w:sz w:val="20"/>
                <w:szCs w:val="20"/>
                <w:color w:val="auto"/>
              </w:rPr>
            </w:pPr>
            <w:r>
              <w:rPr>
                <w:rFonts w:ascii="Arial" w:cs="Arial" w:eastAsia="Arial" w:hAnsi="Arial"/>
                <w:sz w:val="12"/>
                <w:szCs w:val="12"/>
                <w:b w:val="1"/>
                <w:bCs w:val="1"/>
                <w:color w:val="auto"/>
                <w:w w:val="90"/>
              </w:rPr>
              <w:t>Yet Be Purchased</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Part of Publicly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28" w:lineRule="exact"/>
              <w:rPr>
                <w:sz w:val="20"/>
                <w:szCs w:val="20"/>
                <w:color w:val="auto"/>
              </w:rPr>
            </w:pPr>
            <w:r>
              <w:rPr>
                <w:rFonts w:ascii="Arial" w:cs="Arial" w:eastAsia="Arial" w:hAnsi="Arial"/>
                <w:sz w:val="12"/>
                <w:szCs w:val="12"/>
                <w:b w:val="1"/>
                <w:bCs w:val="1"/>
                <w:color w:val="auto"/>
                <w:w w:val="94"/>
              </w:rPr>
              <w:t>Under the Share</w:t>
            </w:r>
          </w:p>
        </w:tc>
        <w:tc>
          <w:tcPr>
            <w:tcW w:w="0" w:type="dxa"/>
            <w:vAlign w:val="bottom"/>
          </w:tcPr>
          <w:p>
            <w:pPr>
              <w:spacing w:after="0"/>
              <w:rPr>
                <w:sz w:val="1"/>
                <w:szCs w:val="1"/>
                <w:color w:val="auto"/>
              </w:rPr>
            </w:pPr>
          </w:p>
        </w:tc>
      </w:tr>
      <w:tr>
        <w:trPr>
          <w:trHeight w:val="128"/>
        </w:trPr>
        <w:tc>
          <w:tcPr>
            <w:tcW w:w="4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Period</w:t>
            </w:r>
          </w:p>
        </w:tc>
        <w:tc>
          <w:tcPr>
            <w:tcW w:w="100" w:type="dxa"/>
            <w:vAlign w:val="bottom"/>
            <w:vMerge w:val="restart"/>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Shares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92"/>
              </w:rPr>
              <w:t>Price Paid</w:t>
            </w:r>
          </w:p>
        </w:tc>
        <w:tc>
          <w:tcPr>
            <w:tcW w:w="1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Announced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48"/>
              <w:spacing w:after="0" w:line="128" w:lineRule="exact"/>
              <w:rPr>
                <w:sz w:val="20"/>
                <w:szCs w:val="20"/>
                <w:color w:val="auto"/>
              </w:rPr>
            </w:pPr>
            <w:r>
              <w:rPr>
                <w:rFonts w:ascii="Arial" w:cs="Arial" w:eastAsia="Arial" w:hAnsi="Arial"/>
                <w:sz w:val="12"/>
                <w:szCs w:val="12"/>
                <w:b w:val="1"/>
                <w:bCs w:val="1"/>
                <w:color w:val="auto"/>
                <w:w w:val="90"/>
              </w:rPr>
              <w:t>Repurchase</w:t>
            </w:r>
          </w:p>
        </w:tc>
        <w:tc>
          <w:tcPr>
            <w:tcW w:w="0" w:type="dxa"/>
            <w:vAlign w:val="bottom"/>
          </w:tcPr>
          <w:p>
            <w:pPr>
              <w:spacing w:after="0"/>
              <w:rPr>
                <w:sz w:val="1"/>
                <w:szCs w:val="1"/>
                <w:color w:val="auto"/>
              </w:rPr>
            </w:pPr>
          </w:p>
        </w:tc>
      </w:tr>
      <w:tr>
        <w:trPr>
          <w:trHeight w:val="165"/>
        </w:trPr>
        <w:tc>
          <w:tcPr>
            <w:tcW w:w="4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Purchased</w:t>
            </w:r>
            <w:r>
              <w:rPr>
                <w:rFonts w:ascii="Arial" w:cs="Arial" w:eastAsia="Arial" w:hAnsi="Arial"/>
                <w:sz w:val="7"/>
                <w:szCs w:val="7"/>
                <w:b w:val="1"/>
                <w:bCs w:val="1"/>
                <w:color w:val="auto"/>
                <w:w w:val="91"/>
              </w:rPr>
              <w:t>(2)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w w:val="96"/>
              </w:rPr>
              <w:t>Per Share</w:t>
            </w:r>
          </w:p>
        </w:tc>
        <w:tc>
          <w:tcPr>
            <w:tcW w:w="12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Plans or Programs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28"/>
              <w:spacing w:after="0"/>
              <w:rPr>
                <w:sz w:val="20"/>
                <w:szCs w:val="20"/>
                <w:color w:val="auto"/>
              </w:rPr>
            </w:pPr>
            <w:r>
              <w:rPr>
                <w:rFonts w:ascii="Arial" w:cs="Arial" w:eastAsia="Arial" w:hAnsi="Arial"/>
                <w:sz w:val="12"/>
                <w:szCs w:val="12"/>
                <w:b w:val="1"/>
                <w:bCs w:val="1"/>
                <w:color w:val="auto"/>
                <w:w w:val="97"/>
              </w:rPr>
              <w:t>Program</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January 1 through January 31, 2019</w:t>
            </w:r>
          </w:p>
        </w:tc>
        <w:tc>
          <w:tcPr>
            <w:tcW w:w="1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4,789,673</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5"/>
                <w:szCs w:val="15"/>
                <w:color w:val="auto"/>
              </w:rPr>
              <w:t>February 1 through February 28, 2019</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5"/>
                <w:szCs w:val="15"/>
                <w:color w:val="auto"/>
              </w:rPr>
              <w:t>4,789,673</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March 1 through March 31, 2019</w:t>
            </w:r>
          </w:p>
        </w:tc>
        <w:tc>
          <w:tcPr>
            <w:tcW w:w="1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4,789,673</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5"/>
                <w:szCs w:val="15"/>
                <w:color w:val="auto"/>
              </w:rPr>
              <w:t>April 1 through April 30, 2019</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5"/>
                <w:szCs w:val="15"/>
                <w:color w:val="auto"/>
              </w:rPr>
              <w:t>4,789,673</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May 1 through May 31, 2019</w:t>
            </w:r>
          </w:p>
        </w:tc>
        <w:tc>
          <w:tcPr>
            <w:tcW w:w="1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90,696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6.38</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90,696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4,211,341</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5"/>
                <w:szCs w:val="15"/>
                <w:color w:val="auto"/>
              </w:rPr>
              <w:t>June 1 through June 30, 2019</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60,105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6.41</w:t>
            </w:r>
          </w:p>
        </w:tc>
        <w:tc>
          <w:tcPr>
            <w:tcW w:w="120" w:type="dxa"/>
            <w:vAlign w:val="bottom"/>
          </w:tcPr>
          <w:p>
            <w:pPr>
              <w:spacing w:after="0"/>
              <w:rPr>
                <w:sz w:val="18"/>
                <w:szCs w:val="18"/>
                <w:color w:val="auto"/>
              </w:rPr>
            </w:pP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25,105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5"/>
                <w:szCs w:val="15"/>
                <w:color w:val="auto"/>
              </w:rPr>
              <w:t>4,052,555</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July 1 through July 31, 2019</w:t>
            </w:r>
          </w:p>
        </w:tc>
        <w:tc>
          <w:tcPr>
            <w:tcW w:w="1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4,052,555</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5"/>
                <w:szCs w:val="15"/>
                <w:color w:val="auto"/>
              </w:rPr>
              <w:t>August 1 through August 31, 2019</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223,291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6.37</w:t>
            </w:r>
          </w:p>
        </w:tc>
        <w:tc>
          <w:tcPr>
            <w:tcW w:w="120" w:type="dxa"/>
            <w:vAlign w:val="bottom"/>
          </w:tcPr>
          <w:p>
            <w:pPr>
              <w:spacing w:after="0"/>
              <w:rPr>
                <w:sz w:val="18"/>
                <w:szCs w:val="18"/>
                <w:color w:val="auto"/>
              </w:rPr>
            </w:pP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223,291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5"/>
                <w:szCs w:val="15"/>
                <w:color w:val="auto"/>
              </w:rPr>
              <w:t>7,629,372</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September 1 through September 30, 2019</w:t>
            </w:r>
          </w:p>
        </w:tc>
        <w:tc>
          <w:tcPr>
            <w:tcW w:w="1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382,036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6.45</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382,036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5"/>
                <w:szCs w:val="15"/>
                <w:color w:val="auto"/>
              </w:rPr>
              <w:t>5,165,963</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5"/>
                <w:szCs w:val="15"/>
                <w:color w:val="auto"/>
              </w:rPr>
              <w:t>October 1 through October 31, 2019</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28,000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26"/>
              <w:spacing w:after="0"/>
              <w:rPr>
                <w:sz w:val="20"/>
                <w:szCs w:val="20"/>
                <w:color w:val="auto"/>
              </w:rPr>
            </w:pPr>
            <w:r>
              <w:rPr>
                <w:rFonts w:ascii="Arial" w:cs="Arial" w:eastAsia="Arial" w:hAnsi="Arial"/>
                <w:sz w:val="15"/>
                <w:szCs w:val="15"/>
                <w:color w:val="auto"/>
              </w:rPr>
              <w:t>6.02</w:t>
            </w:r>
          </w:p>
        </w:tc>
        <w:tc>
          <w:tcPr>
            <w:tcW w:w="120" w:type="dxa"/>
            <w:vAlign w:val="bottom"/>
          </w:tcPr>
          <w:p>
            <w:pPr>
              <w:spacing w:after="0"/>
              <w:rPr>
                <w:sz w:val="18"/>
                <w:szCs w:val="18"/>
                <w:color w:val="auto"/>
              </w:rPr>
            </w:pPr>
          </w:p>
        </w:tc>
        <w:tc>
          <w:tcPr>
            <w:tcW w:w="1680" w:type="dxa"/>
            <w:vAlign w:val="bottom"/>
          </w:tcPr>
          <w:p>
            <w:pPr>
              <w:jc w:val="right"/>
              <w:ind w:right="28"/>
              <w:spacing w:after="0"/>
              <w:rPr>
                <w:sz w:val="20"/>
                <w:szCs w:val="20"/>
                <w:color w:val="auto"/>
              </w:rPr>
            </w:pPr>
            <w:r>
              <w:rPr>
                <w:rFonts w:ascii="Arial" w:cs="Arial" w:eastAsia="Arial" w:hAnsi="Arial"/>
                <w:sz w:val="15"/>
                <w:szCs w:val="15"/>
                <w:color w:val="auto"/>
              </w:rPr>
              <w:t>28,000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5"/>
                <w:szCs w:val="15"/>
                <w:color w:val="auto"/>
              </w:rPr>
              <w:t>4,997,307</w:t>
            </w: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50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5"/>
                <w:szCs w:val="15"/>
                <w:color w:val="auto"/>
              </w:rPr>
              <w:t>November 1 through November 30, 2019</w:t>
            </w:r>
            <w:r>
              <w:rPr>
                <w:rFonts w:ascii="Arial" w:cs="Arial" w:eastAsia="Arial" w:hAnsi="Arial"/>
                <w:sz w:val="21"/>
                <w:szCs w:val="21"/>
                <w:color w:val="auto"/>
                <w:vertAlign w:val="superscript"/>
              </w:rPr>
              <w:t>(3)</w:t>
            </w:r>
          </w:p>
        </w:tc>
        <w:tc>
          <w:tcPr>
            <w:tcW w:w="16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1,449,275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6.90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1,449,275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4,997,307</w:t>
            </w:r>
          </w:p>
        </w:tc>
        <w:tc>
          <w:tcPr>
            <w:tcW w:w="0" w:type="dxa"/>
            <w:vAlign w:val="bottom"/>
          </w:tcPr>
          <w:p>
            <w:pPr>
              <w:spacing w:after="0"/>
              <w:rPr>
                <w:sz w:val="1"/>
                <w:szCs w:val="1"/>
                <w:color w:val="auto"/>
              </w:rPr>
            </w:pPr>
          </w:p>
        </w:tc>
      </w:tr>
      <w:tr>
        <w:trPr>
          <w:trHeight w:val="232"/>
        </w:trPr>
        <w:tc>
          <w:tcPr>
            <w:tcW w:w="4500" w:type="dxa"/>
            <w:vAlign w:val="bottom"/>
            <w:tcBorders>
              <w:bottom w:val="single" w:sz="8" w:color="CCEEFF"/>
            </w:tcBorders>
            <w:gridSpan w:val="2"/>
          </w:tcPr>
          <w:p>
            <w:pPr>
              <w:ind w:left="20"/>
              <w:spacing w:after="0" w:line="232" w:lineRule="exact"/>
              <w:rPr>
                <w:sz w:val="20"/>
                <w:szCs w:val="20"/>
                <w:color w:val="auto"/>
              </w:rPr>
            </w:pPr>
            <w:r>
              <w:rPr>
                <w:rFonts w:ascii="Arial" w:cs="Arial" w:eastAsia="Arial" w:hAnsi="Arial"/>
                <w:sz w:val="15"/>
                <w:szCs w:val="15"/>
                <w:color w:val="auto"/>
              </w:rPr>
              <w:t>December 1 through December 31, 2019</w:t>
            </w:r>
            <w:r>
              <w:rPr>
                <w:rFonts w:ascii="Arial" w:cs="Arial" w:eastAsia="Arial" w:hAnsi="Arial"/>
                <w:sz w:val="21"/>
                <w:szCs w:val="21"/>
                <w:color w:val="auto"/>
                <w:vertAlign w:val="superscript"/>
              </w:rPr>
              <w:t>(4)</w:t>
            </w:r>
          </w:p>
        </w:tc>
        <w:tc>
          <w:tcPr>
            <w:tcW w:w="16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5"/>
                <w:szCs w:val="15"/>
                <w:color w:val="auto"/>
              </w:rPr>
              <w:t>4,997,307</w:t>
            </w: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6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2,233,403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2,198,403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7"/>
        <w:spacing w:after="0"/>
        <w:rPr>
          <w:sz w:val="20"/>
          <w:szCs w:val="20"/>
          <w:color w:val="auto"/>
        </w:rPr>
      </w:pPr>
      <w:r>
        <w:rPr>
          <w:rFonts w:ascii="Arial" w:cs="Arial" w:eastAsia="Arial" w:hAnsi="Arial"/>
          <w:sz w:val="15"/>
          <w:szCs w:val="15"/>
          <w:color w:val="auto"/>
        </w:rPr>
        <w:t>During the year ended December 31, 2019, we repurchased 749,128 shares of our common stock pursuant to the Share Repurchase Program.</w:t>
      </w:r>
    </w:p>
    <w:p>
      <w:pPr>
        <w:spacing w:after="0" w:line="199" w:lineRule="exact"/>
        <w:rPr>
          <w:sz w:val="20"/>
          <w:szCs w:val="20"/>
          <w:color w:val="auto"/>
        </w:rPr>
      </w:pPr>
    </w:p>
    <w:p>
      <w:pPr>
        <w:jc w:val="both"/>
        <w:ind w:left="7" w:right="20" w:firstLine="302"/>
        <w:spacing w:after="0" w:line="263" w:lineRule="auto"/>
        <w:rPr>
          <w:sz w:val="20"/>
          <w:szCs w:val="20"/>
          <w:color w:val="auto"/>
        </w:rPr>
      </w:pPr>
      <w:r>
        <w:rPr>
          <w:rFonts w:ascii="Arial" w:cs="Arial" w:eastAsia="Arial" w:hAnsi="Arial"/>
          <w:sz w:val="15"/>
          <w:szCs w:val="15"/>
          <w:color w:val="auto"/>
        </w:rPr>
        <w:t>On October 21, 2019, we commenced a modified “Dutch Auction” tender offer that expired on November 20, 2019. Pursuant to this tender offer, we offered to purchase to up to $10.0 million of our common stock at a price per share of not less than $6.00 and not greater than $8.00 in $0.10 increments, using available cash. As a result of this tender offer, we repurchased 1,449,275 shares at a price of $6.90 per share on a pro rata basis, excluding fees and expenses related to the tender offer.</w:t>
      </w:r>
    </w:p>
    <w:p>
      <w:pPr>
        <w:spacing w:after="0" w:line="2" w:lineRule="exact"/>
        <w:rPr>
          <w:sz w:val="20"/>
          <w:szCs w:val="20"/>
          <w:color w:val="auto"/>
        </w:rPr>
      </w:pPr>
    </w:p>
    <w:p>
      <w:pPr>
        <w:ind w:left="7"/>
        <w:spacing w:after="0"/>
        <w:rPr>
          <w:sz w:val="20"/>
          <w:szCs w:val="20"/>
          <w:color w:val="auto"/>
        </w:rPr>
      </w:pPr>
      <w:r>
        <w:rPr>
          <w:rFonts w:ascii="Arial" w:cs="Arial" w:eastAsia="Arial" w:hAnsi="Arial"/>
          <w:sz w:val="15"/>
          <w:szCs w:val="15"/>
          <w:color w:val="auto"/>
        </w:rPr>
        <w:t>_______________________</w:t>
      </w:r>
    </w:p>
    <w:p>
      <w:pPr>
        <w:spacing w:after="0" w:line="23" w:lineRule="exact"/>
        <w:rPr>
          <w:sz w:val="20"/>
          <w:szCs w:val="20"/>
          <w:color w:val="auto"/>
        </w:rPr>
      </w:pPr>
    </w:p>
    <w:p>
      <w:pPr>
        <w:jc w:val="both"/>
        <w:ind w:left="427" w:hanging="427"/>
        <w:spacing w:after="0" w:line="261" w:lineRule="auto"/>
        <w:tabs>
          <w:tab w:leader="none" w:pos="427"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quarter and year ended December 31, 2019, the Company repurchased 28,000 and 749,128, respectively, of shares of the Company’s common stock pursuant to the Share Repurchase Program. As of December 31, 2019, the dollar value of shares that remained available to be purchased by the Company under the Share Repurchase Program was approximately $5.0 million.</w:t>
      </w:r>
    </w:p>
    <w:p>
      <w:pPr>
        <w:spacing w:after="0" w:line="3" w:lineRule="exact"/>
        <w:rPr>
          <w:rFonts w:ascii="Arial" w:cs="Arial" w:eastAsia="Arial" w:hAnsi="Arial"/>
          <w:sz w:val="13"/>
          <w:szCs w:val="13"/>
          <w:color w:val="auto"/>
        </w:rPr>
      </w:pPr>
    </w:p>
    <w:p>
      <w:pPr>
        <w:ind w:left="427" w:hanging="427"/>
        <w:spacing w:after="0"/>
        <w:tabs>
          <w:tab w:leader="none" w:pos="427"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purchases of our common stock made on the open market by or on behalf of any “affiliated purchaser,” as defined in Exchange Act Rule 10b-18(a)(3), of the Company.</w:t>
      </w:r>
    </w:p>
    <w:p>
      <w:pPr>
        <w:spacing w:after="0" w:line="18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67"/>
          </w:cols>
          <w:pgMar w:left="313" w:top="124" w:right="319" w:bottom="1440" w:gutter="0" w:footer="0" w:header="0"/>
        </w:sectPr>
      </w:pPr>
    </w:p>
    <w:bookmarkStart w:id="55" w:name="page56"/>
    <w:bookmarkEnd w:id="55"/>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4" w:lineRule="exact"/>
        <w:rPr>
          <w:sz w:val="20"/>
          <w:szCs w:val="20"/>
          <w:color w:val="auto"/>
        </w:rPr>
      </w:pPr>
    </w:p>
    <w:p>
      <w:pPr>
        <w:ind w:left="427" w:hanging="427"/>
        <w:spacing w:after="0"/>
        <w:tabs>
          <w:tab w:leader="none" w:pos="4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shares purchased by the Company pursuant to our tender offer that commenced on October 21, 2019 and expired on November 20, 2019.</w:t>
      </w:r>
    </w:p>
    <w:p>
      <w:pPr>
        <w:spacing w:after="0" w:line="13" w:lineRule="exact"/>
        <w:rPr>
          <w:rFonts w:ascii="Arial" w:cs="Arial" w:eastAsia="Arial" w:hAnsi="Arial"/>
          <w:sz w:val="14"/>
          <w:szCs w:val="14"/>
          <w:color w:val="auto"/>
        </w:rPr>
      </w:pPr>
    </w:p>
    <w:p>
      <w:pPr>
        <w:jc w:val="both"/>
        <w:ind w:left="427" w:hanging="427"/>
        <w:spacing w:after="0" w:line="244" w:lineRule="auto"/>
        <w:tabs>
          <w:tab w:leader="none" w:pos="4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This additional $5.0 million allocation is not included in the approximate dollar value of shares that may yet be purchased under the Share Repurchase Program as of December 31, 2019. Subsequent to year-end, through March 13, 2020, we repurchased an additional 237,612 shares under the Share Repurchase Program for an aggregate purchase price of $1,518,803. As of March 13, 2020, the dollar value of shares that may yet be purchased by us under the Share Repurchase Program is approximately $8.5 million.</w:t>
      </w: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47"/>
          </w:cols>
          <w:pgMar w:left="313" w:top="124" w:right="339" w:bottom="1440" w:gutter="0" w:footer="0" w:header="0"/>
        </w:sectPr>
      </w:pPr>
    </w:p>
    <w:bookmarkStart w:id="56" w:name="page57"/>
    <w:bookmarkEnd w:id="56"/>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7"/>
        <w:spacing w:after="0"/>
        <w:tabs>
          <w:tab w:leader="none" w:pos="807"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228" w:lineRule="exact"/>
        <w:rPr>
          <w:sz w:val="20"/>
          <w:szCs w:val="20"/>
          <w:color w:val="auto"/>
        </w:rPr>
      </w:pPr>
    </w:p>
    <w:p>
      <w:pPr>
        <w:jc w:val="both"/>
        <w:ind w:left="7" w:firstLine="302"/>
        <w:spacing w:after="0" w:line="274" w:lineRule="auto"/>
        <w:rPr>
          <w:sz w:val="20"/>
          <w:szCs w:val="20"/>
          <w:color w:val="auto"/>
        </w:rPr>
      </w:pPr>
      <w:r>
        <w:rPr>
          <w:rFonts w:ascii="Arial" w:cs="Arial" w:eastAsia="Arial" w:hAnsi="Arial"/>
          <w:sz w:val="15"/>
          <w:szCs w:val="15"/>
          <w:color w:val="auto"/>
        </w:rPr>
        <w:t>The following selected financial and other data for the fiscal years ended December 31, 2019, 2018, 2017, 2016, and 2015, respectively, have been derived from our audited financial statements. The data should be read in conjunction with “Management’s Discussion and Analysis of Financial Condition and Results of Operations” in Part II, Item 7 of this Form 10-K and consolidated financial statements and notes thereto contained in this report.</w:t>
      </w:r>
    </w:p>
    <w:p>
      <w:pPr>
        <w:spacing w:after="0" w:line="97"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224"/>
        </w:trPr>
        <w:tc>
          <w:tcPr>
            <w:tcW w:w="4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2015</w:t>
            </w:r>
          </w:p>
        </w:tc>
      </w:tr>
      <w:tr>
        <w:trPr>
          <w:trHeight w:val="20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Total Investment Income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1,495,724</w:t>
            </w:r>
          </w:p>
        </w:tc>
        <w:tc>
          <w:tcPr>
            <w:tcW w:w="12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1,617,836</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852,768</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736,283</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290,896</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Gross Operating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10,946,792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15,144,834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22,439,855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1,999,646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26,978,235</w:t>
            </w:r>
          </w:p>
        </w:tc>
      </w:tr>
      <w:tr>
        <w:trPr>
          <w:trHeight w:val="205"/>
        </w:trPr>
        <w:tc>
          <w:tcPr>
            <w:tcW w:w="4060" w:type="dxa"/>
            <w:vAlign w:val="bottom"/>
          </w:tcPr>
          <w:p>
            <w:pPr>
              <w:ind w:left="320"/>
              <w:spacing w:after="0"/>
              <w:rPr>
                <w:sz w:val="20"/>
                <w:szCs w:val="20"/>
                <w:color w:val="auto"/>
              </w:rPr>
            </w:pPr>
            <w:r>
              <w:rPr>
                <w:rFonts w:ascii="Arial" w:cs="Arial" w:eastAsia="Arial" w:hAnsi="Arial"/>
                <w:sz w:val="14"/>
                <w:szCs w:val="14"/>
                <w:color w:val="auto"/>
              </w:rPr>
              <w:t>Management fee waiver</w:t>
            </w:r>
          </w:p>
        </w:tc>
        <w:tc>
          <w:tcPr>
            <w:tcW w:w="3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(892,421)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(708,272)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Incentive fee waiver</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(5,000,000)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Net Operating Expenses</w:t>
            </w: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10,946,792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9,252,413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21,731,583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1,999,646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26,978,235</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4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Reversal of benefit from taxes on net investment loss</w:t>
            </w:r>
            <w:r>
              <w:rPr>
                <w:rFonts w:ascii="Arial" w:cs="Arial" w:eastAsia="Arial" w:hAnsi="Arial"/>
                <w:sz w:val="18"/>
                <w:szCs w:val="18"/>
                <w:color w:val="auto"/>
                <w:vertAlign w:val="superscript"/>
              </w:rPr>
              <w:t>(4)</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(21,969,370)</w:t>
            </w: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Net Investment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(9,451,068)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(7,634,577)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(20,878,815)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(1,263,363)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(48,656,709)</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Net realized gain/(loss) on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19,179,340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(7,433,619)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913,982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(2,634,471)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54,144,229</w:t>
            </w:r>
          </w:p>
        </w:tc>
      </w:tr>
      <w:tr>
        <w:trPr>
          <w:trHeight w:val="232"/>
        </w:trPr>
        <w:tc>
          <w:tcPr>
            <w:tcW w:w="4060" w:type="dxa"/>
            <w:vAlign w:val="bottom"/>
          </w:tcPr>
          <w:p>
            <w:pPr>
              <w:ind w:left="160"/>
              <w:spacing w:after="0"/>
              <w:rPr>
                <w:sz w:val="20"/>
                <w:szCs w:val="20"/>
                <w:color w:val="auto"/>
              </w:rPr>
            </w:pPr>
            <w:r>
              <w:rPr>
                <w:rFonts w:ascii="Arial" w:cs="Arial" w:eastAsia="Arial" w:hAnsi="Arial"/>
                <w:sz w:val="14"/>
                <w:szCs w:val="14"/>
                <w:color w:val="auto"/>
              </w:rPr>
              <w:t>Benefit from taxes on net realized loss on investments</w:t>
            </w:r>
            <w:r>
              <w:rPr>
                <w:rFonts w:ascii="Arial" w:cs="Arial" w:eastAsia="Arial" w:hAnsi="Arial"/>
                <w:sz w:val="18"/>
                <w:szCs w:val="18"/>
                <w:color w:val="auto"/>
                <w:vertAlign w:val="superscript"/>
              </w:rPr>
              <w:t>(4)</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342,802</w:t>
            </w:r>
          </w:p>
        </w:tc>
      </w:tr>
      <w:tr>
        <w:trPr>
          <w:trHeight w:val="212"/>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Realized loss on extinguishment of debt</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(397,846)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89"/>
        </w:trPr>
        <w:tc>
          <w:tcPr>
            <w:tcW w:w="4060" w:type="dxa"/>
            <w:vAlign w:val="bottom"/>
          </w:tcPr>
          <w:p>
            <w:pPr>
              <w:ind w:left="160"/>
              <w:spacing w:after="0"/>
              <w:rPr>
                <w:sz w:val="20"/>
                <w:szCs w:val="20"/>
                <w:color w:val="auto"/>
              </w:rPr>
            </w:pPr>
            <w:r>
              <w:rPr>
                <w:rFonts w:ascii="Arial" w:cs="Arial" w:eastAsia="Arial" w:hAnsi="Arial"/>
                <w:sz w:val="14"/>
                <w:szCs w:val="14"/>
                <w:color w:val="auto"/>
              </w:rPr>
              <w:t>Net change in unrealized appreciation/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8"/>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of investments</w:t>
            </w:r>
          </w:p>
        </w:tc>
        <w:tc>
          <w:tcPr>
            <w:tcW w:w="320" w:type="dxa"/>
            <w:vAlign w:val="bottom"/>
          </w:tcPr>
          <w:p>
            <w:pPr>
              <w:spacing w:after="0"/>
              <w:rPr>
                <w:sz w:val="15"/>
                <w:szCs w:val="15"/>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13,339,859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9,641,050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34,775,696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(73,213,845)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(13,422,245)</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8"/>
        </w:trPr>
        <w:tc>
          <w:tcPr>
            <w:tcW w:w="4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Benefit from taxes 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depreciation of investments</w:t>
            </w:r>
            <w:r>
              <w:rPr>
                <w:rFonts w:ascii="Arial" w:cs="Arial" w:eastAsia="Arial" w:hAnsi="Arial"/>
                <w:sz w:val="18"/>
                <w:szCs w:val="18"/>
                <w:color w:val="auto"/>
                <w:vertAlign w:val="superscript"/>
              </w:rPr>
              <w:t>(4)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885,566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6,716,735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2,757,070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2,116,784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16,058,080</w:t>
            </w:r>
          </w:p>
        </w:tc>
      </w:tr>
      <w:tr>
        <w:trPr>
          <w:trHeight w:val="205"/>
        </w:trPr>
        <w:tc>
          <w:tcPr>
            <w:tcW w:w="4060" w:type="dxa"/>
            <w:vAlign w:val="bottom"/>
          </w:tcPr>
          <w:p>
            <w:pPr>
              <w:ind w:left="20"/>
              <w:spacing w:after="0"/>
              <w:rPr>
                <w:sz w:val="20"/>
                <w:szCs w:val="20"/>
                <w:color w:val="auto"/>
              </w:rPr>
            </w:pPr>
            <w:r>
              <w:rPr>
                <w:rFonts w:ascii="Arial" w:cs="Arial" w:eastAsia="Arial" w:hAnsi="Arial"/>
                <w:sz w:val="14"/>
                <w:szCs w:val="14"/>
                <w:color w:val="auto"/>
              </w:rPr>
              <w:t>Net increase/(decrease) in net assets resulting from operations</w:t>
            </w: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23,953,697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891,743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17,567,933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(74,994,895)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8,466,157</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Per Common Share Data</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05"/>
        </w:trPr>
        <w:tc>
          <w:tcPr>
            <w:tcW w:w="4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Weighted-Average Common Shares: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19,328,414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20,617,890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21,924,490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22,181,003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19,327,938</w:t>
            </w: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23,069,622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20,617,890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21,924,490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22,181,003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19,327,938</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w w:val="90"/>
              </w:rPr>
              <w:t>Net increase/(decrease) in net assets resulting from operations per</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average share:</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0.04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0.44</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0.44</w:t>
            </w:r>
          </w:p>
        </w:tc>
      </w:tr>
      <w:tr>
        <w:trPr>
          <w:trHeight w:val="232"/>
        </w:trPr>
        <w:tc>
          <w:tcPr>
            <w:tcW w:w="4060" w:type="dxa"/>
            <w:vAlign w:val="bottom"/>
          </w:tcPr>
          <w:p>
            <w:pPr>
              <w:ind w:left="20"/>
              <w:spacing w:after="0"/>
              <w:rPr>
                <w:sz w:val="20"/>
                <w:szCs w:val="20"/>
                <w:color w:val="auto"/>
              </w:rPr>
            </w:pPr>
            <w:r>
              <w:rPr>
                <w:rFonts w:ascii="Arial" w:cs="Arial" w:eastAsia="Arial" w:hAnsi="Arial"/>
                <w:sz w:val="14"/>
                <w:szCs w:val="14"/>
                <w:color w:val="auto"/>
              </w:rPr>
              <w:t>Net asset value per share</w:t>
            </w:r>
            <w:r>
              <w:rPr>
                <w:rFonts w:ascii="Arial" w:cs="Arial" w:eastAsia="Arial" w:hAnsi="Arial"/>
                <w:sz w:val="18"/>
                <w:szCs w:val="18"/>
                <w:color w:val="auto"/>
                <w:vertAlign w:val="superscript"/>
              </w:rPr>
              <w:t>(1)</w:t>
            </w: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12.08</w:t>
            </w:r>
          </w:p>
        </w:tc>
      </w:tr>
      <w:tr>
        <w:trPr>
          <w:trHeight w:val="21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price at year-end</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9.37</w:t>
            </w:r>
          </w:p>
        </w:tc>
      </w:tr>
      <w:tr>
        <w:trPr>
          <w:trHeight w:val="205"/>
        </w:trPr>
        <w:tc>
          <w:tcPr>
            <w:tcW w:w="4060" w:type="dxa"/>
            <w:vAlign w:val="bottom"/>
          </w:tcPr>
          <w:p>
            <w:pPr>
              <w:ind w:left="20"/>
              <w:spacing w:after="0"/>
              <w:rPr>
                <w:sz w:val="20"/>
                <w:szCs w:val="20"/>
                <w:color w:val="auto"/>
              </w:rPr>
            </w:pPr>
            <w:r>
              <w:rPr>
                <w:rFonts w:ascii="Arial" w:cs="Arial" w:eastAsia="Arial" w:hAnsi="Arial"/>
                <w:sz w:val="14"/>
                <w:szCs w:val="14"/>
                <w:color w:val="auto"/>
              </w:rPr>
              <w:t>Distributions declared</w:t>
            </w: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2.76</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Outstanding at Year-End</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17,564,244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19,762,647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21,246,345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22,181,003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22,181,003</w:t>
            </w:r>
          </w:p>
        </w:tc>
      </w:tr>
      <w:tr>
        <w:trPr>
          <w:trHeight w:val="232"/>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r>
              <w:rPr>
                <w:rFonts w:ascii="Arial" w:cs="Arial" w:eastAsia="Arial" w:hAnsi="Arial"/>
                <w:sz w:val="18"/>
                <w:szCs w:val="18"/>
                <w:b w:val="1"/>
                <w:bCs w:val="1"/>
                <w:color w:val="auto"/>
                <w:vertAlign w:val="superscript"/>
              </w:rPr>
              <w:t>(3)</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2"/>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Assets</w:t>
            </w:r>
            <w:r>
              <w:rPr>
                <w:rFonts w:ascii="Arial" w:cs="Arial" w:eastAsia="Arial" w:hAnsi="Arial"/>
                <w:sz w:val="18"/>
                <w:szCs w:val="18"/>
                <w:color w:val="auto"/>
                <w:vertAlign w:val="superscript"/>
              </w:rPr>
              <w:t>(2)</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288,564,089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330,219,554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381,682,536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300,964,426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397,843,071</w:t>
            </w: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5.25% Convertible Senior Notes due 2018</w:t>
            </w:r>
          </w:p>
        </w:tc>
        <w:tc>
          <w:tcPr>
            <w:tcW w:w="3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68,382,549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67,512,798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66,649,047</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4.75% Convertible Senior Notes due 2023</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38,803,635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38,434,511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406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88,646,800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134,841,395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176,919,670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108,835,616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129,832,126</w:t>
            </w:r>
          </w:p>
        </w:tc>
      </w:tr>
      <w:tr>
        <w:trPr>
          <w:trHeight w:val="28"/>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199,917,289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195,378,159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204,762,866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192,128,810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268,010,945</w:t>
            </w:r>
          </w:p>
        </w:tc>
      </w:tr>
      <w:tr>
        <w:trPr>
          <w:trHeight w:val="181"/>
        </w:trPr>
        <w:tc>
          <w:tcPr>
            <w:tcW w:w="4060" w:type="dxa"/>
            <w:vAlign w:val="bottom"/>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77" w:lineRule="exact"/>
        <w:rPr>
          <w:sz w:val="20"/>
          <w:szCs w:val="20"/>
          <w:color w:val="auto"/>
        </w:rPr>
      </w:pPr>
    </w:p>
    <w:p>
      <w:pPr>
        <w:ind w:left="287" w:hanging="287"/>
        <w:spacing w:after="0"/>
        <w:tabs>
          <w:tab w:leader="none" w:pos="2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asset value per share is based on basic shares outstanding at the end of the period.</w:t>
      </w:r>
    </w:p>
    <w:p>
      <w:pPr>
        <w:spacing w:after="0" w:line="13" w:lineRule="exact"/>
        <w:rPr>
          <w:rFonts w:ascii="Arial" w:cs="Arial" w:eastAsia="Arial" w:hAnsi="Arial"/>
          <w:sz w:val="14"/>
          <w:szCs w:val="14"/>
          <w:color w:val="auto"/>
        </w:rPr>
      </w:pPr>
    </w:p>
    <w:p>
      <w:pPr>
        <w:jc w:val="both"/>
        <w:ind w:left="287" w:hanging="287"/>
        <w:spacing w:after="0" w:line="244" w:lineRule="auto"/>
        <w:tabs>
          <w:tab w:leader="none" w:pos="2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year ended December 31, 2015, total assets decreased due to a declared dividend, which was paid on December 31, 2015. During the year ended December 31, 2016, total assets and net assets decreased due to a change in unrealized depreciation of investments and net realized losses on investments. During the year ended December 31, 2017, total assets and net assets increased due to a change in unrealized appreciation of investments and net realized gains on investments. During the year ended December 31, 2018, total assets and net assets decreased due to a decrease in net unrealized appreciation of investments and net realized losses on investments. During the year ended December 31, 2019, total assets decreased due to a lower investment in U.S. Treasury bill and net assets increased due to an increase in net</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67"/>
          </w:cols>
          <w:pgMar w:left="313" w:top="124" w:right="319" w:bottom="1440" w:gutter="0" w:footer="0" w:header="0"/>
        </w:sectPr>
      </w:pPr>
    </w:p>
    <w:bookmarkStart w:id="57" w:name="page58"/>
    <w:bookmarkEnd w:id="57"/>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46" w:lineRule="exact"/>
        <w:rPr>
          <w:sz w:val="20"/>
          <w:szCs w:val="20"/>
          <w:color w:val="auto"/>
        </w:rPr>
      </w:pPr>
    </w:p>
    <w:p>
      <w:pPr>
        <w:ind w:left="287"/>
        <w:spacing w:after="0" w:line="271" w:lineRule="auto"/>
        <w:rPr>
          <w:sz w:val="20"/>
          <w:szCs w:val="20"/>
          <w:color w:val="auto"/>
        </w:rPr>
      </w:pPr>
      <w:r>
        <w:rPr>
          <w:rFonts w:ascii="Arial" w:cs="Arial" w:eastAsia="Arial" w:hAnsi="Arial"/>
          <w:sz w:val="14"/>
          <w:szCs w:val="14"/>
          <w:color w:val="auto"/>
        </w:rPr>
        <w:t>unrealized appreciation of investments and net realized gains on investments. For further discussion of factors that affected our total assets and net assets refer to “Management’s Discussion and Analysis of Financial Condition and Results of Operations—Results of Operations” in Part II, Item 7 of this Form 10-K.</w:t>
      </w:r>
    </w:p>
    <w:p>
      <w:pPr>
        <w:jc w:val="both"/>
        <w:ind w:left="287" w:right="20" w:hanging="287"/>
        <w:spacing w:after="0" w:line="287" w:lineRule="auto"/>
        <w:tabs>
          <w:tab w:leader="none" w:pos="287"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Deferred debt issuance costs of $1,947,572 as of December 31, 2015 related to the Company’s issuance of the 5.25% Convertible Senior Notes due 2018 were previously classified as “Deferred financing costs” as of December 31, 2015. In accordance with ASU 2015-03, this balance has been retrospectively reclassified as a direct deduction from the 5.25% Convertible Senior Notes due 2018. Refer to “Note 10—Debt Capital Activities” of the consolidated financial statements as of December 31, 2019 included in this annual report on Form 10-K for further detail.</w:t>
      </w:r>
    </w:p>
    <w:p>
      <w:pPr>
        <w:spacing w:after="0" w:line="1" w:lineRule="exact"/>
        <w:rPr>
          <w:sz w:val="20"/>
          <w:szCs w:val="20"/>
          <w:color w:val="auto"/>
        </w:rPr>
      </w:pPr>
    </w:p>
    <w:p>
      <w:pPr>
        <w:jc w:val="both"/>
        <w:ind w:left="447" w:hanging="440"/>
        <w:spacing w:after="0" w:line="243" w:lineRule="auto"/>
        <w:rPr>
          <w:sz w:val="20"/>
          <w:szCs w:val="20"/>
          <w:color w:val="auto"/>
        </w:rPr>
      </w:pPr>
      <w:r>
        <w:rPr>
          <w:rFonts w:ascii="Arial" w:cs="Arial" w:eastAsia="Arial" w:hAnsi="Arial"/>
          <w:sz w:val="14"/>
          <w:szCs w:val="14"/>
          <w:color w:val="auto"/>
        </w:rPr>
        <w:t>(4)Due to our change in tax status to a RIC from a C Corporation, the associated accrued benefits from and provisions for taxes from previous years were reversed for the year ended December 31, 2015. During the year ended December 31, 2017, we recognized a net benefit from taxes on unrealized depreciation of $2,757,070 despite recording a net change in unrealized appreciation of approximately $34.8 million. The net tax benefit from taxes on unrealized depreciation for the year ended December 31, 2017 was the result of an approximately $4.1 million decrease in built-in gains tax liability due to the recently passed tax legislation that reduced the U.S. corporate federal income tax rate from 35% to 21%, partially offset by a $1.3 million increase in the net deferred tax liability generated by the Taxable Subsidiaries. During the year ended December 31, 2018, in anticipation of the end of the RIC built-in gain measurement period, we reversed the accrual of related potential tax liabilities of approximately $6.1 million. Refer to “Note 9 — Income Taxes” to our consolidated financial statements as of December 31, 2019 included in this annual report on Form 10-K for further detail.</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23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Forward-Looking statements</w:t>
      </w:r>
    </w:p>
    <w:p>
      <w:pPr>
        <w:spacing w:after="0" w:line="205" w:lineRule="exact"/>
        <w:rPr>
          <w:sz w:val="20"/>
          <w:szCs w:val="20"/>
          <w:color w:val="auto"/>
        </w:rPr>
      </w:pPr>
    </w:p>
    <w:p>
      <w:pPr>
        <w:jc w:val="both"/>
        <w:ind w:left="7" w:right="20" w:firstLine="302"/>
        <w:spacing w:after="0" w:line="269" w:lineRule="auto"/>
        <w:rPr>
          <w:sz w:val="20"/>
          <w:szCs w:val="20"/>
          <w:color w:val="auto"/>
        </w:rPr>
      </w:pPr>
      <w:r>
        <w:rPr>
          <w:rFonts w:ascii="Arial" w:cs="Arial" w:eastAsia="Arial" w:hAnsi="Arial"/>
          <w:sz w:val="15"/>
          <w:szCs w:val="15"/>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56" w:lineRule="exact"/>
        <w:rPr>
          <w:sz w:val="20"/>
          <w:szCs w:val="20"/>
          <w:color w:val="auto"/>
        </w:rPr>
      </w:pPr>
    </w:p>
    <w:p>
      <w:pPr>
        <w:ind w:left="307"/>
        <w:spacing w:after="0"/>
        <w:rPr>
          <w:sz w:val="20"/>
          <w:szCs w:val="20"/>
          <w:color w:val="auto"/>
        </w:rPr>
      </w:pPr>
      <w:r>
        <w:rPr>
          <w:rFonts w:ascii="Arial" w:cs="Arial" w:eastAsia="Arial" w:hAnsi="Arial"/>
          <w:sz w:val="15"/>
          <w:szCs w:val="15"/>
          <w:color w:val="auto"/>
        </w:rPr>
        <w:t>The forward-looking statements contained in this annual report on Form 10-K involve risks and uncertainties, including, without limitation, statements as to:</w:t>
      </w:r>
    </w:p>
    <w:p>
      <w:pPr>
        <w:spacing w:after="0" w:line="199" w:lineRule="exact"/>
        <w:rPr>
          <w:sz w:val="20"/>
          <w:szCs w:val="20"/>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future operating results;</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business prospects and the prospects of our portfolio companies;</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impact of investments that we expect to make;</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contractual arrangements and relationships with third parties;</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dependence of our future success on the general economy and its impact on the industries in which we invest;</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ability of our portfolio companies to achieve their objectives;</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expected financings and investments;</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adequacy of our cash resources and working capital; and</w:t>
      </w:r>
    </w:p>
    <w:p>
      <w:pPr>
        <w:spacing w:after="0" w:line="233" w:lineRule="exact"/>
        <w:rPr>
          <w:rFonts w:ascii="Arial" w:cs="Arial" w:eastAsia="Arial" w:hAnsi="Arial"/>
          <w:sz w:val="15"/>
          <w:szCs w:val="15"/>
          <w:color w:val="auto"/>
        </w:rPr>
      </w:pPr>
    </w:p>
    <w:p>
      <w:pPr>
        <w:ind w:left="567" w:hanging="288"/>
        <w:spacing w:after="0"/>
        <w:tabs>
          <w:tab w:leader="none" w:pos="5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timing of cash flows, if any, from the operations of our portfolio companies.</w:t>
      </w:r>
    </w:p>
    <w:p>
      <w:pPr>
        <w:spacing w:after="0" w:line="234" w:lineRule="exact"/>
        <w:rPr>
          <w:sz w:val="20"/>
          <w:szCs w:val="20"/>
          <w:color w:val="auto"/>
        </w:rPr>
      </w:pPr>
    </w:p>
    <w:p>
      <w:pPr>
        <w:ind w:left="7" w:right="20" w:firstLine="302"/>
        <w:spacing w:after="0" w:line="291" w:lineRule="auto"/>
        <w:rPr>
          <w:sz w:val="20"/>
          <w:szCs w:val="20"/>
          <w:color w:val="auto"/>
        </w:rPr>
      </w:pPr>
      <w:r>
        <w:rPr>
          <w:rFonts w:ascii="Arial" w:cs="Arial" w:eastAsia="Arial" w:hAnsi="Arial"/>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9" w:lineRule="exact"/>
        <w:rPr>
          <w:sz w:val="20"/>
          <w:szCs w:val="20"/>
          <w:color w:val="auto"/>
        </w:rPr>
      </w:pPr>
    </w:p>
    <w:p>
      <w:pPr>
        <w:ind w:left="567" w:hanging="288"/>
        <w:spacing w:after="0" w:line="291" w:lineRule="auto"/>
        <w:tabs>
          <w:tab w:leader="none" w:pos="5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 economic downturn could impair our portfolio companies’ ability to continue to operate, which could lead to the loss of some or all of our investments in such portfolio companies;</w:t>
      </w:r>
    </w:p>
    <w:p>
      <w:pPr>
        <w:spacing w:after="0" w:line="173" w:lineRule="exact"/>
        <w:rPr>
          <w:rFonts w:ascii="Arial" w:cs="Arial" w:eastAsia="Arial" w:hAnsi="Arial"/>
          <w:sz w:val="15"/>
          <w:szCs w:val="15"/>
          <w:color w:val="auto"/>
        </w:rPr>
      </w:pPr>
    </w:p>
    <w:p>
      <w:pPr>
        <w:ind w:left="567" w:hanging="288"/>
        <w:spacing w:after="0" w:line="291" w:lineRule="auto"/>
        <w:tabs>
          <w:tab w:leader="none" w:pos="5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 economic downturn could disproportionately impact the market sectors in which a significant portion of our portfolio is concentrated, causing us to suffer losses in our portfolio;</w:t>
      </w:r>
    </w:p>
    <w:p>
      <w:pPr>
        <w:spacing w:after="0" w:line="13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267"/>
          </w:cols>
          <w:pgMar w:left="313" w:top="124" w:right="319" w:bottom="1440" w:gutter="0" w:footer="0" w:header="0"/>
        </w:sectPr>
      </w:pPr>
    </w:p>
    <w:bookmarkStart w:id="58" w:name="page59"/>
    <w:bookmarkEnd w:id="5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52" w:lineRule="exact"/>
        <w:rPr>
          <w:sz w:val="20"/>
          <w:szCs w:val="20"/>
          <w:color w:val="auto"/>
        </w:rPr>
      </w:pPr>
    </w:p>
    <w:p>
      <w:pPr>
        <w:ind w:left="560" w:hanging="288"/>
        <w:spacing w:after="0"/>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contraction of available credit and/or an inability to access the equity markets could impair our investment activities;</w:t>
      </w:r>
    </w:p>
    <w:p>
      <w:pPr>
        <w:spacing w:after="0" w:line="233" w:lineRule="exact"/>
        <w:rPr>
          <w:rFonts w:ascii="Arial" w:cs="Arial" w:eastAsia="Arial" w:hAnsi="Arial"/>
          <w:sz w:val="15"/>
          <w:szCs w:val="15"/>
          <w:color w:val="auto"/>
        </w:rPr>
      </w:pPr>
    </w:p>
    <w:p>
      <w:pPr>
        <w:ind w:left="560" w:hanging="288"/>
        <w:spacing w:after="0"/>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interest rate volatility could adversely affect our results, particularly because we use leverage as part of our investment strategy; and</w:t>
      </w:r>
    </w:p>
    <w:p>
      <w:pPr>
        <w:spacing w:after="0" w:line="233" w:lineRule="exact"/>
        <w:rPr>
          <w:rFonts w:ascii="Arial" w:cs="Arial" w:eastAsia="Arial" w:hAnsi="Arial"/>
          <w:sz w:val="15"/>
          <w:szCs w:val="15"/>
          <w:color w:val="auto"/>
        </w:rPr>
      </w:pPr>
    </w:p>
    <w:p>
      <w:pPr>
        <w:ind w:left="560" w:hanging="288"/>
        <w:spacing w:after="0" w:line="291" w:lineRule="auto"/>
        <w:tabs>
          <w:tab w:leader="none" w:pos="5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risks, uncertainties and other factors we identify in the sections entitled “Risk Factors” in our quarterly reports on Form 10-Q, our annual report on Form 10-K, and in our other filings with the SEC.</w:t>
      </w:r>
    </w:p>
    <w:p>
      <w:pPr>
        <w:spacing w:after="0" w:line="174"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05"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2"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w:t>
      </w:r>
    </w:p>
    <w:p>
      <w:pPr>
        <w:spacing w:after="0" w:line="156"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4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5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seek to create a low-turnover portfolio that includes investments in companies representing a broad range of investment themes.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260"/>
          </w:cols>
          <w:pgMar w:left="320" w:top="124" w:right="319" w:bottom="1440" w:gutter="0" w:footer="0" w:header="0"/>
        </w:sectPr>
      </w:pPr>
    </w:p>
    <w:bookmarkStart w:id="59" w:name="page60"/>
    <w:bookmarkEnd w:id="5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us to focus our investments in companies and industries that are more likely to result in beneficial returns to our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Internalization of Operating Structure</w:t>
      </w:r>
    </w:p>
    <w:p>
      <w:pPr>
        <w:spacing w:after="0" w:line="199"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5"/>
          <w:szCs w:val="15"/>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w:t>
      </w:r>
    </w:p>
    <w:p>
      <w:pPr>
        <w:spacing w:after="0" w:line="15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 In addition, Michael T. Moe resigned from our Board of Directors as of the Effective Date in connection with our Internalization, and as of such date, we entered into a Consulting Agreement with Mr. Moe (the former Chairman of our Board of Directors and the Chief Executive Officer and Chief Investment Officer of GSV Asset Management), pursuant to which Mr. Moe provides certain services to us in connection with our transition to an internally managed operating structure. We also entered into an Amended and Restated Trademark License Agreement (the "Amended and Restated Trademark License Agreement") with GSV Asset Management to permit us to use the trade name “GSV”, and other state or unregistered “GSV” marks, including the trading symbol “GSVC.” Effective as of July 30, 2019, we changed our name to Sutter Rock Capital Corp. and effective as of August 1, 2019, we changed our trading symbol to “SSSS”. See “- Rebranding to Sutter Rock Capital Corp.”</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Except as otherwise disclosed herein, this Form 10-K discusses our business and operations as an internally-managed BDC during the period covered by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Rebranding to Sutter Rock Capital Corp.</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Articles of Amendment</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On and effective July 30, 2019, the Company changed its name to “Sutter Rock Capital Corp.” from “GSV Capital Corp.” (the “Name Change”) by filing Articles of Amendment (the “Articles of Amendment”) to its Articles of Amendment and Restatement, as amended (the “Charter”), with the Department of Assessments and Taxation of the State of Maryland to effectuate the Name Change. In accordance with the Maryland General Corporation Law and the Charter, the Company’s Board of Directors approved the Name Change and the Articles of Amendment. Stockholder approval was not required.</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Trading Symbol</w:t>
      </w:r>
    </w:p>
    <w:p>
      <w:pPr>
        <w:spacing w:after="0" w:line="19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In connection with the Name Change, the trading symbol for the Company’s shares of common stock on the Nasdaq Capital Market changed to “SSSS” from “GSVC” effective August 1, 2019.</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Amended and Restated Bylaws</w:t>
      </w:r>
    </w:p>
    <w:p>
      <w:pPr>
        <w:spacing w:after="0" w:line="199"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In connection with the Name Change, the Company’s Board of Directors also approved an amendment and restatement of the Company’s Bylaws (the “Amended and Restated Bylaws”) to reflect the Name Change. The Amended and Restated Bylaws became effective on July 30, 2019 and did not require stockholder approval.</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more information regarding the foregoing events, please refer to the Company’s current report on Form 8-K filed with the SEC on August 1,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60"/>
          </w:cols>
          <w:pgMar w:left="320" w:top="124" w:right="319" w:bottom="1440" w:gutter="0" w:footer="0" w:header="0"/>
        </w:sectPr>
      </w:pPr>
    </w:p>
    <w:bookmarkStart w:id="60" w:name="page61"/>
    <w:bookmarkEnd w:id="6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Board of Directors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Election of New Director</w:t>
      </w:r>
    </w:p>
    <w:p>
      <w:pPr>
        <w:spacing w:after="0" w:line="199"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On and effective July 17, 2019, the Company’s Board of Directors elected Lisa Westley as a director of the Company. Ms. Westley is not an “interested person” (as defined in Section 2(a)(19) of the 1940 Act) of the Company and will serve as one of the Company’s independent directors. She will serve as a director for a term expiring in 2020 and until her successor is duly elected and qualified.</w:t>
      </w:r>
    </w:p>
    <w:p>
      <w:pPr>
        <w:spacing w:after="0" w:line="152"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Ms. Westley will be entitled to the applicable annual fee and other compensation pursuant to the Company’s director compensation arrangements, under terms consistent with those previously disclosed by the Company. There are no arrangements or understandings between Ms. Westley and any other persons pursuant to which Ms. Westley was elected as a director of the Company.</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Increased Number of Directors</w:t>
      </w:r>
    </w:p>
    <w:p>
      <w:pPr>
        <w:spacing w:after="0" w:line="199" w:lineRule="exact"/>
        <w:rPr>
          <w:sz w:val="20"/>
          <w:szCs w:val="20"/>
          <w:color w:val="auto"/>
        </w:rPr>
      </w:pPr>
    </w:p>
    <w:p>
      <w:pPr>
        <w:jc w:val="both"/>
        <w:ind w:right="20" w:firstLine="279"/>
        <w:spacing w:after="0" w:line="294" w:lineRule="auto"/>
        <w:rPr>
          <w:sz w:val="20"/>
          <w:szCs w:val="20"/>
          <w:color w:val="auto"/>
        </w:rPr>
      </w:pPr>
      <w:r>
        <w:rPr>
          <w:rFonts w:ascii="Arial" w:cs="Arial" w:eastAsia="Arial" w:hAnsi="Arial"/>
          <w:sz w:val="14"/>
          <w:szCs w:val="14"/>
          <w:color w:val="auto"/>
        </w:rPr>
        <w:t>In connection with Ms. Westley’s election as a director, the Board of Directors increased the number of directors that constitutes the full Board of Directors to five directors from four directors, effective July 17, 2019, in accordance with the Company’s bylaws. The Company had previously reduced the number of directors that constitutes the full Board of Directors to four directors from five directors, effective July 1, 2019, in connection with David S. Pottruck’s departure from the Board of Directors. For more information regarding Mr. Pottruck’s departure and such reduction in the number of directors, please refer to the Company’s current report on Form 8-K filed with the SEC on June 10, 2019.</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Changes to Committee Composition</w:t>
      </w:r>
    </w:p>
    <w:p>
      <w:pPr>
        <w:spacing w:after="0" w:line="199"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On and effective July 31, 2019, the Company’s Board of Directors appointed Ms. Westley as Chair of the Board of Director’s Compensation Committee and as a member of the Audit Committee, the Nominating and Corporate Governance Committee, and the Valuation Committee. In connection with Ms. Westley’s appointment as Chair of the Compensation Committee, Ronald M. Lott, the former Chair of the Compensation Committee, was appointed as Chair of the Nominating and Corporate Governance Committee, effective July 31, 2019. As a result of the foregoing, the Board of Director’s committees are composed of the following individuals, each of whom is considered independent under the rules of the Nasdaq Capital Market and is not an “interested person” of the Company as that term is defined in Section 2(a)(19) of the 1940 Act.</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Audit Committee is comprised of Marc Mazur, Leonard A. Potter, Ronald M. Lott, and Lisa Westley. Mr. Mazur serves as Chair of the Audit Committee.</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The Nominating and Corporate Governance Committee is comprised of Marc Mazur, Leonard A. Potter, Ronald M. Lott, and Lisa Westley. Mr. Lott was appointed Chair of the Nominating and Corporate Governance Committee on July 31, 2019.</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Valuation Committee is comprised of Marc Mazur, Leonard A. Potter, Ronald M. Lott, and Lisa Westley. Mr. Potter serves as Chair of the Valuation Committee.</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The Compensation Committee is comprised of Marc Mazur, Leonard A. Potter, Ronald M. Lott, and Lisa Westley. Ms. Westley was appointed as Chair of the Compensation Committee on July 31, 2019.</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Changes to Compensation</w:t>
      </w:r>
    </w:p>
    <w:p>
      <w:pPr>
        <w:spacing w:after="0" w:line="199"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On and effective July 31, 2019, the Company’s Board of Directors approved the following changes to director compensation: (i) the annual fee paid to independent directors increased to $100,000 from $80,000, (ii) the annual fee paid to the Chair of the Audit Committee increased to $15,000 from $10,000, and (iii) the annual fee paid to the chairs of the other committees of the Board of Directors increased to $10,000 from $5,000.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260"/>
          </w:cols>
          <w:pgMar w:left="320" w:top="124" w:right="319" w:bottom="1440" w:gutter="0" w:footer="0" w:header="0"/>
        </w:sectPr>
      </w:pPr>
    </w:p>
    <w:bookmarkStart w:id="61" w:name="page62"/>
    <w:bookmarkEnd w:id="61"/>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Portfolio and Investment Activity - 2019</w:t>
      </w:r>
    </w:p>
    <w:p>
      <w:pPr>
        <w:spacing w:after="0" w:line="205" w:lineRule="exact"/>
        <w:rPr>
          <w:sz w:val="20"/>
          <w:szCs w:val="20"/>
          <w:color w:val="auto"/>
        </w:rPr>
      </w:pPr>
    </w:p>
    <w:p>
      <w:pPr>
        <w:jc w:val="both"/>
        <w:ind w:left="7" w:firstLine="279"/>
        <w:spacing w:after="0" w:line="274" w:lineRule="auto"/>
        <w:rPr>
          <w:sz w:val="20"/>
          <w:szCs w:val="20"/>
          <w:color w:val="auto"/>
        </w:rPr>
      </w:pPr>
      <w:r>
        <w:rPr>
          <w:rFonts w:ascii="Arial" w:cs="Arial" w:eastAsia="Arial" w:hAnsi="Arial"/>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2019, of all of our portfolio investments, excluding U.S. Treasury bills, was $191,585,578.</w:t>
      </w:r>
    </w:p>
    <w:p>
      <w:pPr>
        <w:spacing w:after="0" w:line="152" w:lineRule="exact"/>
        <w:rPr>
          <w:sz w:val="20"/>
          <w:szCs w:val="20"/>
          <w:color w:val="auto"/>
        </w:rPr>
      </w:pPr>
    </w:p>
    <w:p>
      <w:pPr>
        <w:ind w:left="7" w:right="240" w:firstLine="279"/>
        <w:spacing w:after="0" w:line="291" w:lineRule="auto"/>
        <w:rPr>
          <w:sz w:val="20"/>
          <w:szCs w:val="20"/>
          <w:color w:val="auto"/>
        </w:rPr>
      </w:pPr>
      <w:r>
        <w:rPr>
          <w:rFonts w:ascii="Arial" w:cs="Arial" w:eastAsia="Arial" w:hAnsi="Arial"/>
          <w:sz w:val="15"/>
          <w:szCs w:val="15"/>
          <w:color w:val="auto"/>
        </w:rPr>
        <w:t>During year ended December 31, 2019, we funded investments in an aggregate amount of $25,530,000 (not including capitalized transaction costs) as shown in the following table:</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tcBorders>
              <w:bottom w:val="single" w:sz="8" w:color="CCEEFF"/>
            </w:tcBorders>
          </w:tcPr>
          <w:p>
            <w:pPr>
              <w:spacing w:after="0"/>
              <w:rPr>
                <w:sz w:val="14"/>
                <w:szCs w:val="14"/>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Investment</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Transaction Date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2"/>
              </w:rPr>
              <w:t>Gross Payments</w:t>
            </w:r>
          </w:p>
        </w:tc>
      </w:tr>
      <w:tr>
        <w:trPr>
          <w:trHeight w:val="19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Neutron Holdings, Inc. (d/b/a/ Lime)</w:t>
            </w:r>
          </w:p>
        </w:tc>
        <w:tc>
          <w:tcPr>
            <w:tcW w:w="4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Preferred shares, Series 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1/25/2019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10,000,000</w:t>
            </w:r>
          </w:p>
        </w:tc>
      </w:tr>
      <w:tr>
        <w:trPr>
          <w:trHeight w:val="205"/>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Aspiration Partners, Inc.</w:t>
            </w:r>
          </w:p>
        </w:tc>
        <w:tc>
          <w:tcPr>
            <w:tcW w:w="49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Convertible Promissory Note 5% 1/31/2021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8/12/2019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280,000</w:t>
            </w:r>
          </w:p>
        </w:tc>
      </w:tr>
      <w:tr>
        <w:trPr>
          <w:trHeight w:val="28"/>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GreenAcreage Real Estate Corp.</w:t>
            </w:r>
          </w:p>
        </w:tc>
        <w:tc>
          <w:tcPr>
            <w:tcW w:w="4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Common shares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8/12/2019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7,500,000</w:t>
            </w:r>
          </w:p>
        </w:tc>
      </w:tr>
      <w:tr>
        <w:trPr>
          <w:trHeight w:val="205"/>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Treehouse Real Estate Investment Trust, Inc.</w:t>
            </w:r>
          </w:p>
        </w:tc>
        <w:tc>
          <w:tcPr>
            <w:tcW w:w="49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Common shares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9/11/2019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7,500,000</w:t>
            </w:r>
          </w:p>
        </w:tc>
      </w:tr>
      <w:tr>
        <w:trPr>
          <w:trHeight w:val="28"/>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2"/>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Stormwind, LLC</w:t>
            </w:r>
          </w:p>
        </w:tc>
        <w:tc>
          <w:tcPr>
            <w:tcW w:w="4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Preferred shares, Series 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11/26/2019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250,000</w:t>
            </w:r>
          </w:p>
        </w:tc>
      </w:tr>
      <w:tr>
        <w:trPr>
          <w:trHeight w:val="204"/>
        </w:trPr>
        <w:tc>
          <w:tcPr>
            <w:tcW w:w="3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25,530,000</w:t>
            </w: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47"/>
        <w:spacing w:after="0"/>
        <w:rPr>
          <w:sz w:val="20"/>
          <w:szCs w:val="20"/>
          <w:color w:val="auto"/>
        </w:rPr>
      </w:pPr>
      <w:r>
        <w:rPr>
          <w:rFonts w:ascii="Arial" w:cs="Arial" w:eastAsia="Arial" w:hAnsi="Arial"/>
          <w:sz w:val="15"/>
          <w:szCs w:val="15"/>
          <w:color w:val="auto"/>
        </w:rPr>
        <w:t>During the year ended December 31, 2019, we capitalized fees of $39,685.</w:t>
      </w:r>
    </w:p>
    <w:p>
      <w:pPr>
        <w:spacing w:after="0" w:line="199" w:lineRule="exact"/>
        <w:rPr>
          <w:sz w:val="20"/>
          <w:szCs w:val="20"/>
          <w:color w:val="auto"/>
        </w:rPr>
      </w:pPr>
    </w:p>
    <w:p>
      <w:pPr>
        <w:jc w:val="both"/>
        <w:ind w:left="7" w:firstLine="348"/>
        <w:spacing w:after="0" w:line="291" w:lineRule="auto"/>
        <w:rPr>
          <w:sz w:val="20"/>
          <w:szCs w:val="20"/>
          <w:color w:val="auto"/>
        </w:rPr>
      </w:pPr>
      <w:r>
        <w:rPr>
          <w:rFonts w:ascii="Arial" w:cs="Arial" w:eastAsia="Arial" w:hAnsi="Arial"/>
          <w:sz w:val="15"/>
          <w:szCs w:val="15"/>
          <w:color w:val="auto"/>
        </w:rPr>
        <w:t>During the year ended December 31, 2019, we sold or amended investments in an amount of $65,603,252, net of transaction costs, and realized a net gain on investments of approximately $19,179,340 (including U.S. Treasury investments) as shown in following table:</w:t>
      </w:r>
    </w:p>
    <w:p>
      <w:pPr>
        <w:spacing w:after="0" w:line="83"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4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Investment</w:t>
            </w:r>
          </w:p>
        </w:tc>
        <w:tc>
          <w:tcPr>
            <w:tcW w:w="120" w:type="dxa"/>
            <w:vAlign w:val="bottom"/>
            <w:vMerge w:val="restart"/>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Transaction</w:t>
            </w:r>
          </w:p>
        </w:tc>
        <w:tc>
          <w:tcPr>
            <w:tcW w:w="124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Shares Sold</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Average Net Share</w:t>
            </w:r>
          </w:p>
        </w:tc>
        <w:tc>
          <w:tcPr>
            <w:tcW w:w="160" w:type="dxa"/>
            <w:vAlign w:val="bottom"/>
          </w:tcPr>
          <w:p>
            <w:pPr>
              <w:spacing w:after="0"/>
              <w:rPr>
                <w:sz w:val="13"/>
                <w:szCs w:val="13"/>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w w:val="99"/>
              </w:rPr>
              <w:t>Net Proceeds</w:t>
            </w:r>
          </w:p>
        </w:tc>
        <w:tc>
          <w:tcPr>
            <w:tcW w:w="100" w:type="dxa"/>
            <w:vAlign w:val="bottom"/>
            <w:vMerge w:val="restart"/>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w w:val="96"/>
              </w:rPr>
              <w:t>Realized Gain/(Loss)</w:t>
            </w:r>
          </w:p>
        </w:tc>
        <w:tc>
          <w:tcPr>
            <w:tcW w:w="0" w:type="dxa"/>
            <w:vAlign w:val="bottom"/>
          </w:tcPr>
          <w:p>
            <w:pPr>
              <w:spacing w:after="0"/>
              <w:rPr>
                <w:sz w:val="1"/>
                <w:szCs w:val="1"/>
                <w:color w:val="auto"/>
              </w:rPr>
            </w:pPr>
          </w:p>
        </w:tc>
      </w:tr>
      <w:tr>
        <w:trPr>
          <w:trHeight w:val="139"/>
        </w:trPr>
        <w:tc>
          <w:tcPr>
            <w:tcW w:w="4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12"/>
        </w:trPr>
        <w:tc>
          <w:tcPr>
            <w:tcW w:w="46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4"/>
                <w:szCs w:val="14"/>
                <w:color w:val="auto"/>
              </w:rPr>
              <w:t>Declara, Inc.</w:t>
            </w:r>
            <w:r>
              <w:rPr>
                <w:rFonts w:ascii="Arial" w:cs="Arial" w:eastAsia="Arial" w:hAnsi="Arial"/>
                <w:sz w:val="21"/>
                <w:szCs w:val="21"/>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3/11/2019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(12,334,151)</w:t>
            </w:r>
          </w:p>
        </w:tc>
        <w:tc>
          <w:tcPr>
            <w:tcW w:w="0" w:type="dxa"/>
            <w:vAlign w:val="bottom"/>
          </w:tcPr>
          <w:p>
            <w:pPr>
              <w:spacing w:after="0"/>
              <w:rPr>
                <w:sz w:val="1"/>
                <w:szCs w:val="1"/>
                <w:color w:val="auto"/>
              </w:rPr>
            </w:pPr>
          </w:p>
        </w:tc>
      </w:tr>
      <w:tr>
        <w:trPr>
          <w:trHeight w:val="232"/>
        </w:trPr>
        <w:tc>
          <w:tcPr>
            <w:tcW w:w="4620" w:type="dxa"/>
            <w:vAlign w:val="bottom"/>
            <w:gridSpan w:val="2"/>
          </w:tcPr>
          <w:p>
            <w:pPr>
              <w:ind w:left="20"/>
              <w:spacing w:after="0" w:line="232" w:lineRule="exact"/>
              <w:rPr>
                <w:sz w:val="20"/>
                <w:szCs w:val="20"/>
                <w:color w:val="auto"/>
              </w:rPr>
            </w:pPr>
            <w:r>
              <w:rPr>
                <w:rFonts w:ascii="Arial" w:cs="Arial" w:eastAsia="Arial" w:hAnsi="Arial"/>
                <w:sz w:val="14"/>
                <w:szCs w:val="14"/>
                <w:color w:val="auto"/>
              </w:rPr>
              <w:t>Spotify Technology S.A.</w:t>
            </w:r>
            <w:r>
              <w:rPr>
                <w:rFonts w:ascii="Arial" w:cs="Arial" w:eastAsia="Arial" w:hAnsi="Arial"/>
                <w:sz w:val="21"/>
                <w:szCs w:val="21"/>
                <w:color w:val="auto"/>
                <w:vertAlign w:val="superscript"/>
              </w:rPr>
              <w:t>(4)</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Various</w:t>
            </w: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235,360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138.29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32,547,633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22,545,550</w:t>
            </w:r>
          </w:p>
        </w:tc>
        <w:tc>
          <w:tcPr>
            <w:tcW w:w="0" w:type="dxa"/>
            <w:vAlign w:val="bottom"/>
          </w:tcPr>
          <w:p>
            <w:pPr>
              <w:spacing w:after="0"/>
              <w:rPr>
                <w:sz w:val="1"/>
                <w:szCs w:val="1"/>
                <w:color w:val="auto"/>
              </w:rPr>
            </w:pPr>
          </w:p>
        </w:tc>
      </w:tr>
      <w:tr>
        <w:trPr>
          <w:trHeight w:val="232"/>
        </w:trPr>
        <w:tc>
          <w:tcPr>
            <w:tcW w:w="462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4"/>
                <w:szCs w:val="14"/>
                <w:color w:val="auto"/>
              </w:rPr>
              <w:t>Dropbox, Inc.</w:t>
            </w:r>
            <w:r>
              <w:rPr>
                <w:rFonts w:ascii="Arial" w:cs="Arial" w:eastAsia="Arial" w:hAnsi="Arial"/>
                <w:sz w:val="21"/>
                <w:szCs w:val="21"/>
                <w:color w:val="auto"/>
                <w:vertAlign w:val="superscript"/>
              </w:rPr>
              <w:t>(5)</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Various</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874,990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19,723,591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6,066,664</w:t>
            </w:r>
          </w:p>
        </w:tc>
        <w:tc>
          <w:tcPr>
            <w:tcW w:w="0" w:type="dxa"/>
            <w:vAlign w:val="bottom"/>
          </w:tcPr>
          <w:p>
            <w:pPr>
              <w:spacing w:after="0"/>
              <w:rPr>
                <w:sz w:val="1"/>
                <w:szCs w:val="1"/>
                <w:color w:val="auto"/>
              </w:rPr>
            </w:pPr>
          </w:p>
        </w:tc>
      </w:tr>
      <w:tr>
        <w:trPr>
          <w:trHeight w:val="23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Knewton, Inc.</w:t>
            </w:r>
            <w:r>
              <w:rPr>
                <w:rFonts w:ascii="Arial" w:cs="Arial" w:eastAsia="Arial" w:hAnsi="Arial"/>
                <w:sz w:val="18"/>
                <w:szCs w:val="18"/>
                <w:color w:val="auto"/>
                <w:vertAlign w:val="superscript"/>
              </w:rPr>
              <w:t>(6)</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5/31/2019</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51,511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(5,083,701)</w:t>
            </w:r>
          </w:p>
        </w:tc>
        <w:tc>
          <w:tcPr>
            <w:tcW w:w="0" w:type="dxa"/>
            <w:vAlign w:val="bottom"/>
          </w:tcPr>
          <w:p>
            <w:pPr>
              <w:spacing w:after="0"/>
              <w:rPr>
                <w:sz w:val="1"/>
                <w:szCs w:val="1"/>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CUX, Inc. (d/b/a CorpU) </w:t>
            </w:r>
            <w:r>
              <w:rPr>
                <w:rFonts w:ascii="Arial" w:cs="Arial" w:eastAsia="Arial" w:hAnsi="Arial"/>
                <w:sz w:val="18"/>
                <w:szCs w:val="18"/>
                <w:color w:val="auto"/>
                <w:vertAlign w:val="superscript"/>
              </w:rPr>
              <w:t>(7)</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10/24/2019</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(109,331)</w:t>
            </w:r>
          </w:p>
        </w:tc>
        <w:tc>
          <w:tcPr>
            <w:tcW w:w="0" w:type="dxa"/>
            <w:vAlign w:val="bottom"/>
          </w:tcPr>
          <w:p>
            <w:pPr>
              <w:spacing w:after="0"/>
              <w:rPr>
                <w:sz w:val="1"/>
                <w:szCs w:val="1"/>
                <w:color w:val="auto"/>
              </w:rPr>
            </w:pPr>
          </w:p>
        </w:tc>
      </w:tr>
      <w:tr>
        <w:trPr>
          <w:trHeight w:val="23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 xml:space="preserve">Lyft, Inc. </w:t>
            </w:r>
            <w:r>
              <w:rPr>
                <w:rFonts w:ascii="Arial" w:cs="Arial" w:eastAsia="Arial" w:hAnsi="Arial"/>
                <w:sz w:val="18"/>
                <w:szCs w:val="18"/>
                <w:color w:val="auto"/>
                <w:vertAlign w:val="superscript"/>
              </w:rPr>
              <w:t>(8)</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Various</w:t>
            </w: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304,829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13,280,517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color w:val="auto"/>
              </w:rPr>
              <w:t>8,983,623</w:t>
            </w:r>
          </w:p>
        </w:tc>
        <w:tc>
          <w:tcPr>
            <w:tcW w:w="0" w:type="dxa"/>
            <w:vAlign w:val="bottom"/>
          </w:tcPr>
          <w:p>
            <w:pPr>
              <w:spacing w:after="0"/>
              <w:rPr>
                <w:sz w:val="1"/>
                <w:szCs w:val="1"/>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EdSurge, Inc. </w:t>
            </w:r>
            <w:r>
              <w:rPr>
                <w:rFonts w:ascii="Arial" w:cs="Arial" w:eastAsia="Arial" w:hAnsi="Arial"/>
                <w:sz w:val="18"/>
                <w:szCs w:val="18"/>
                <w:color w:val="auto"/>
                <w:vertAlign w:val="superscript"/>
              </w:rPr>
              <w:t>(9)</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12/12/2019</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873,153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(1,002,161)</w:t>
            </w:r>
          </w:p>
        </w:tc>
        <w:tc>
          <w:tcPr>
            <w:tcW w:w="0" w:type="dxa"/>
            <w:vAlign w:val="bottom"/>
          </w:tcPr>
          <w:p>
            <w:pPr>
              <w:spacing w:after="0"/>
              <w:rPr>
                <w:sz w:val="1"/>
                <w:szCs w:val="1"/>
                <w:color w:val="auto"/>
              </w:rPr>
            </w:pPr>
          </w:p>
        </w:tc>
      </w:tr>
      <w:tr>
        <w:trPr>
          <w:trHeight w:val="204"/>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65,603,252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19,066,493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7" w:hanging="427"/>
        <w:spacing w:after="0"/>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average net share price is the net share price realized after deducting all commissions and fees on the sale(s), if applicable.</w:t>
      </w:r>
    </w:p>
    <w:p>
      <w:pPr>
        <w:spacing w:after="0" w:line="1" w:lineRule="exact"/>
        <w:rPr>
          <w:rFonts w:ascii="Arial" w:cs="Arial" w:eastAsia="Arial" w:hAnsi="Arial"/>
          <w:sz w:val="14"/>
          <w:szCs w:val="14"/>
          <w:color w:val="auto"/>
        </w:rPr>
      </w:pPr>
    </w:p>
    <w:p>
      <w:pPr>
        <w:ind w:left="427" w:hanging="427"/>
        <w:spacing w:after="0"/>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Realized gain/(loss) does not include amounts held in escrow or any realized gain/(loss) incurred on the maturity of our U.S. Treasury investments.</w:t>
      </w:r>
    </w:p>
    <w:p>
      <w:pPr>
        <w:spacing w:after="0" w:line="1" w:lineRule="exact"/>
        <w:rPr>
          <w:rFonts w:ascii="Arial" w:cs="Arial" w:eastAsia="Arial" w:hAnsi="Arial"/>
          <w:sz w:val="14"/>
          <w:szCs w:val="14"/>
          <w:color w:val="auto"/>
        </w:rPr>
      </w:pPr>
    </w:p>
    <w:p>
      <w:pPr>
        <w:ind w:left="427" w:hanging="427"/>
        <w:spacing w:after="0" w:line="260" w:lineRule="auto"/>
        <w:tabs>
          <w:tab w:leader="none" w:pos="427" w:val="left"/>
        </w:tabs>
        <w:numPr>
          <w:ilvl w:val="0"/>
          <w:numId w:val="32"/>
        </w:numPr>
        <w:rPr>
          <w:rFonts w:ascii="Arial" w:cs="Arial" w:eastAsia="Arial" w:hAnsi="Arial"/>
          <w:sz w:val="13"/>
          <w:szCs w:val="13"/>
          <w:color w:val="auto"/>
        </w:rPr>
      </w:pPr>
      <w:r>
        <w:rPr>
          <w:rFonts w:ascii="Arial" w:cs="Arial" w:eastAsia="Arial" w:hAnsi="Arial"/>
          <w:sz w:val="13"/>
          <w:szCs w:val="13"/>
          <w:color w:val="auto"/>
        </w:rPr>
        <w:t>On March 11, 2019, Declara, Inc. entered into a definitive agreement to be acquired by Declara Holdings, Inc., a subsidiary of Futuryng, Inc. Despite the existence of an earn-out provision, as a result of the transaction, we do not expect to receive any proceeds. The exit of Declara, Inc. included a 12% Convertible Promissory Note with a principal value of $2,334,152.</w:t>
      </w:r>
    </w:p>
    <w:p>
      <w:pPr>
        <w:spacing w:after="0" w:line="1" w:lineRule="exact"/>
        <w:rPr>
          <w:rFonts w:ascii="Arial" w:cs="Arial" w:eastAsia="Arial" w:hAnsi="Arial"/>
          <w:sz w:val="13"/>
          <w:szCs w:val="13"/>
          <w:color w:val="auto"/>
        </w:rPr>
      </w:pPr>
    </w:p>
    <w:p>
      <w:pPr>
        <w:ind w:left="427" w:hanging="427"/>
        <w:spacing w:after="0"/>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May 2, 2019, all remaining shares of Spotify Technology S.A. held by us had been sold.</w:t>
      </w:r>
    </w:p>
    <w:p>
      <w:pPr>
        <w:spacing w:after="0" w:line="1" w:lineRule="exact"/>
        <w:rPr>
          <w:rFonts w:ascii="Arial" w:cs="Arial" w:eastAsia="Arial" w:hAnsi="Arial"/>
          <w:sz w:val="14"/>
          <w:szCs w:val="14"/>
          <w:color w:val="auto"/>
        </w:rPr>
      </w:pPr>
    </w:p>
    <w:p>
      <w:pPr>
        <w:ind w:left="427" w:hanging="427"/>
        <w:spacing w:after="0"/>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September 19, 2019, all remaining shares of Dropbox, Inc. held by us had been sold.</w:t>
      </w:r>
    </w:p>
    <w:p>
      <w:pPr>
        <w:spacing w:after="0" w:line="1" w:lineRule="exact"/>
        <w:rPr>
          <w:rFonts w:ascii="Arial" w:cs="Arial" w:eastAsia="Arial" w:hAnsi="Arial"/>
          <w:sz w:val="14"/>
          <w:szCs w:val="14"/>
          <w:color w:val="auto"/>
        </w:rPr>
      </w:pPr>
    </w:p>
    <w:p>
      <w:pPr>
        <w:ind w:left="427" w:right="20" w:hanging="427"/>
        <w:spacing w:after="0" w:line="242" w:lineRule="auto"/>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May 31, 2019, a sale of substantially all of the assets of Knewton, Inc. to Wiley Education was completed. As a result of the transaction, we have received $51,511 in net proceeds and expect to receive approximately $26,000 in additional proceeds held in escrow. We expect to receive the proceeds held in escrow in 2020.</w:t>
      </w:r>
    </w:p>
    <w:p>
      <w:pPr>
        <w:jc w:val="both"/>
        <w:ind w:left="427" w:hanging="427"/>
        <w:spacing w:after="0" w:line="244" w:lineRule="auto"/>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October 24, 2019, CUX, Inc. (d/b/a CorpU) completed a recapitalization, which amended our investment in the Senior Subordinated Convertible Promissory Note. As a result of the recapitalization, the principal amount of our Senior Subordinated Convertible Promissory Note was reduced by $109,331, the interest rate was reduced to 4%, and the maturity was extended to February 14, 2023.</w:t>
      </w:r>
    </w:p>
    <w:p>
      <w:pPr>
        <w:ind w:left="427" w:hanging="427"/>
        <w:spacing w:after="0"/>
        <w:tabs>
          <w:tab w:leader="none" w:pos="427" w:val="left"/>
        </w:tabs>
        <w:numPr>
          <w:ilvl w:val="0"/>
          <w:numId w:val="32"/>
        </w:numPr>
        <w:rPr>
          <w:rFonts w:ascii="Arial" w:cs="Arial" w:eastAsia="Arial" w:hAnsi="Arial"/>
          <w:sz w:val="15"/>
          <w:szCs w:val="15"/>
          <w:color w:val="auto"/>
        </w:rPr>
      </w:pPr>
      <w:r>
        <w:rPr>
          <w:rFonts w:ascii="Arial" w:cs="Arial" w:eastAsia="Arial" w:hAnsi="Arial"/>
          <w:sz w:val="14"/>
          <w:szCs w:val="14"/>
          <w:color w:val="auto"/>
        </w:rPr>
        <w:t>As of November 4, 2019, all remaining shares of Lyft, Inc. held by us had been sold.</w:t>
      </w:r>
    </w:p>
    <w:p>
      <w:pPr>
        <w:spacing w:after="0" w:line="5" w:lineRule="exact"/>
        <w:rPr>
          <w:rFonts w:ascii="Arial" w:cs="Arial" w:eastAsia="Arial" w:hAnsi="Arial"/>
          <w:sz w:val="15"/>
          <w:szCs w:val="15"/>
          <w:color w:val="auto"/>
        </w:rPr>
      </w:pPr>
    </w:p>
    <w:p>
      <w:pPr>
        <w:ind w:left="427" w:hanging="427"/>
        <w:spacing w:after="0" w:line="255" w:lineRule="auto"/>
        <w:tabs>
          <w:tab w:leader="none" w:pos="4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12, 2019, all remaining shares of EdSurge, Inc., were sold in a transaction with the International Society for Technology in Education (ISTE). As a result of the transaction, we do not expect to receive any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267"/>
          </w:cols>
          <w:pgMar w:left="313" w:top="124" w:right="319" w:bottom="1440" w:gutter="0" w:footer="0" w:header="0"/>
        </w:sectPr>
      </w:pPr>
    </w:p>
    <w:bookmarkStart w:id="62" w:name="page63"/>
    <w:bookmarkEnd w:id="62"/>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Portfolio and Investment Activity - 2018</w:t>
      </w:r>
    </w:p>
    <w:p>
      <w:pPr>
        <w:spacing w:after="0" w:line="199" w:lineRule="exact"/>
        <w:rPr>
          <w:sz w:val="20"/>
          <w:szCs w:val="20"/>
          <w:color w:val="auto"/>
        </w:rPr>
      </w:pPr>
    </w:p>
    <w:p>
      <w:pPr>
        <w:ind w:left="7" w:right="580" w:firstLine="348"/>
        <w:spacing w:after="0" w:line="291" w:lineRule="auto"/>
        <w:rPr>
          <w:sz w:val="20"/>
          <w:szCs w:val="20"/>
          <w:color w:val="auto"/>
        </w:rPr>
      </w:pPr>
      <w:r>
        <w:rPr>
          <w:rFonts w:ascii="Arial" w:cs="Arial" w:eastAsia="Arial" w:hAnsi="Arial"/>
          <w:sz w:val="15"/>
          <w:szCs w:val="15"/>
          <w:color w:val="auto"/>
        </w:rPr>
        <w:t>During the year ended December 31, 2018, we funded investments in an aggregate amount of $10,636,685 (not including capitalized transaction costs) as shown in the following table:</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tcBorders>
              <w:bottom w:val="single" w:sz="8" w:color="CCEEFF"/>
            </w:tcBorders>
          </w:tcPr>
          <w:p>
            <w:pPr>
              <w:spacing w:after="0"/>
              <w:rPr>
                <w:sz w:val="14"/>
                <w:szCs w:val="14"/>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Investment</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Transaction Date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2"/>
              </w:rPr>
              <w:t>Gross Payments</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Ozy Media, Inc.</w:t>
            </w:r>
            <w:r>
              <w:rPr>
                <w:rFonts w:ascii="Arial" w:cs="Arial" w:eastAsia="Arial" w:hAnsi="Arial"/>
                <w:sz w:val="18"/>
                <w:szCs w:val="18"/>
                <w:color w:val="auto"/>
                <w:vertAlign w:val="superscript"/>
              </w:rPr>
              <w:t>(1)</w:t>
            </w:r>
          </w:p>
        </w:tc>
        <w:tc>
          <w:tcPr>
            <w:tcW w:w="5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Promissory Note 10% Due 2/12/2018</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1/12/2018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32"/>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SharesPost, Inc.</w:t>
            </w:r>
            <w:r>
              <w:rPr>
                <w:rFonts w:ascii="Arial" w:cs="Arial" w:eastAsia="Arial" w:hAnsi="Arial"/>
                <w:sz w:val="18"/>
                <w:szCs w:val="18"/>
                <w:color w:val="auto"/>
                <w:vertAlign w:val="superscript"/>
              </w:rPr>
              <w:t>(2)</w:t>
            </w:r>
          </w:p>
        </w:tc>
        <w:tc>
          <w:tcPr>
            <w:tcW w:w="5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Common shares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6/15/2018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100,221</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Knewton, Inc.</w:t>
            </w:r>
          </w:p>
        </w:tc>
        <w:tc>
          <w:tcPr>
            <w:tcW w:w="5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Unsecured Convertible Promissory Note 8% due 12/31/2019</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7/23/2018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134,405</w:t>
            </w:r>
          </w:p>
        </w:tc>
        <w:tc>
          <w:tcPr>
            <w:tcW w:w="0" w:type="dxa"/>
            <w:vAlign w:val="bottom"/>
          </w:tcPr>
          <w:p>
            <w:pPr>
              <w:spacing w:after="0"/>
              <w:rPr>
                <w:sz w:val="1"/>
                <w:szCs w:val="1"/>
                <w:color w:val="auto"/>
              </w:rPr>
            </w:pPr>
          </w:p>
        </w:tc>
      </w:tr>
      <w:tr>
        <w:trPr>
          <w:trHeight w:val="205"/>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Nextdoor.com, Inc.</w:t>
            </w:r>
          </w:p>
        </w:tc>
        <w:tc>
          <w:tcPr>
            <w:tcW w:w="5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Common shares</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9/27/2018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6,326,790</w:t>
            </w:r>
          </w:p>
        </w:tc>
        <w:tc>
          <w:tcPr>
            <w:tcW w:w="0" w:type="dxa"/>
            <w:vAlign w:val="bottom"/>
          </w:tcPr>
          <w:p>
            <w:pPr>
              <w:spacing w:after="0"/>
              <w:rPr>
                <w:sz w:val="1"/>
                <w:szCs w:val="1"/>
                <w:color w:val="auto"/>
              </w:rPr>
            </w:pPr>
          </w:p>
        </w:tc>
      </w:tr>
      <w:tr>
        <w:trPr>
          <w:trHeight w:val="28"/>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Nextdoor.com, Inc.</w:t>
            </w:r>
          </w:p>
        </w:tc>
        <w:tc>
          <w:tcPr>
            <w:tcW w:w="5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Common shares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12/19/2018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1,390,373</w:t>
            </w:r>
          </w:p>
        </w:tc>
        <w:tc>
          <w:tcPr>
            <w:tcW w:w="0" w:type="dxa"/>
            <w:vAlign w:val="bottom"/>
          </w:tcPr>
          <w:p>
            <w:pPr>
              <w:spacing w:after="0"/>
              <w:rPr>
                <w:sz w:val="1"/>
                <w:szCs w:val="1"/>
                <w:color w:val="auto"/>
              </w:rPr>
            </w:pPr>
          </w:p>
        </w:tc>
      </w:tr>
      <w:tr>
        <w:trPr>
          <w:trHeight w:val="205"/>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Nextdoor.com, Inc.</w:t>
            </w:r>
          </w:p>
        </w:tc>
        <w:tc>
          <w:tcPr>
            <w:tcW w:w="53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Common shares</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12/27/2018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2,284,896</w:t>
            </w:r>
          </w:p>
        </w:tc>
        <w:tc>
          <w:tcPr>
            <w:tcW w:w="0" w:type="dxa"/>
            <w:vAlign w:val="bottom"/>
          </w:tcPr>
          <w:p>
            <w:pPr>
              <w:spacing w:after="0"/>
              <w:rPr>
                <w:sz w:val="1"/>
                <w:szCs w:val="1"/>
                <w:color w:val="auto"/>
              </w:rPr>
            </w:pPr>
          </w:p>
        </w:tc>
      </w:tr>
      <w:tr>
        <w:trPr>
          <w:trHeight w:val="28"/>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NestGSV, Inc. (d/b/a GSV Labs, Inc.)</w:t>
            </w:r>
            <w:r>
              <w:rPr>
                <w:rFonts w:ascii="Arial" w:cs="Arial" w:eastAsia="Arial" w:hAnsi="Arial"/>
                <w:sz w:val="18"/>
                <w:szCs w:val="18"/>
                <w:color w:val="auto"/>
                <w:vertAlign w:val="superscript"/>
              </w:rPr>
              <w:t>(3)</w:t>
            </w:r>
          </w:p>
        </w:tc>
        <w:tc>
          <w:tcPr>
            <w:tcW w:w="5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Unsecured Convertible Promissory Note 12% due 12/31/2019</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204"/>
        </w:trPr>
        <w:tc>
          <w:tcPr>
            <w:tcW w:w="34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10,636,685</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w:t>
            </w: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427" w:hanging="427"/>
        <w:spacing w:after="0" w:line="272" w:lineRule="auto"/>
        <w:tabs>
          <w:tab w:leader="none" w:pos="4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During the year ended December 31, 2018, Ozy Media, Inc.’s obligations under its financing arrangements with us became past due. </w:t>
      </w:r>
      <w:r>
        <w:rPr>
          <w:rFonts w:ascii="Arial" w:cs="Arial" w:eastAsia="Arial" w:hAnsi="Arial"/>
          <w:sz w:val="15"/>
          <w:szCs w:val="15"/>
          <w:color w:val="auto"/>
        </w:rPr>
        <w:t>Effe</w:t>
      </w:r>
      <w:r>
        <w:rPr>
          <w:rFonts w:ascii="Arial" w:cs="Arial" w:eastAsia="Arial" w:hAnsi="Arial"/>
          <w:sz w:val="14"/>
          <w:szCs w:val="14"/>
          <w:color w:val="auto"/>
        </w:rPr>
        <w:t>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we were issued warrants exercisable for 295,565 shares of Ozy Media Inc.'s common stock. Subsequent to December 31, 2018, Ozy Media Inc.'s obligations under its financing arrangements with us became past due. On September 11, 2019, we agreed to convert the Convertible Promissory Note due 12/31/2018 to Ozy Media, Inc. and all related accrued interest, into 683,482 shares of Ozy Media, Inc.'s Series C-2 preferred shares.</w:t>
      </w:r>
    </w:p>
    <w:p>
      <w:pPr>
        <w:ind w:left="427" w:hanging="427"/>
        <w:spacing w:after="0"/>
        <w:tabs>
          <w:tab w:leader="none" w:pos="4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June 15, 2018 we exercised our 770,934 warrants to purchase shares of SharesPost, Inc.'s common stock, with a $0.13 strike price.</w:t>
      </w:r>
    </w:p>
    <w:p>
      <w:pPr>
        <w:spacing w:after="0" w:line="9" w:lineRule="exact"/>
        <w:rPr>
          <w:rFonts w:ascii="Arial" w:cs="Arial" w:eastAsia="Arial" w:hAnsi="Arial"/>
          <w:sz w:val="14"/>
          <w:szCs w:val="14"/>
          <w:color w:val="auto"/>
        </w:rPr>
      </w:pPr>
    </w:p>
    <w:p>
      <w:pPr>
        <w:jc w:val="both"/>
        <w:ind w:left="427" w:hanging="427"/>
        <w:spacing w:after="0" w:line="267" w:lineRule="auto"/>
        <w:tabs>
          <w:tab w:leader="none" w:pos="427" w:val="left"/>
        </w:tabs>
        <w:numPr>
          <w:ilvl w:val="0"/>
          <w:numId w:val="33"/>
        </w:numPr>
        <w:rPr>
          <w:rFonts w:ascii="Arial" w:cs="Arial" w:eastAsia="Arial" w:hAnsi="Arial"/>
          <w:sz w:val="13"/>
          <w:szCs w:val="13"/>
          <w:color w:val="auto"/>
        </w:rPr>
      </w:pPr>
      <w:r>
        <w:rPr>
          <w:rFonts w:ascii="Arial" w:cs="Arial" w:eastAsia="Arial" w:hAnsi="Arial"/>
          <w:sz w:val="13"/>
          <w:szCs w:val="13"/>
          <w:color w:val="auto"/>
        </w:rPr>
        <w:t>Effective July 31, 2018, we agreed to extend the Convertible Promissory Note to NestGSV, Inc. (d/b/a GSV Labs, Inc.) until December 31, 2018, with a new interest rate of 12%. Previously accrued interest will be capitalized into the principal of the extended note. On December 31, 2018, we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We also received an additional 250,000 Series B Preferred Warrants due December 31, 2023.</w:t>
      </w:r>
    </w:p>
    <w:p>
      <w:pPr>
        <w:spacing w:after="0" w:line="153" w:lineRule="exact"/>
        <w:rPr>
          <w:sz w:val="20"/>
          <w:szCs w:val="20"/>
          <w:color w:val="auto"/>
        </w:rPr>
      </w:pPr>
    </w:p>
    <w:p>
      <w:pPr>
        <w:ind w:left="347"/>
        <w:spacing w:after="0"/>
        <w:rPr>
          <w:sz w:val="20"/>
          <w:szCs w:val="20"/>
          <w:color w:val="auto"/>
        </w:rPr>
      </w:pPr>
      <w:r>
        <w:rPr>
          <w:rFonts w:ascii="Arial" w:cs="Arial" w:eastAsia="Arial" w:hAnsi="Arial"/>
          <w:sz w:val="15"/>
          <w:szCs w:val="15"/>
          <w:color w:val="auto"/>
        </w:rPr>
        <w:t>During the year ended December 31, 2018, we capitalized fees of $32,350.</w:t>
      </w:r>
    </w:p>
    <w:p>
      <w:pPr>
        <w:spacing w:after="0" w:line="199" w:lineRule="exact"/>
        <w:rPr>
          <w:sz w:val="20"/>
          <w:szCs w:val="20"/>
          <w:color w:val="auto"/>
        </w:rPr>
      </w:pPr>
    </w:p>
    <w:p>
      <w:pPr>
        <w:ind w:left="7" w:right="20" w:firstLine="302"/>
        <w:spacing w:after="0" w:line="291" w:lineRule="auto"/>
        <w:rPr>
          <w:sz w:val="20"/>
          <w:szCs w:val="20"/>
          <w:color w:val="auto"/>
        </w:rPr>
      </w:pPr>
      <w:r>
        <w:rPr>
          <w:rFonts w:ascii="Arial" w:cs="Arial" w:eastAsia="Arial" w:hAnsi="Arial"/>
          <w:sz w:val="15"/>
          <w:szCs w:val="15"/>
          <w:color w:val="auto"/>
        </w:rPr>
        <w:t>During the year ended December 31, 2018, we sold investments or received repayments from portfolio companies in an amount of $32,395,839, net of transaction costs, and realized a net loss on investments of approximately $7,433,619 (including U.S. Treasury investments) as shown in following table:</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Portfolio Investment</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b w:val="1"/>
                <w:bCs w:val="1"/>
                <w:color w:val="auto"/>
              </w:rPr>
              <w:t>Net Proceeds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4"/>
              </w:rPr>
              <w:t>Realized Gain/(Loss)</w:t>
            </w:r>
            <w:r>
              <w:rPr>
                <w:rFonts w:ascii="Arial" w:cs="Arial" w:eastAsia="Arial" w:hAnsi="Arial"/>
                <w:sz w:val="7"/>
                <w:szCs w:val="7"/>
                <w:b w:val="1"/>
                <w:bCs w:val="1"/>
                <w:color w:val="auto"/>
                <w:w w:val="94"/>
              </w:rPr>
              <w:t>(1)</w:t>
            </w:r>
          </w:p>
        </w:tc>
        <w:tc>
          <w:tcPr>
            <w:tcW w:w="0" w:type="dxa"/>
            <w:vAlign w:val="bottom"/>
          </w:tcPr>
          <w:p>
            <w:pPr>
              <w:spacing w:after="0"/>
              <w:rPr>
                <w:sz w:val="1"/>
                <w:szCs w:val="1"/>
                <w:color w:val="auto"/>
              </w:rPr>
            </w:pPr>
          </w:p>
        </w:tc>
      </w:tr>
      <w:tr>
        <w:trPr>
          <w:trHeight w:val="217"/>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Chegg, Inc.</w:t>
            </w:r>
            <w:r>
              <w:rPr>
                <w:rFonts w:ascii="Arial" w:cs="Arial" w:eastAsia="Arial" w:hAnsi="Arial"/>
                <w:sz w:val="18"/>
                <w:szCs w:val="18"/>
                <w:color w:val="auto"/>
                <w:vertAlign w:val="superscript"/>
              </w:rPr>
              <w:t>(2)</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9,446,315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51"/>
              <w:spacing w:after="0"/>
              <w:rPr>
                <w:sz w:val="20"/>
                <w:szCs w:val="20"/>
                <w:color w:val="auto"/>
              </w:rPr>
            </w:pPr>
            <w:r>
              <w:rPr>
                <w:rFonts w:ascii="Arial" w:cs="Arial" w:eastAsia="Arial" w:hAnsi="Arial"/>
                <w:sz w:val="14"/>
                <w:szCs w:val="14"/>
                <w:color w:val="auto"/>
              </w:rPr>
              <w:t>3,437,847</w:t>
            </w:r>
          </w:p>
        </w:tc>
        <w:tc>
          <w:tcPr>
            <w:tcW w:w="0" w:type="dxa"/>
            <w:vAlign w:val="bottom"/>
          </w:tcPr>
          <w:p>
            <w:pPr>
              <w:spacing w:after="0"/>
              <w:rPr>
                <w:sz w:val="1"/>
                <w:szCs w:val="1"/>
                <w:color w:val="auto"/>
              </w:rPr>
            </w:pPr>
          </w:p>
        </w:tc>
      </w:tr>
      <w:tr>
        <w:trPr>
          <w:trHeight w:val="232"/>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NestGSV, Inc. (d/b/a GSV Labs, Inc.)</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592,129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05"/>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Avenues Global Holdings, LLC</w:t>
            </w:r>
          </w:p>
        </w:tc>
        <w:tc>
          <w:tcPr>
            <w:tcW w:w="300" w:type="dxa"/>
            <w:vAlign w:val="bottom"/>
          </w:tcPr>
          <w:p>
            <w:pPr>
              <w:spacing w:after="0"/>
              <w:rPr>
                <w:sz w:val="17"/>
                <w:szCs w:val="17"/>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5,923,795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(4,228,059)</w:t>
            </w:r>
          </w:p>
        </w:tc>
        <w:tc>
          <w:tcPr>
            <w:tcW w:w="0" w:type="dxa"/>
            <w:vAlign w:val="bottom"/>
          </w:tcPr>
          <w:p>
            <w:pPr>
              <w:spacing w:after="0"/>
              <w:rPr>
                <w:sz w:val="1"/>
                <w:szCs w:val="1"/>
                <w:color w:val="auto"/>
              </w:rPr>
            </w:pPr>
          </w:p>
        </w:tc>
      </w:tr>
      <w:tr>
        <w:trPr>
          <w:trHeight w:val="28"/>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Assembly Space, Inc.</w:t>
            </w:r>
            <w:r>
              <w:rPr>
                <w:rFonts w:ascii="Arial" w:cs="Arial" w:eastAsia="Arial" w:hAnsi="Arial"/>
                <w:sz w:val="18"/>
                <w:szCs w:val="18"/>
                <w:color w:val="auto"/>
                <w:vertAlign w:val="superscript"/>
              </w:rPr>
              <w:t>(4)</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7,820,191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3,292,552</w:t>
            </w:r>
          </w:p>
        </w:tc>
        <w:tc>
          <w:tcPr>
            <w:tcW w:w="0" w:type="dxa"/>
            <w:vAlign w:val="bottom"/>
          </w:tcPr>
          <w:p>
            <w:pPr>
              <w:spacing w:after="0"/>
              <w:rPr>
                <w:sz w:val="1"/>
                <w:szCs w:val="1"/>
                <w:color w:val="auto"/>
              </w:rPr>
            </w:pPr>
          </w:p>
        </w:tc>
      </w:tr>
      <w:tr>
        <w:trPr>
          <w:trHeight w:val="232"/>
        </w:trPr>
        <w:tc>
          <w:tcPr>
            <w:tcW w:w="7880" w:type="dxa"/>
            <w:vAlign w:val="bottom"/>
            <w:gridSpan w:val="2"/>
          </w:tcPr>
          <w:p>
            <w:pPr>
              <w:ind w:left="20"/>
              <w:spacing w:after="0"/>
              <w:rPr>
                <w:sz w:val="20"/>
                <w:szCs w:val="20"/>
                <w:color w:val="auto"/>
              </w:rPr>
            </w:pPr>
            <w:r>
              <w:rPr>
                <w:rFonts w:ascii="Arial" w:cs="Arial" w:eastAsia="Arial" w:hAnsi="Arial"/>
                <w:sz w:val="14"/>
                <w:szCs w:val="14"/>
                <w:color w:val="auto"/>
              </w:rPr>
              <w:t>Lytro, Inc.</w:t>
            </w:r>
            <w:r>
              <w:rPr>
                <w:rFonts w:ascii="Arial" w:cs="Arial" w:eastAsia="Arial" w:hAnsi="Arial"/>
                <w:sz w:val="18"/>
                <w:szCs w:val="18"/>
                <w:color w:val="auto"/>
                <w:vertAlign w:val="superscript"/>
              </w:rPr>
              <w:t>(5)</w:t>
            </w:r>
          </w:p>
        </w:tc>
        <w:tc>
          <w:tcPr>
            <w:tcW w:w="30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791,596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(9,711,762)</w:t>
            </w:r>
          </w:p>
        </w:tc>
        <w:tc>
          <w:tcPr>
            <w:tcW w:w="0" w:type="dxa"/>
            <w:vAlign w:val="bottom"/>
          </w:tcPr>
          <w:p>
            <w:pPr>
              <w:spacing w:after="0"/>
              <w:rPr>
                <w:sz w:val="1"/>
                <w:szCs w:val="1"/>
                <w:color w:val="auto"/>
              </w:rPr>
            </w:pPr>
          </w:p>
        </w:tc>
      </w:tr>
      <w:tr>
        <w:trPr>
          <w:trHeight w:val="232"/>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SugarCRM, Inc.</w:t>
            </w:r>
            <w:r>
              <w:rPr>
                <w:rFonts w:ascii="Arial" w:cs="Arial" w:eastAsia="Arial" w:hAnsi="Arial"/>
                <w:sz w:val="18"/>
                <w:szCs w:val="18"/>
                <w:color w:val="auto"/>
                <w:vertAlign w:val="superscript"/>
              </w:rPr>
              <w:t>(6)</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2,645,183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(4,332,777)</w:t>
            </w:r>
          </w:p>
        </w:tc>
        <w:tc>
          <w:tcPr>
            <w:tcW w:w="0" w:type="dxa"/>
            <w:vAlign w:val="bottom"/>
          </w:tcPr>
          <w:p>
            <w:pPr>
              <w:spacing w:after="0"/>
              <w:rPr>
                <w:sz w:val="1"/>
                <w:szCs w:val="1"/>
                <w:color w:val="auto"/>
              </w:rPr>
            </w:pPr>
          </w:p>
        </w:tc>
      </w:tr>
      <w:tr>
        <w:trPr>
          <w:trHeight w:val="232"/>
        </w:trPr>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DreamBox Learning, Inc.</w:t>
            </w:r>
            <w:r>
              <w:rPr>
                <w:rFonts w:ascii="Arial" w:cs="Arial" w:eastAsia="Arial" w:hAnsi="Arial"/>
                <w:sz w:val="18"/>
                <w:szCs w:val="18"/>
                <w:color w:val="auto"/>
                <w:vertAlign w:val="superscript"/>
              </w:rPr>
              <w:t>(7)</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5,176,630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2,916,251</w:t>
            </w:r>
          </w:p>
        </w:tc>
        <w:tc>
          <w:tcPr>
            <w:tcW w:w="0" w:type="dxa"/>
            <w:vAlign w:val="bottom"/>
          </w:tcPr>
          <w:p>
            <w:pPr>
              <w:spacing w:after="0"/>
              <w:rPr>
                <w:sz w:val="1"/>
                <w:szCs w:val="1"/>
                <w:color w:val="auto"/>
              </w:rPr>
            </w:pPr>
          </w:p>
        </w:tc>
      </w:tr>
      <w:tr>
        <w:trPr>
          <w:trHeight w:val="204"/>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32,395,839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(8,626,628)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-871855</wp:posOffset>
            </wp:positionV>
            <wp:extent cx="49320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2045" cy="7620"/>
                    </a:xfrm>
                    <a:prstGeom prst="rect">
                      <a:avLst/>
                    </a:prstGeom>
                    <a:noFill/>
                  </pic:spPr>
                </pic:pic>
              </a:graphicData>
            </a:graphic>
          </wp:anchor>
        </w:drawing>
      </w:r>
    </w:p>
    <w:p>
      <w:pPr>
        <w:ind w:left="427" w:hanging="427"/>
        <w:spacing w:after="0"/>
        <w:tabs>
          <w:tab w:leader="none" w:pos="4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Realized gain/(loss) does not include amounts held in escrow or any realized gain/(loss) incurred on the maturity of our U.S. Treasury investments.</w:t>
      </w:r>
    </w:p>
    <w:p>
      <w:pPr>
        <w:spacing w:after="0" w:line="1" w:lineRule="exact"/>
        <w:rPr>
          <w:rFonts w:ascii="Arial" w:cs="Arial" w:eastAsia="Arial" w:hAnsi="Arial"/>
          <w:sz w:val="14"/>
          <w:szCs w:val="14"/>
          <w:color w:val="auto"/>
        </w:rPr>
      </w:pPr>
    </w:p>
    <w:p>
      <w:pPr>
        <w:ind w:left="427" w:hanging="427"/>
        <w:spacing w:after="0"/>
        <w:tabs>
          <w:tab w:leader="none" w:pos="4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February 22, 2018, all remaining shares of Chegg, Inc. held by us had been sold.</w:t>
      </w:r>
    </w:p>
    <w:p>
      <w:pPr>
        <w:spacing w:after="0" w:line="1" w:lineRule="exact"/>
        <w:rPr>
          <w:rFonts w:ascii="Arial" w:cs="Arial" w:eastAsia="Arial" w:hAnsi="Arial"/>
          <w:sz w:val="14"/>
          <w:szCs w:val="14"/>
          <w:color w:val="auto"/>
        </w:rPr>
      </w:pPr>
    </w:p>
    <w:p>
      <w:pPr>
        <w:ind w:left="427" w:hanging="427"/>
        <w:spacing w:after="0"/>
        <w:tabs>
          <w:tab w:leader="none" w:pos="4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repayment of the 12% Unsecured Promissory Note Due 1/15/2018.</w:t>
      </w:r>
    </w:p>
    <w:p>
      <w:pPr>
        <w:spacing w:after="0" w:line="1" w:lineRule="exact"/>
        <w:rPr>
          <w:rFonts w:ascii="Arial" w:cs="Arial" w:eastAsia="Arial" w:hAnsi="Arial"/>
          <w:sz w:val="14"/>
          <w:szCs w:val="14"/>
          <w:color w:val="auto"/>
        </w:rPr>
      </w:pPr>
    </w:p>
    <w:p>
      <w:pPr>
        <w:jc w:val="both"/>
        <w:ind w:left="427" w:right="20" w:hanging="427"/>
        <w:spacing w:after="0" w:line="246" w:lineRule="auto"/>
        <w:tabs>
          <w:tab w:leader="none" w:pos="4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April 16, 2018, Adecco Group, a Swiss staffing company, announced that it was acquiring technology education provider General Assembly Space, Inc. for $412.5 million, including debt financing. We have received approximately $7.8 million in net proceeds as a result of the transaction, with approximately $1.5 million of additional proceeds held in escrow. We have received approximately $1.4 million in escrow proceeds in 2019 and expect to receive approximately $61,000 in additional escrow proceeds in 2020.</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267"/>
          </w:cols>
          <w:pgMar w:left="313" w:top="124" w:right="319" w:bottom="1440" w:gutter="0" w:footer="0" w:header="0"/>
        </w:sectPr>
      </w:pPr>
    </w:p>
    <w:bookmarkStart w:id="63" w:name="page64"/>
    <w:bookmarkEnd w:id="63"/>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4" w:lineRule="exact"/>
        <w:rPr>
          <w:sz w:val="20"/>
          <w:szCs w:val="20"/>
          <w:color w:val="auto"/>
        </w:rPr>
      </w:pPr>
    </w:p>
    <w:p>
      <w:pPr>
        <w:jc w:val="both"/>
        <w:ind w:left="427" w:hanging="427"/>
        <w:spacing w:after="0" w:line="267" w:lineRule="auto"/>
        <w:tabs>
          <w:tab w:leader="none" w:pos="427" w:val="left"/>
        </w:tabs>
        <w:numPr>
          <w:ilvl w:val="0"/>
          <w:numId w:val="35"/>
        </w:numPr>
        <w:rPr>
          <w:rFonts w:ascii="Arial" w:cs="Arial" w:eastAsia="Arial" w:hAnsi="Arial"/>
          <w:sz w:val="13"/>
          <w:szCs w:val="13"/>
          <w:color w:val="auto"/>
        </w:rPr>
      </w:pPr>
      <w:r>
        <w:rPr>
          <w:rFonts w:ascii="Arial" w:cs="Arial" w:eastAsia="Arial" w:hAnsi="Arial"/>
          <w:sz w:val="13"/>
          <w:szCs w:val="13"/>
          <w:color w:val="auto"/>
        </w:rPr>
        <w:t>On March 27, 2018, Lytro, Inc. announced that it was preparing to wind down the company over an unspecified period of time. Google LLC acquired Lytro, Inc.’s intellectual property and certain other assets. As a result of the transaction, we have received $0.8 million in net proceeds and expect to receive approximately $0.4 million in additional proceeds held in escrow. We have received approximately $170,000 in escrow proceeds in 2019 and expect to receive approximately $168,000 in additional escrow proceeds in 2020.</w:t>
      </w:r>
    </w:p>
    <w:p>
      <w:pPr>
        <w:ind w:left="427" w:right="20" w:hanging="427"/>
        <w:spacing w:after="0" w:line="242" w:lineRule="auto"/>
        <w:tabs>
          <w:tab w:leader="none" w:pos="4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June 14, 2018, SugarCRM, Inc. entered into an agreement to be purchased by AKKR Candy Holdings, Inc. As a result of the transaction, we have received $2.6 million in net proceeds and expect to receive approximately $0.3 million in additional proceeds held in escrow. We received all escrow proceeds as of December 31, 2019.</w:t>
      </w:r>
    </w:p>
    <w:p>
      <w:pPr>
        <w:jc w:val="both"/>
        <w:ind w:left="427" w:hanging="427"/>
        <w:spacing w:after="0" w:line="246" w:lineRule="auto"/>
        <w:tabs>
          <w:tab w:leader="none" w:pos="4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July 18, 2018, DreamBox Learning, Inc. entered into a definitive agreement to be acquired by a wholly owned subsidiary of DreamBox Learning Holding, LLC, an entity owned by The Rise Fund Deneb, LP. As a result of the transaction, we have received $5.2 million in proceeds and expect to receive approximately $0.3 million in additional proceeds held in escrow. We received all escrow proceeds as of December 31, 2019.</w:t>
      </w:r>
    </w:p>
    <w:p>
      <w:pPr>
        <w:spacing w:after="0" w:line="164" w:lineRule="exact"/>
        <w:rPr>
          <w:rFonts w:ascii="Arial" w:cs="Arial" w:eastAsia="Arial" w:hAnsi="Arial"/>
          <w:sz w:val="14"/>
          <w:szCs w:val="14"/>
          <w:color w:val="auto"/>
        </w:rPr>
      </w:pPr>
    </w:p>
    <w:p>
      <w:pPr>
        <w:ind w:left="427"/>
        <w:spacing w:after="0"/>
        <w:rPr>
          <w:rFonts w:ascii="Arial" w:cs="Arial" w:eastAsia="Arial" w:hAnsi="Arial"/>
          <w:sz w:val="14"/>
          <w:szCs w:val="14"/>
          <w:color w:val="auto"/>
        </w:rPr>
      </w:pPr>
      <w:r>
        <w:rPr>
          <w:rFonts w:ascii="Arial" w:cs="Arial" w:eastAsia="Arial" w:hAnsi="Arial"/>
          <w:sz w:val="15"/>
          <w:szCs w:val="15"/>
          <w:color w:val="auto"/>
        </w:rPr>
        <w:t>During the quarter and year ended December 31, 2018 we did not write-off any investments.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Portfolio and Investment Activity - 2017</w:t>
      </w:r>
    </w:p>
    <w:p>
      <w:pPr>
        <w:spacing w:after="0" w:line="199" w:lineRule="exact"/>
        <w:rPr>
          <w:sz w:val="20"/>
          <w:szCs w:val="20"/>
          <w:color w:val="auto"/>
        </w:rPr>
      </w:pPr>
    </w:p>
    <w:p>
      <w:pPr>
        <w:ind w:left="7" w:right="20" w:firstLine="302"/>
        <w:spacing w:after="0" w:line="291" w:lineRule="auto"/>
        <w:rPr>
          <w:sz w:val="20"/>
          <w:szCs w:val="20"/>
          <w:color w:val="auto"/>
        </w:rPr>
      </w:pPr>
      <w:r>
        <w:rPr>
          <w:rFonts w:ascii="Arial" w:cs="Arial" w:eastAsia="Arial" w:hAnsi="Arial"/>
          <w:sz w:val="15"/>
          <w:szCs w:val="15"/>
          <w:color w:val="auto"/>
        </w:rPr>
        <w:t>During quarter and year ended December 31, 2017, we did not purchase or close on any investments. We did, however, pay $2,080 in capitalized fees. The table below summarizes the portfolio investments we wrote-off and sold during the year ended December 31, 2017:</w:t>
      </w:r>
    </w:p>
    <w:p>
      <w:pPr>
        <w:spacing w:after="0" w:line="7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2"/>
                <w:szCs w:val="12"/>
                <w:b w:val="1"/>
                <w:bCs w:val="1"/>
                <w:color w:val="auto"/>
              </w:rPr>
              <w:t>Net Proceeds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right"/>
              <w:ind w:right="551"/>
              <w:spacing w:after="0"/>
              <w:rPr>
                <w:sz w:val="20"/>
                <w:szCs w:val="20"/>
                <w:color w:val="auto"/>
              </w:rPr>
            </w:pPr>
            <w:r>
              <w:rPr>
                <w:rFonts w:ascii="Arial" w:cs="Arial" w:eastAsia="Arial" w:hAnsi="Arial"/>
                <w:sz w:val="12"/>
                <w:szCs w:val="12"/>
                <w:b w:val="1"/>
                <w:bCs w:val="1"/>
                <w:color w:val="auto"/>
              </w:rPr>
              <w:t>Realized</w:t>
            </w:r>
          </w:p>
        </w:tc>
        <w:tc>
          <w:tcPr>
            <w:tcW w:w="0" w:type="dxa"/>
            <w:vAlign w:val="bottom"/>
          </w:tcPr>
          <w:p>
            <w:pPr>
              <w:spacing w:after="0"/>
              <w:rPr>
                <w:sz w:val="1"/>
                <w:szCs w:val="1"/>
                <w:color w:val="auto"/>
              </w:rPr>
            </w:pPr>
          </w:p>
        </w:tc>
      </w:tr>
      <w:tr>
        <w:trPr>
          <w:trHeight w:val="165"/>
        </w:trPr>
        <w:tc>
          <w:tcPr>
            <w:tcW w:w="7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rPr>
              <w:t>Gain/(Loss)</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AliphCom, Inc. (d/b/a Jawbone)</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(793,152)</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AlwaysOn, Inc.</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(1,903,414)</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Beamreach Solar, Inc. (f/k/a Solexel, Inc.)</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(14,272,840)</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Cricket Media (f/k/a ePals Corporation)</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(2,448,959)</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EarlyShares.com, Inc.</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(312,438)</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Orchestra One, Inc. (f/k/a Learnist, Inc.)</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(4,959,614)</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Global Education Learning (Holdings) Ltd.</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(675,495)</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Snap, Inc.</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4,033,360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31,090</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JAMF Holdings, Inc.</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34,931,287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25,474,575</w:t>
            </w:r>
          </w:p>
        </w:tc>
        <w:tc>
          <w:tcPr>
            <w:tcW w:w="0" w:type="dxa"/>
            <w:vAlign w:val="bottom"/>
          </w:tcPr>
          <w:p>
            <w:pPr>
              <w:spacing w:after="0"/>
              <w:rPr>
                <w:sz w:val="1"/>
                <w:szCs w:val="1"/>
                <w:color w:val="auto"/>
              </w:rPr>
            </w:pPr>
          </w:p>
        </w:tc>
      </w:tr>
      <w:tr>
        <w:trPr>
          <w:trHeight w:val="232"/>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Spotify Technology S.A.</w:t>
            </w:r>
            <w:r>
              <w:rPr>
                <w:rFonts w:ascii="Arial" w:cs="Arial" w:eastAsia="Arial" w:hAnsi="Arial"/>
                <w:sz w:val="18"/>
                <w:szCs w:val="18"/>
                <w:color w:val="auto"/>
                <w:vertAlign w:val="superscript"/>
              </w:rPr>
              <w:t>(3)</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13,896,600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10,299,111</w:t>
            </w:r>
          </w:p>
        </w:tc>
        <w:tc>
          <w:tcPr>
            <w:tcW w:w="0" w:type="dxa"/>
            <w:vAlign w:val="bottom"/>
          </w:tcPr>
          <w:p>
            <w:pPr>
              <w:spacing w:after="0"/>
              <w:rPr>
                <w:sz w:val="1"/>
                <w:szCs w:val="1"/>
                <w:color w:val="auto"/>
              </w:rPr>
            </w:pPr>
          </w:p>
        </w:tc>
      </w:tr>
      <w:tr>
        <w:trPr>
          <w:trHeight w:val="212"/>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Dataminr, Inc.</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4,803,384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1,635,673</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Whittle Schools, LLC</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4,575,000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(181,045)</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Chegg, Inc.</w:t>
            </w:r>
            <w:r>
              <w:rPr>
                <w:rFonts w:ascii="Arial" w:cs="Arial" w:eastAsia="Arial" w:hAnsi="Arial"/>
                <w:sz w:val="18"/>
                <w:szCs w:val="18"/>
                <w:color w:val="auto"/>
                <w:vertAlign w:val="superscript"/>
              </w:rPr>
              <w:t>(3)</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10,246,005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2,231,611</w:t>
            </w:r>
          </w:p>
        </w:tc>
        <w:tc>
          <w:tcPr>
            <w:tcW w:w="0" w:type="dxa"/>
            <w:vAlign w:val="bottom"/>
          </w:tcPr>
          <w:p>
            <w:pPr>
              <w:spacing w:after="0"/>
              <w:rPr>
                <w:sz w:val="1"/>
                <w:szCs w:val="1"/>
                <w:color w:val="auto"/>
              </w:rPr>
            </w:pPr>
          </w:p>
        </w:tc>
      </w:tr>
      <w:tr>
        <w:trPr>
          <w:trHeight w:val="232"/>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Strategic Data Command, LLC</w:t>
            </w:r>
            <w:r>
              <w:rPr>
                <w:rFonts w:ascii="Arial" w:cs="Arial" w:eastAsia="Arial" w:hAnsi="Arial"/>
                <w:sz w:val="18"/>
                <w:szCs w:val="18"/>
                <w:color w:val="auto"/>
                <w:vertAlign w:val="superscript"/>
              </w:rPr>
              <w:t>(2)</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2,454,652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1,524,374</w:t>
            </w:r>
          </w:p>
        </w:tc>
        <w:tc>
          <w:tcPr>
            <w:tcW w:w="0" w:type="dxa"/>
            <w:vAlign w:val="bottom"/>
          </w:tcPr>
          <w:p>
            <w:pPr>
              <w:spacing w:after="0"/>
              <w:rPr>
                <w:sz w:val="1"/>
                <w:szCs w:val="1"/>
                <w:color w:val="auto"/>
              </w:rPr>
            </w:pPr>
          </w:p>
        </w:tc>
      </w:tr>
      <w:tr>
        <w:trPr>
          <w:trHeight w:val="232"/>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Palantir Technologies, Inc.</w:t>
            </w:r>
            <w:r>
              <w:rPr>
                <w:rFonts w:ascii="Arial" w:cs="Arial" w:eastAsia="Arial" w:hAnsi="Arial"/>
                <w:sz w:val="18"/>
                <w:szCs w:val="18"/>
                <w:color w:val="auto"/>
                <w:vertAlign w:val="superscript"/>
              </w:rPr>
              <w:t>(3)</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2,091,501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1,078,692</w:t>
            </w:r>
          </w:p>
        </w:tc>
        <w:tc>
          <w:tcPr>
            <w:tcW w:w="0" w:type="dxa"/>
            <w:vAlign w:val="bottom"/>
          </w:tcPr>
          <w:p>
            <w:pPr>
              <w:spacing w:after="0"/>
              <w:rPr>
                <w:sz w:val="1"/>
                <w:szCs w:val="1"/>
                <w:color w:val="auto"/>
              </w:rPr>
            </w:pPr>
          </w:p>
        </w:tc>
      </w:tr>
      <w:tr>
        <w:trPr>
          <w:trHeight w:val="205"/>
        </w:trPr>
        <w:tc>
          <w:tcPr>
            <w:tcW w:w="8000" w:type="dxa"/>
            <w:vAlign w:val="bottom"/>
            <w:gridSpan w:val="2"/>
          </w:tcPr>
          <w:p>
            <w:pPr>
              <w:ind w:left="20"/>
              <w:spacing w:after="0"/>
              <w:rPr>
                <w:sz w:val="20"/>
                <w:szCs w:val="20"/>
                <w:color w:val="auto"/>
              </w:rPr>
            </w:pPr>
            <w:r>
              <w:rPr>
                <w:rFonts w:ascii="Arial" w:cs="Arial" w:eastAsia="Arial" w:hAnsi="Arial"/>
                <w:sz w:val="14"/>
                <w:szCs w:val="14"/>
                <w:color w:val="auto"/>
              </w:rPr>
              <w:t>Circle Media (f/k/a S3 Digital Corp. (d/b/a S3i)</w:t>
            </w:r>
          </w:p>
        </w:tc>
        <w:tc>
          <w:tcPr>
            <w:tcW w:w="2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(1,839,914)</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Handle Financial, Inc. (f/k/a PayNearMe, Inc.)</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(14,000,398)</w:t>
            </w:r>
          </w:p>
        </w:tc>
        <w:tc>
          <w:tcPr>
            <w:tcW w:w="0" w:type="dxa"/>
            <w:vAlign w:val="bottom"/>
          </w:tcPr>
          <w:p>
            <w:pPr>
              <w:spacing w:after="0"/>
              <w:rPr>
                <w:sz w:val="1"/>
                <w:szCs w:val="1"/>
                <w:color w:val="auto"/>
              </w:rPr>
            </w:pPr>
          </w:p>
        </w:tc>
      </w:tr>
      <w:tr>
        <w:trPr>
          <w:trHeight w:val="204"/>
        </w:trPr>
        <w:tc>
          <w:tcPr>
            <w:tcW w:w="7880" w:type="dxa"/>
            <w:vAlign w:val="bottom"/>
            <w:tcBorders>
              <w:top w:val="single" w:sz="8" w:color="CCEEFF"/>
            </w:tcBorders>
          </w:tcPr>
          <w:p>
            <w:pPr>
              <w:ind w:left="140"/>
              <w:spacing w:after="0"/>
              <w:rPr>
                <w:sz w:val="20"/>
                <w:szCs w:val="20"/>
                <w:color w:val="auto"/>
              </w:rPr>
            </w:pPr>
            <w:r>
              <w:rPr>
                <w:rFonts w:ascii="Arial" w:cs="Arial" w:eastAsia="Arial" w:hAnsi="Arial"/>
                <w:sz w:val="14"/>
                <w:szCs w:val="14"/>
                <w:color w:val="auto"/>
              </w:rPr>
              <w:t>Total Disposals</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77,031,789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887,857</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7" w:hanging="287"/>
        <w:spacing w:after="0"/>
        <w:tabs>
          <w:tab w:leader="none" w:pos="2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Realized gain/(loss) does not include any realized gain/(loss) incurred on the maturity of our U.S. Treasury investments.</w:t>
      </w:r>
    </w:p>
    <w:p>
      <w:pPr>
        <w:spacing w:after="0" w:line="5" w:lineRule="exact"/>
        <w:rPr>
          <w:rFonts w:ascii="Arial" w:cs="Arial" w:eastAsia="Arial" w:hAnsi="Arial"/>
          <w:sz w:val="14"/>
          <w:szCs w:val="14"/>
          <w:color w:val="auto"/>
        </w:rPr>
      </w:pPr>
    </w:p>
    <w:p>
      <w:pPr>
        <w:ind w:left="287" w:right="20" w:hanging="287"/>
        <w:spacing w:after="0" w:line="259" w:lineRule="auto"/>
        <w:tabs>
          <w:tab w:leader="none" w:pos="2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proceeds do not include amounts that were held in escrow. Refer to “Note 2</w:t>
      </w:r>
      <w:r>
        <w:rPr>
          <w:rFonts w:ascii="Arial" w:cs="Arial" w:eastAsia="Arial" w:hAnsi="Arial"/>
          <w:sz w:val="15"/>
          <w:szCs w:val="15"/>
          <w:color w:val="auto"/>
        </w:rPr>
        <w:t>—</w:t>
      </w:r>
      <w:r>
        <w:rPr>
          <w:rFonts w:ascii="Arial" w:cs="Arial" w:eastAsia="Arial" w:hAnsi="Arial"/>
          <w:sz w:val="14"/>
          <w:szCs w:val="14"/>
          <w:color w:val="auto"/>
        </w:rPr>
        <w:t>Significant Accounting Policies</w:t>
      </w:r>
      <w:r>
        <w:rPr>
          <w:rFonts w:ascii="Arial" w:cs="Arial" w:eastAsia="Arial" w:hAnsi="Arial"/>
          <w:sz w:val="15"/>
          <w:szCs w:val="15"/>
          <w:color w:val="auto"/>
        </w:rPr>
        <w:t>—</w:t>
      </w:r>
      <w:r>
        <w:rPr>
          <w:rFonts w:ascii="Arial" w:cs="Arial" w:eastAsia="Arial" w:hAnsi="Arial"/>
          <w:sz w:val="14"/>
          <w:szCs w:val="14"/>
          <w:color w:val="auto"/>
        </w:rPr>
        <w:t>Escrow Proceeds Receivable” to our consolidated financial statements as of December 31, 2018 for further detail.</w:t>
      </w:r>
    </w:p>
    <w:p>
      <w:pPr>
        <w:ind w:left="287" w:hanging="287"/>
        <w:spacing w:after="0"/>
        <w:tabs>
          <w:tab w:leader="none" w:pos="28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only a partial sale of our investment in the denoted portfolio companies.</w:t>
      </w:r>
    </w:p>
    <w:p>
      <w:pPr>
        <w:spacing w:after="0" w:line="200" w:lineRule="exact"/>
        <w:rPr>
          <w:sz w:val="20"/>
          <w:szCs w:val="20"/>
          <w:color w:val="auto"/>
        </w:rPr>
      </w:pPr>
    </w:p>
    <w:p>
      <w:pPr>
        <w:spacing w:after="0" w:line="3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267"/>
          </w:cols>
          <w:pgMar w:left="313" w:top="124" w:right="319" w:bottom="1440" w:gutter="0" w:footer="0" w:header="0"/>
        </w:sectPr>
      </w:pPr>
    </w:p>
    <w:bookmarkStart w:id="64" w:name="page65"/>
    <w:bookmarkEnd w:id="6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Results of Operations - </w:t>
      </w:r>
      <w:r>
        <w:rPr>
          <w:rFonts w:ascii="Arial" w:cs="Arial" w:eastAsia="Arial" w:hAnsi="Arial"/>
          <w:sz w:val="15"/>
          <w:szCs w:val="15"/>
          <w:b w:val="1"/>
          <w:bCs w:val="1"/>
          <w:i w:val="1"/>
          <w:iCs w:val="1"/>
          <w:color w:val="auto"/>
        </w:rPr>
        <w:t>Comparison of the years ended December 31, 2019</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2018, and 2017</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Operating results for the years ended December 31, 2019, 2018, and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8"/>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6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70"/>
              <w:spacing w:after="0"/>
              <w:rPr>
                <w:sz w:val="20"/>
                <w:szCs w:val="20"/>
                <w:color w:val="auto"/>
              </w:rPr>
            </w:pPr>
            <w:r>
              <w:rPr>
                <w:rFonts w:ascii="Arial" w:cs="Arial" w:eastAsia="Arial" w:hAnsi="Arial"/>
                <w:sz w:val="14"/>
                <w:szCs w:val="14"/>
                <w:b w:val="1"/>
                <w:bCs w:val="1"/>
                <w:color w:val="auto"/>
              </w:rPr>
              <w:t>2017</w:t>
            </w:r>
          </w:p>
        </w:tc>
      </w:tr>
      <w:tr>
        <w:trPr>
          <w:trHeight w:val="28"/>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Investment Income</w:t>
            </w:r>
          </w:p>
        </w:tc>
        <w:tc>
          <w:tcPr>
            <w:tcW w:w="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1,495,724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1,617,836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852,768</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995,724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992,836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304,672</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 income</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625,000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475,000</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73,096</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Expenses</w:t>
            </w:r>
          </w:p>
        </w:tc>
        <w:tc>
          <w:tcPr>
            <w:tcW w:w="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10,946,792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9,252,413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21,731,583</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Incentive fee waiver</w:t>
            </w:r>
          </w:p>
        </w:tc>
        <w:tc>
          <w:tcPr>
            <w:tcW w:w="3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Management fee waiver</w:t>
            </w:r>
          </w:p>
        </w:tc>
        <w:tc>
          <w:tcPr>
            <w:tcW w:w="3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(892,421)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(708,272)</w:t>
            </w:r>
          </w:p>
        </w:tc>
      </w:tr>
      <w:tr>
        <w:trPr>
          <w:trHeight w:val="205"/>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Gross Operating Expenses</w:t>
            </w: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4"/>
                <w:szCs w:val="14"/>
                <w:b w:val="1"/>
                <w:bCs w:val="1"/>
                <w:color w:val="auto"/>
              </w:rPr>
              <w:t>10,946,792</w:t>
            </w:r>
          </w:p>
        </w:tc>
        <w:tc>
          <w:tcPr>
            <w:tcW w:w="120" w:type="dxa"/>
            <w:vAlign w:val="bottom"/>
          </w:tcPr>
          <w:p>
            <w:pPr>
              <w:spacing w:after="0"/>
              <w:rPr>
                <w:sz w:val="17"/>
                <w:szCs w:val="17"/>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15,144,834</w:t>
            </w:r>
          </w:p>
        </w:tc>
        <w:tc>
          <w:tcPr>
            <w:tcW w:w="100" w:type="dxa"/>
            <w:vAlign w:val="bottom"/>
          </w:tcPr>
          <w:p>
            <w:pPr>
              <w:spacing w:after="0"/>
              <w:rPr>
                <w:sz w:val="17"/>
                <w:szCs w:val="17"/>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b w:val="1"/>
                <w:bCs w:val="1"/>
                <w:color w:val="auto"/>
              </w:rPr>
              <w:t>22,439,855</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Management fees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848,723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5,199,900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5,666,176</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Incentive fees/(Reversal of incentive fee accrual)</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(4,660,472)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382,387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7,151,641</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Costs incurred under Administration Agreement</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306,084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1,702,047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1,874,839</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Directors’ fees</w:t>
            </w:r>
          </w:p>
        </w:tc>
        <w:tc>
          <w:tcPr>
            <w:tcW w:w="38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383,370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345,000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328,480</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5,290,329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1,587,578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2,068,668</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38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4,286,972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2,372,570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4,545,471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4,696,819</w:t>
            </w:r>
          </w:p>
        </w:tc>
      </w:tr>
      <w:tr>
        <w:trPr>
          <w:trHeight w:val="205"/>
        </w:trPr>
        <w:tc>
          <w:tcPr>
            <w:tcW w:w="630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38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33,825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482,994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52,901</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expenses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2,085,391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899,457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600,331</w:t>
            </w:r>
          </w:p>
        </w:tc>
      </w:tr>
      <w:tr>
        <w:trPr>
          <w:trHeight w:val="205"/>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Net Investment Loss</w:t>
            </w: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(9,451,068)</w:t>
            </w:r>
          </w:p>
        </w:tc>
        <w:tc>
          <w:tcPr>
            <w:tcW w:w="120" w:type="dxa"/>
            <w:vAlign w:val="bottom"/>
          </w:tcPr>
          <w:p>
            <w:pPr>
              <w:spacing w:after="0"/>
              <w:rPr>
                <w:sz w:val="17"/>
                <w:szCs w:val="17"/>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(7,634,577)</w:t>
            </w:r>
          </w:p>
        </w:tc>
        <w:tc>
          <w:tcPr>
            <w:tcW w:w="100" w:type="dxa"/>
            <w:vAlign w:val="bottom"/>
          </w:tcPr>
          <w:p>
            <w:pPr>
              <w:spacing w:after="0"/>
              <w:rPr>
                <w:sz w:val="17"/>
                <w:szCs w:val="17"/>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(20,878,815)</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realized gain/(loss) on investments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19,179,340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(7,433,619)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913,982</w:t>
            </w:r>
          </w:p>
        </w:tc>
      </w:tr>
      <w:tr>
        <w:trPr>
          <w:trHeight w:val="205"/>
        </w:trPr>
        <w:tc>
          <w:tcPr>
            <w:tcW w:w="6300" w:type="dxa"/>
            <w:vAlign w:val="bottom"/>
          </w:tcPr>
          <w:p>
            <w:pPr>
              <w:ind w:left="80"/>
              <w:spacing w:after="0"/>
              <w:rPr>
                <w:sz w:val="20"/>
                <w:szCs w:val="20"/>
                <w:color w:val="auto"/>
              </w:rPr>
            </w:pPr>
            <w:r>
              <w:rPr>
                <w:rFonts w:ascii="Arial" w:cs="Arial" w:eastAsia="Arial" w:hAnsi="Arial"/>
                <w:sz w:val="14"/>
                <w:szCs w:val="14"/>
                <w:color w:val="auto"/>
              </w:rPr>
              <w:t>Realized loss on partial repurchase of 5.25% Convertible Senior Notes due 2018</w:t>
            </w:r>
          </w:p>
        </w:tc>
        <w:tc>
          <w:tcPr>
            <w:tcW w:w="3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(397,846)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change in unrealized appreciation/(depreciation) of investments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13,339,859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9,641,050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34,775,696</w:t>
            </w:r>
          </w:p>
        </w:tc>
      </w:tr>
      <w:tr>
        <w:trPr>
          <w:trHeight w:val="205"/>
        </w:trPr>
        <w:tc>
          <w:tcPr>
            <w:tcW w:w="6300" w:type="dxa"/>
            <w:vAlign w:val="bottom"/>
          </w:tcPr>
          <w:p>
            <w:pPr>
              <w:ind w:left="80"/>
              <w:spacing w:after="0"/>
              <w:rPr>
                <w:sz w:val="20"/>
                <w:szCs w:val="20"/>
                <w:color w:val="auto"/>
              </w:rPr>
            </w:pPr>
            <w:r>
              <w:rPr>
                <w:rFonts w:ascii="Arial" w:cs="Arial" w:eastAsia="Arial" w:hAnsi="Arial"/>
                <w:sz w:val="14"/>
                <w:szCs w:val="14"/>
                <w:color w:val="auto"/>
              </w:rPr>
              <w:t>Benefit from taxes on unrealized depreciation of investments</w:t>
            </w:r>
          </w:p>
        </w:tc>
        <w:tc>
          <w:tcPr>
            <w:tcW w:w="380" w:type="dxa"/>
            <w:vAlign w:val="bottom"/>
          </w:tcPr>
          <w:p>
            <w:pPr>
              <w:spacing w:after="0"/>
              <w:rPr>
                <w:sz w:val="17"/>
                <w:szCs w:val="17"/>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885,566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6,716,735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2,757,070</w:t>
            </w:r>
          </w:p>
        </w:tc>
      </w:tr>
      <w:tr>
        <w:trPr>
          <w:trHeight w:val="28"/>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5"/>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23,953,697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891,743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17,567,933</w:t>
            </w:r>
          </w:p>
        </w:tc>
      </w:tr>
      <w:tr>
        <w:trPr>
          <w:trHeight w:val="28"/>
        </w:trPr>
        <w:tc>
          <w:tcPr>
            <w:tcW w:w="6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-3390900</wp:posOffset>
            </wp:positionV>
            <wp:extent cx="40106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10660" cy="762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Income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2019 as compared to the year ended December 31, 2018</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Investment income decreased to $1,495,724 for the year ended December 31, 2019 from $1,617,836 for the year ended December 31, 2018. The decrease was due to decreased dividend income received from SPBRX, Inc. (f/k/a GSV Sustainability Partners, Inc.) during the year ended December 31, 2019, relative to the year ended December 31, 2018. The decrease was offset by dividends received from Treehouse Real Estate Investment Trust, Inc. earned in the year ended December 31, 2019.</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2018 as compared to the year ended December 31, 2017</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Investment income increased to $1,617,836 for the year ended December 31, 2018 from $852,768 for the year ended December 31, 2017. The increase was primarily due to increased interest income related to our debt investments in Ozy Media, Inc., NestGSV, Inc. (d.b.a. GSV Labs, Inc.), and CUX, Inc. (d/b/a CorpU) and interest on cash balances not earned in the prior year. Dividend income also increased during the year as the total dividends received from SPBRX, Inc. (f/k/a GSV Sustainability Partners, Inc.) increased from $475,000 in 2017 to $625,000 in 2018.</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60"/>
          </w:cols>
          <w:pgMar w:left="320" w:top="124" w:right="319" w:bottom="1440" w:gutter="0" w:footer="0" w:header="0"/>
        </w:sectPr>
      </w:pPr>
    </w:p>
    <w:bookmarkStart w:id="65" w:name="page66"/>
    <w:bookmarkEnd w:id="6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2019 as compared to the year ended December 31, 2018</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Total operating expenses, net of waiver of management and incentive fees, increased to $10,946,792 for the year ended December 31, 2019, from $9,252,413 for the year ended December 31, 2018. The increase was primarily due to an increase in legal and audit fees, and the addition of temporary licensing fees and consulting fees, and compensation expense incurred in relation to our Internalization during the year ended December 31, 2019, relative to the year ended December 31, 2018. The increase was primarily offset by the removal of management fees, removal of previously accrued incentive fees, and removal of costs incurred under Administration Agreement in relation to Internalization in the year ended December 31, 2019. The increase was partially offset by a decrease in interest expense due to the extinguishment of the Convertible Senior Notes due September 15, 2018, as compared to the year ended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2018 as compared to the year ended December 31, 2017</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Total operating expenses, net of waiver of management and incentive fees, decreased to $9,252,413 for the year ended December 31, 2018, from $21,731,583 for the year ended December 31, 2017. The decrease was primarily due to a decrease in the accrued incentive fees, enhanced by the one-time incentive fee accrual forfeiture of $5.0 million per the Waiver Agreement and, to a lesser extent, an increase in GSV Asset Management’s management fee waiver and costs incurred under Administration Agreement. The increase in GSV Asset Management’s management fee waiver under the Waiver Agreement during the year ended December 31, 2018 resulted primarily from the exclusion of our cash balance from the calculation of the base management fee. The decrease in total operating expenses between periods was also, to a lesser extent, the result of a decrease in professional fees, which include legal, valuation, audit, and consulting fees.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Investment Loss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2019 as compared to the year ended December 31, 2018</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For the year ended December 31, 2019, we recognized net investment loss of $9,451,068, compared to net investment loss of $7,634,577 for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The change between periods resulted from the increase in operating expenses, as discussed above, and a decrease in total investment income between periods.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2018 as compared to the year ended December 31, 2017</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For the year ended December 31, 2018, we recognized a net investment loss of $7,634,577, compared to a net investment loss of $20,878,815 for the year ended December 31, 2017. The decrease in net investment loss resulted primarily from the decrease in operating expenses, net of waiver of management fees and one-time incentive fee accrual forfeiture, as discussed above, and an increase in total investment income between 2018 and 2017, also discussed above.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Realized Gain on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2019 as compared to the year ended December 31, 2018</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For the year ended December 31, 2019, we recognized net realized gain on our investments of $19,179,340, compared to net realized loss of $7,433,619 for the year ended December 31, 2018. The components of our net realized gains/losses on portfolio investments for the year ended December 31, 2019 and 2018, excluding U.S. Treasury investments, are reflected in the tables above, under “—Portfolio and Investment Activity.”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 the year ended December 31, 2018 as compared to the year ended December 31, 2017</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For the year ended December 31, 2018, we recognized a net realized loss of $7,433,619 on our investments, compared to a net realized gain of $913,982 for the year ended December 31, 2017. The components of our net realized gains and losses on portfolio investments for the year ended December 31, 2018 and 2017, excluding U.S. Treasury investments, are reflected in the tables above, under “—Portfolio and Investment Activity.”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260"/>
          </w:cols>
          <w:pgMar w:left="320" w:top="124" w:right="319" w:bottom="1440" w:gutter="0" w:footer="0" w:header="0"/>
        </w:sectPr>
      </w:pPr>
    </w:p>
    <w:bookmarkStart w:id="66" w:name="page67"/>
    <w:bookmarkEnd w:id="66"/>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Net Change in Unrealized Appreciation/(Depreciation) of Investments</w:t>
      </w:r>
    </w:p>
    <w:p>
      <w:pPr>
        <w:spacing w:after="0" w:line="199" w:lineRule="exact"/>
        <w:rPr>
          <w:sz w:val="20"/>
          <w:szCs w:val="20"/>
          <w:color w:val="auto"/>
        </w:rPr>
      </w:pPr>
    </w:p>
    <w:p>
      <w:pPr>
        <w:jc w:val="both"/>
        <w:ind w:left="7" w:firstLine="279"/>
        <w:spacing w:after="0" w:line="269" w:lineRule="auto"/>
        <w:rPr>
          <w:sz w:val="20"/>
          <w:szCs w:val="20"/>
          <w:color w:val="auto"/>
        </w:rPr>
      </w:pPr>
      <w:r>
        <w:rPr>
          <w:rFonts w:ascii="Arial" w:cs="Arial" w:eastAsia="Arial" w:hAnsi="Arial"/>
          <w:sz w:val="15"/>
          <w:szCs w:val="15"/>
          <w:color w:val="auto"/>
        </w:rPr>
        <w:t>For the year ended December 31, 2019, we had a net change in unrealized appreciation/depreciation of $13,339,859. For the year ended December 31, 2018, we had a net change in unrealized appreciation/depreciation of $9,641,050. For the year ended December 31, 2017, we had a net change in unrealized appreciation of $34,775,696. The following tables summarize, by portfolio company, the significant changes in unrealized appreciation and/or depreciation of our investment portfolio for the years ended December 31, 2019, 2018, and 2017.</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right"/>
              <w:ind w:right="431"/>
              <w:spacing w:after="0"/>
              <w:rPr>
                <w:sz w:val="20"/>
                <w:szCs w:val="20"/>
                <w:color w:val="auto"/>
              </w:rPr>
            </w:pPr>
            <w:r>
              <w:rPr>
                <w:rFonts w:ascii="Arial" w:cs="Arial" w:eastAsia="Arial" w:hAnsi="Arial"/>
                <w:sz w:val="12"/>
                <w:szCs w:val="12"/>
                <w:b w:val="1"/>
                <w:bCs w:val="1"/>
                <w:color w:val="auto"/>
              </w:rPr>
              <w:t>Net Change in Unrealized</w:t>
            </w:r>
          </w:p>
        </w:tc>
        <w:tc>
          <w:tcPr>
            <w:tcW w:w="0" w:type="dxa"/>
            <w:vAlign w:val="bottom"/>
          </w:tcPr>
          <w:p>
            <w:pPr>
              <w:spacing w:after="0"/>
              <w:rPr>
                <w:sz w:val="1"/>
                <w:szCs w:val="1"/>
                <w:color w:val="auto"/>
              </w:rPr>
            </w:pPr>
          </w:p>
        </w:tc>
      </w:tr>
      <w:tr>
        <w:trPr>
          <w:trHeight w:val="128"/>
        </w:trPr>
        <w:tc>
          <w:tcPr>
            <w:tcW w:w="8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vMerge w:val="restart"/>
          </w:tcPr>
          <w:p>
            <w:pPr>
              <w:spacing w:after="0"/>
              <w:rPr>
                <w:sz w:val="11"/>
                <w:szCs w:val="11"/>
                <w:color w:val="auto"/>
              </w:rPr>
            </w:pPr>
          </w:p>
        </w:tc>
        <w:tc>
          <w:tcPr>
            <w:tcW w:w="2360" w:type="dxa"/>
            <w:vAlign w:val="bottom"/>
            <w:gridSpan w:val="2"/>
          </w:tcPr>
          <w:p>
            <w:pPr>
              <w:jc w:val="right"/>
              <w:ind w:right="31"/>
              <w:spacing w:after="0" w:line="128" w:lineRule="exact"/>
              <w:rPr>
                <w:sz w:val="20"/>
                <w:szCs w:val="20"/>
                <w:color w:val="auto"/>
              </w:rPr>
            </w:pPr>
            <w:r>
              <w:rPr>
                <w:rFonts w:ascii="Arial" w:cs="Arial" w:eastAsia="Arial" w:hAnsi="Arial"/>
                <w:sz w:val="12"/>
                <w:szCs w:val="12"/>
                <w:b w:val="1"/>
                <w:bCs w:val="1"/>
                <w:color w:val="auto"/>
                <w:w w:val="97"/>
              </w:rPr>
              <w:t>Appreciation/(Depreciation) For the Year</w:t>
            </w:r>
          </w:p>
        </w:tc>
        <w:tc>
          <w:tcPr>
            <w:tcW w:w="0" w:type="dxa"/>
            <w:vAlign w:val="bottom"/>
          </w:tcPr>
          <w:p>
            <w:pPr>
              <w:spacing w:after="0"/>
              <w:rPr>
                <w:sz w:val="1"/>
                <w:szCs w:val="1"/>
                <w:color w:val="auto"/>
              </w:rPr>
            </w:pPr>
          </w:p>
        </w:tc>
      </w:tr>
      <w:tr>
        <w:trPr>
          <w:trHeight w:val="165"/>
        </w:trPr>
        <w:tc>
          <w:tcPr>
            <w:tcW w:w="8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b w:val="1"/>
                <w:bCs w:val="1"/>
                <w:color w:val="auto"/>
              </w:rPr>
              <w:t>Ended December 31, 2019</w:t>
            </w: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Declara, Inc.</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w:t>
            </w:r>
          </w:p>
        </w:tc>
        <w:tc>
          <w:tcPr>
            <w:tcW w:w="20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12,334,151</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Ozy Media, Inc.</w:t>
            </w:r>
          </w:p>
        </w:tc>
        <w:tc>
          <w:tcPr>
            <w:tcW w:w="300" w:type="dxa"/>
            <w:vAlign w:val="bottom"/>
          </w:tcPr>
          <w:p>
            <w:pPr>
              <w:spacing w:after="0"/>
              <w:rPr>
                <w:sz w:val="17"/>
                <w:szCs w:val="17"/>
                <w:color w:val="auto"/>
              </w:rPr>
            </w:pPr>
          </w:p>
        </w:tc>
        <w:tc>
          <w:tcPr>
            <w:tcW w:w="2060" w:type="dxa"/>
            <w:vAlign w:val="bottom"/>
          </w:tcPr>
          <w:p>
            <w:pPr>
              <w:jc w:val="right"/>
              <w:ind w:right="31"/>
              <w:spacing w:after="0"/>
              <w:rPr>
                <w:sz w:val="20"/>
                <w:szCs w:val="20"/>
                <w:color w:val="auto"/>
              </w:rPr>
            </w:pPr>
            <w:r>
              <w:rPr>
                <w:rFonts w:ascii="Arial" w:cs="Arial" w:eastAsia="Arial" w:hAnsi="Arial"/>
                <w:sz w:val="14"/>
                <w:szCs w:val="14"/>
                <w:color w:val="auto"/>
              </w:rPr>
              <w:t>12,218,812</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Course Hero, Inc.</w:t>
            </w:r>
          </w:p>
        </w:tc>
        <w:tc>
          <w:tcPr>
            <w:tcW w:w="3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11,567,394</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Coursera, Inc.</w:t>
            </w:r>
          </w:p>
        </w:tc>
        <w:tc>
          <w:tcPr>
            <w:tcW w:w="300" w:type="dxa"/>
            <w:vAlign w:val="bottom"/>
          </w:tcPr>
          <w:p>
            <w:pPr>
              <w:spacing w:after="0"/>
              <w:rPr>
                <w:sz w:val="17"/>
                <w:szCs w:val="17"/>
                <w:color w:val="auto"/>
              </w:rPr>
            </w:pPr>
          </w:p>
        </w:tc>
        <w:tc>
          <w:tcPr>
            <w:tcW w:w="2060" w:type="dxa"/>
            <w:vAlign w:val="bottom"/>
          </w:tcPr>
          <w:p>
            <w:pPr>
              <w:jc w:val="right"/>
              <w:ind w:right="31"/>
              <w:spacing w:after="0"/>
              <w:rPr>
                <w:sz w:val="20"/>
                <w:szCs w:val="20"/>
                <w:color w:val="auto"/>
              </w:rPr>
            </w:pPr>
            <w:r>
              <w:rPr>
                <w:rFonts w:ascii="Arial" w:cs="Arial" w:eastAsia="Arial" w:hAnsi="Arial"/>
                <w:sz w:val="14"/>
                <w:szCs w:val="14"/>
                <w:color w:val="auto"/>
              </w:rPr>
              <w:t>10,458,012</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Parchment, Inc.</w:t>
            </w:r>
          </w:p>
        </w:tc>
        <w:tc>
          <w:tcPr>
            <w:tcW w:w="300" w:type="dxa"/>
            <w:vAlign w:val="bottom"/>
            <w:shd w:val="clear" w:color="auto" w:fill="CCEEFF"/>
          </w:tcPr>
          <w:p>
            <w:pPr>
              <w:spacing w:after="0"/>
              <w:rPr>
                <w:sz w:val="16"/>
                <w:szCs w:val="16"/>
                <w:color w:val="auto"/>
              </w:rPr>
            </w:pPr>
          </w:p>
        </w:tc>
        <w:tc>
          <w:tcPr>
            <w:tcW w:w="20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4,745,425</w:t>
            </w:r>
          </w:p>
        </w:tc>
        <w:tc>
          <w:tcPr>
            <w:tcW w:w="0" w:type="dxa"/>
            <w:vAlign w:val="bottom"/>
          </w:tcPr>
          <w:p>
            <w:pPr>
              <w:spacing w:after="0"/>
              <w:rPr>
                <w:sz w:val="1"/>
                <w:szCs w:val="1"/>
                <w:color w:val="auto"/>
              </w:rPr>
            </w:pPr>
          </w:p>
        </w:tc>
      </w:tr>
      <w:tr>
        <w:trPr>
          <w:trHeight w:val="182"/>
        </w:trPr>
        <w:tc>
          <w:tcPr>
            <w:tcW w:w="8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Knewton, Inc.</w:t>
            </w:r>
            <w:r>
              <w:rPr>
                <w:rFonts w:ascii="Arial" w:cs="Arial" w:eastAsia="Arial" w:hAnsi="Arial"/>
                <w:sz w:val="18"/>
                <w:szCs w:val="18"/>
                <w:color w:val="auto"/>
                <w:vertAlign w:val="superscript"/>
              </w:rPr>
              <w:t>(1)</w:t>
            </w:r>
          </w:p>
        </w:tc>
        <w:tc>
          <w:tcPr>
            <w:tcW w:w="300" w:type="dxa"/>
            <w:vAlign w:val="bottom"/>
          </w:tcPr>
          <w:p>
            <w:pPr>
              <w:spacing w:after="0"/>
              <w:rPr>
                <w:sz w:val="20"/>
                <w:szCs w:val="20"/>
                <w:color w:val="auto"/>
              </w:rPr>
            </w:pPr>
          </w:p>
        </w:tc>
        <w:tc>
          <w:tcPr>
            <w:tcW w:w="2060" w:type="dxa"/>
            <w:vAlign w:val="bottom"/>
          </w:tcPr>
          <w:p>
            <w:pPr>
              <w:jc w:val="right"/>
              <w:ind w:right="31"/>
              <w:spacing w:after="0"/>
              <w:rPr>
                <w:sz w:val="20"/>
                <w:szCs w:val="20"/>
                <w:color w:val="auto"/>
              </w:rPr>
            </w:pPr>
            <w:r>
              <w:rPr>
                <w:rFonts w:ascii="Arial" w:cs="Arial" w:eastAsia="Arial" w:hAnsi="Arial"/>
                <w:sz w:val="14"/>
                <w:szCs w:val="14"/>
                <w:color w:val="auto"/>
              </w:rPr>
              <w:t>2,979,116</w:t>
            </w:r>
          </w:p>
        </w:tc>
        <w:tc>
          <w:tcPr>
            <w:tcW w:w="0" w:type="dxa"/>
            <w:vAlign w:val="bottom"/>
          </w:tcPr>
          <w:p>
            <w:pPr>
              <w:spacing w:after="0"/>
              <w:rPr>
                <w:sz w:val="1"/>
                <w:szCs w:val="1"/>
                <w:color w:val="auto"/>
              </w:rPr>
            </w:pPr>
          </w:p>
        </w:tc>
      </w:tr>
      <w:tr>
        <w:trPr>
          <w:trHeight w:val="212"/>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Aspiration Partners, Inc.</w:t>
            </w:r>
          </w:p>
        </w:tc>
        <w:tc>
          <w:tcPr>
            <w:tcW w:w="3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3,511,682</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Enjoy Technology, Inc.</w:t>
            </w:r>
          </w:p>
        </w:tc>
        <w:tc>
          <w:tcPr>
            <w:tcW w:w="300" w:type="dxa"/>
            <w:vAlign w:val="bottom"/>
          </w:tcPr>
          <w:p>
            <w:pPr>
              <w:spacing w:after="0"/>
              <w:rPr>
                <w:sz w:val="17"/>
                <w:szCs w:val="17"/>
                <w:color w:val="auto"/>
              </w:rPr>
            </w:pPr>
          </w:p>
        </w:tc>
        <w:tc>
          <w:tcPr>
            <w:tcW w:w="2060" w:type="dxa"/>
            <w:vAlign w:val="bottom"/>
          </w:tcPr>
          <w:p>
            <w:pPr>
              <w:jc w:val="right"/>
              <w:ind w:right="31"/>
              <w:spacing w:after="0"/>
              <w:rPr>
                <w:sz w:val="20"/>
                <w:szCs w:val="20"/>
                <w:color w:val="auto"/>
              </w:rPr>
            </w:pPr>
            <w:r>
              <w:rPr>
                <w:rFonts w:ascii="Arial" w:cs="Arial" w:eastAsia="Arial" w:hAnsi="Arial"/>
                <w:sz w:val="14"/>
                <w:szCs w:val="14"/>
                <w:color w:val="auto"/>
              </w:rPr>
              <w:t>1,155,396</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CUX, Inc. (d/b/a CorpU)</w:t>
            </w:r>
          </w:p>
        </w:tc>
        <w:tc>
          <w:tcPr>
            <w:tcW w:w="3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(1,804,892)</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Palantir Technologies, Inc.</w:t>
            </w: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(2,471,310)</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 Place for Rover Inc. (f/k/a DogVacay, Inc.)</w:t>
            </w:r>
          </w:p>
        </w:tc>
        <w:tc>
          <w:tcPr>
            <w:tcW w:w="3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(2,548,128)</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NestGSV, Inc. (d/b/a GSV Labs, Inc.)</w:t>
            </w: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(3,663,624)</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Dropbox, Inc.</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(4,219,119)</w:t>
            </w:r>
          </w:p>
        </w:tc>
        <w:tc>
          <w:tcPr>
            <w:tcW w:w="0" w:type="dxa"/>
            <w:vAlign w:val="bottom"/>
          </w:tcPr>
          <w:p>
            <w:pPr>
              <w:spacing w:after="0"/>
              <w:rPr>
                <w:sz w:val="1"/>
                <w:szCs w:val="1"/>
                <w:color w:val="auto"/>
              </w:rPr>
            </w:pPr>
          </w:p>
        </w:tc>
      </w:tr>
      <w:tr>
        <w:trPr>
          <w:trHeight w:val="205"/>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Stormwind, LLC</w:t>
            </w: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(4,343,218)</w:t>
            </w: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Lyft, Inc.</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(11,313,418)</w:t>
            </w:r>
          </w:p>
        </w:tc>
        <w:tc>
          <w:tcPr>
            <w:tcW w:w="0" w:type="dxa"/>
            <w:vAlign w:val="bottom"/>
          </w:tcPr>
          <w:p>
            <w:pPr>
              <w:spacing w:after="0"/>
              <w:rPr>
                <w:sz w:val="1"/>
                <w:szCs w:val="1"/>
                <w:color w:val="auto"/>
              </w:rPr>
            </w:pPr>
          </w:p>
        </w:tc>
      </w:tr>
      <w:tr>
        <w:trPr>
          <w:trHeight w:val="257"/>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Spotify Technology S.A.</w:t>
            </w:r>
            <w:r>
              <w:rPr>
                <w:rFonts w:ascii="Arial" w:cs="Arial" w:eastAsia="Arial" w:hAnsi="Arial"/>
                <w:sz w:val="18"/>
                <w:szCs w:val="18"/>
                <w:color w:val="auto"/>
                <w:vertAlign w:val="superscript"/>
              </w:rPr>
              <w:t>(1)</w:t>
            </w:r>
          </w:p>
        </w:tc>
        <w:tc>
          <w:tcPr>
            <w:tcW w:w="300" w:type="dxa"/>
            <w:vAlign w:val="bottom"/>
          </w:tcPr>
          <w:p>
            <w:pPr>
              <w:spacing w:after="0"/>
              <w:rPr>
                <w:sz w:val="22"/>
                <w:szCs w:val="22"/>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color w:val="auto"/>
              </w:rPr>
              <w:t>(16,711,276)</w:t>
            </w:r>
          </w:p>
        </w:tc>
        <w:tc>
          <w:tcPr>
            <w:tcW w:w="0" w:type="dxa"/>
            <w:vAlign w:val="bottom"/>
          </w:tcPr>
          <w:p>
            <w:pPr>
              <w:spacing w:after="0"/>
              <w:rPr>
                <w:sz w:val="1"/>
                <w:szCs w:val="1"/>
                <w:color w:val="auto"/>
              </w:rPr>
            </w:pPr>
          </w:p>
        </w:tc>
      </w:tr>
      <w:tr>
        <w:trPr>
          <w:trHeight w:val="110"/>
        </w:trPr>
        <w:tc>
          <w:tcPr>
            <w:tcW w:w="8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8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(2)</w:t>
            </w:r>
          </w:p>
        </w:tc>
        <w:tc>
          <w:tcPr>
            <w:tcW w:w="30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1,444,856</w:t>
            </w:r>
          </w:p>
        </w:tc>
        <w:tc>
          <w:tcPr>
            <w:tcW w:w="0" w:type="dxa"/>
            <w:vAlign w:val="bottom"/>
          </w:tcPr>
          <w:p>
            <w:pPr>
              <w:spacing w:after="0"/>
              <w:rPr>
                <w:sz w:val="1"/>
                <w:szCs w:val="1"/>
                <w:color w:val="auto"/>
              </w:rPr>
            </w:pPr>
          </w:p>
        </w:tc>
      </w:tr>
      <w:tr>
        <w:trPr>
          <w:trHeight w:val="204"/>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13,339,859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5"/>
                <w:szCs w:val="15"/>
                <w:color w:val="auto"/>
              </w:rPr>
              <w:t>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27" w:hanging="427"/>
        <w:spacing w:after="0" w:line="245" w:lineRule="auto"/>
        <w:tabs>
          <w:tab w:leader="none" w:pos="4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ind w:left="427" w:hanging="427"/>
        <w:spacing w:after="0" w:line="249" w:lineRule="auto"/>
        <w:tabs>
          <w:tab w:leader="none" w:pos="4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represents investments (including U.S. Treasury bills) for which individual change in unrealized appreciation/(depreciation) was less than $1.0 million for the year ended December 31, 2019.</w:t>
      </w:r>
    </w:p>
    <w:p>
      <w:pPr>
        <w:spacing w:after="0" w:line="32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267"/>
          </w:cols>
          <w:pgMar w:left="313" w:top="124" w:right="319" w:bottom="1440" w:gutter="0" w:footer="0" w:header="0"/>
        </w:sectPr>
      </w:pPr>
    </w:p>
    <w:bookmarkStart w:id="67" w:name="page68"/>
    <w:bookmarkEnd w:id="67"/>
    <w:tbl>
      <w:tblPr>
        <w:tblLayout w:type="fixed"/>
        <w:tblInd w:w="7" w:type="dxa"/>
        <w:tblCellMar>
          <w:top w:w="0" w:type="dxa"/>
          <w:left w:w="0" w:type="dxa"/>
          <w:bottom w:w="0" w:type="dxa"/>
          <w:right w:w="0" w:type="dxa"/>
        </w:tblCellMar>
      </w:tblPr>
      <w:tr>
        <w:trPr>
          <w:trHeight w:val="156"/>
        </w:trPr>
        <w:tc>
          <w:tcPr>
            <w:tcW w:w="43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1"/>
        </w:trPr>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ind w:right="32"/>
              <w:spacing w:after="0"/>
              <w:rPr>
                <w:sz w:val="20"/>
                <w:szCs w:val="20"/>
                <w:color w:val="auto"/>
              </w:rPr>
            </w:pPr>
            <w:r>
              <w:rPr>
                <w:rFonts w:ascii="Arial" w:cs="Arial" w:eastAsia="Arial" w:hAnsi="Arial"/>
                <w:sz w:val="12"/>
                <w:szCs w:val="12"/>
                <w:b w:val="1"/>
                <w:bCs w:val="1"/>
                <w:color w:val="auto"/>
                <w:w w:val="94"/>
              </w:rPr>
              <w:t>Net Change in</w:t>
            </w: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Net Change in Unrealized</w:t>
            </w:r>
          </w:p>
        </w:tc>
        <w:tc>
          <w:tcPr>
            <w:tcW w:w="1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2"/>
              <w:spacing w:after="0" w:line="128" w:lineRule="exact"/>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32"/>
              <w:spacing w:after="0" w:line="128" w:lineRule="exact"/>
              <w:rPr>
                <w:sz w:val="20"/>
                <w:szCs w:val="20"/>
                <w:color w:val="auto"/>
              </w:rPr>
            </w:pPr>
            <w:r>
              <w:rPr>
                <w:rFonts w:ascii="Arial" w:cs="Arial" w:eastAsia="Arial" w:hAnsi="Arial"/>
                <w:sz w:val="12"/>
                <w:szCs w:val="12"/>
                <w:b w:val="1"/>
                <w:bCs w:val="1"/>
                <w:color w:val="auto"/>
                <w:w w:val="93"/>
              </w:rPr>
              <w:t>Appreciation/</w:t>
            </w: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5"/>
              </w:rPr>
              <w:t>Appreciation/(Depreciation)</w:t>
            </w:r>
          </w:p>
        </w:tc>
        <w:tc>
          <w:tcPr>
            <w:tcW w:w="1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32"/>
              <w:spacing w:after="0" w:line="128" w:lineRule="exact"/>
              <w:rPr>
                <w:sz w:val="20"/>
                <w:szCs w:val="20"/>
                <w:color w:val="auto"/>
              </w:rPr>
            </w:pPr>
            <w:r>
              <w:rPr>
                <w:rFonts w:ascii="Arial" w:cs="Arial" w:eastAsia="Arial" w:hAnsi="Arial"/>
                <w:sz w:val="12"/>
                <w:szCs w:val="12"/>
                <w:b w:val="1"/>
                <w:bCs w:val="1"/>
                <w:color w:val="auto"/>
                <w:w w:val="95"/>
              </w:rPr>
              <w:t>(Depreciation) for</w:t>
            </w: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3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Company</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111"/>
              <w:spacing w:after="0" w:line="128" w:lineRule="exact"/>
              <w:rPr>
                <w:sz w:val="20"/>
                <w:szCs w:val="20"/>
                <w:color w:val="auto"/>
              </w:rPr>
            </w:pPr>
            <w:r>
              <w:rPr>
                <w:rFonts w:ascii="Arial" w:cs="Arial" w:eastAsia="Arial" w:hAnsi="Arial"/>
                <w:sz w:val="12"/>
                <w:szCs w:val="12"/>
                <w:b w:val="1"/>
                <w:bCs w:val="1"/>
                <w:color w:val="auto"/>
                <w:w w:val="94"/>
              </w:rPr>
              <w:t>For the Year Ended</w:t>
            </w:r>
          </w:p>
        </w:tc>
        <w:tc>
          <w:tcPr>
            <w:tcW w:w="100" w:type="dxa"/>
            <w:vAlign w:val="bottom"/>
          </w:tcPr>
          <w:p>
            <w:pPr>
              <w:spacing w:after="0"/>
              <w:rPr>
                <w:sz w:val="11"/>
                <w:szCs w:val="11"/>
                <w:color w:val="auto"/>
              </w:rPr>
            </w:pPr>
          </w:p>
        </w:tc>
        <w:tc>
          <w:tcPr>
            <w:tcW w:w="40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Portfolio Company</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2"/>
              <w:spacing w:after="0" w:line="128" w:lineRule="exact"/>
              <w:rPr>
                <w:sz w:val="20"/>
                <w:szCs w:val="20"/>
                <w:color w:val="auto"/>
              </w:rPr>
            </w:pPr>
            <w:r>
              <w:rPr>
                <w:rFonts w:ascii="Arial" w:cs="Arial" w:eastAsia="Arial" w:hAnsi="Arial"/>
                <w:sz w:val="12"/>
                <w:szCs w:val="12"/>
                <w:b w:val="1"/>
                <w:bCs w:val="1"/>
                <w:color w:val="auto"/>
                <w:w w:val="93"/>
              </w:rPr>
              <w:t>the Year Ended</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92"/>
              </w:rPr>
              <w:t>December 31, 2018</w:t>
            </w:r>
          </w:p>
        </w:tc>
        <w:tc>
          <w:tcPr>
            <w:tcW w:w="100" w:type="dxa"/>
            <w:vAlign w:val="bottom"/>
          </w:tcPr>
          <w:p>
            <w:pPr>
              <w:spacing w:after="0"/>
              <w:rPr>
                <w:sz w:val="14"/>
                <w:szCs w:val="14"/>
                <w:color w:val="auto"/>
              </w:rPr>
            </w:pPr>
          </w:p>
        </w:tc>
        <w:tc>
          <w:tcPr>
            <w:tcW w:w="4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2"/>
              </w:rPr>
              <w:t>December 31, 2017</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Lytro, Inc.</w:t>
            </w:r>
            <w:r>
              <w:rPr>
                <w:rFonts w:ascii="Arial" w:cs="Arial" w:eastAsia="Arial" w:hAnsi="Arial"/>
                <w:sz w:val="18"/>
                <w:szCs w:val="1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8,387,816</w:t>
            </w:r>
          </w:p>
        </w:tc>
        <w:tc>
          <w:tcPr>
            <w:tcW w:w="100" w:type="dxa"/>
            <w:vAlign w:val="bottom"/>
          </w:tcPr>
          <w:p>
            <w:pPr>
              <w:spacing w:after="0"/>
              <w:rPr>
                <w:sz w:val="18"/>
                <w:szCs w:val="18"/>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Spotify Technology S.A.</w:t>
            </w:r>
            <w:r>
              <w:rPr>
                <w:rFonts w:ascii="Arial" w:cs="Arial" w:eastAsia="Arial" w:hAnsi="Arial"/>
                <w:sz w:val="18"/>
                <w:szCs w:val="18"/>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15,394,865</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Lyft, Inc.</w:t>
            </w:r>
          </w:p>
        </w:tc>
        <w:tc>
          <w:tcPr>
            <w:tcW w:w="160" w:type="dxa"/>
            <w:vAlign w:val="bottom"/>
          </w:tcPr>
          <w:p>
            <w:pPr>
              <w:spacing w:after="0"/>
              <w:rPr>
                <w:sz w:val="20"/>
                <w:szCs w:val="20"/>
                <w:color w:val="auto"/>
              </w:rPr>
            </w:pP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5,486,237</w:t>
            </w:r>
          </w:p>
        </w:tc>
        <w:tc>
          <w:tcPr>
            <w:tcW w:w="10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Beamreach Solar, Inc. (f/k/a Solexel, Inc.)</w:t>
            </w:r>
            <w:r>
              <w:rPr>
                <w:rFonts w:ascii="Arial" w:cs="Arial" w:eastAsia="Arial" w:hAnsi="Arial"/>
                <w:sz w:val="18"/>
                <w:szCs w:val="18"/>
                <w:color w:val="auto"/>
                <w:vertAlign w:val="superscript"/>
              </w:rPr>
              <w:t>(1)</w:t>
            </w:r>
          </w:p>
        </w:tc>
        <w:tc>
          <w:tcPr>
            <w:tcW w:w="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14,272,843</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Coursera, Inc.</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4,751,216</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Handle Financial, Inc. (f/k/a PayNearMe, Inc.)</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13,835,988</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SharesPost, Inc.</w:t>
            </w:r>
          </w:p>
        </w:tc>
        <w:tc>
          <w:tcPr>
            <w:tcW w:w="160" w:type="dxa"/>
            <w:vAlign w:val="bottom"/>
          </w:tcPr>
          <w:p>
            <w:pPr>
              <w:spacing w:after="0"/>
              <w:rPr>
                <w:sz w:val="20"/>
                <w:szCs w:val="20"/>
                <w:color w:val="auto"/>
              </w:rPr>
            </w:pP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4,401,790</w:t>
            </w:r>
          </w:p>
        </w:tc>
        <w:tc>
          <w:tcPr>
            <w:tcW w:w="10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Chegg, Inc.</w:t>
            </w:r>
            <w:r>
              <w:rPr>
                <w:rFonts w:ascii="Arial" w:cs="Arial" w:eastAsia="Arial" w:hAnsi="Arial"/>
                <w:sz w:val="18"/>
                <w:szCs w:val="18"/>
                <w:color w:val="auto"/>
                <w:vertAlign w:val="superscript"/>
              </w:rPr>
              <w:t>(2)</w:t>
            </w:r>
          </w:p>
        </w:tc>
        <w:tc>
          <w:tcPr>
            <w:tcW w:w="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7,445,390</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Avenues Global Holdings, LLC</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4,243,435</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Orchestra One, Inc. (f/k/a Learnist, Inc.)</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4,959,614</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Course Hero, Inc.</w:t>
            </w:r>
          </w:p>
        </w:tc>
        <w:tc>
          <w:tcPr>
            <w:tcW w:w="160" w:type="dxa"/>
            <w:vAlign w:val="bottom"/>
          </w:tcPr>
          <w:p>
            <w:pPr>
              <w:spacing w:after="0"/>
              <w:rPr>
                <w:sz w:val="17"/>
                <w:szCs w:val="17"/>
                <w:color w:val="auto"/>
              </w:rPr>
            </w:pPr>
          </w:p>
        </w:tc>
        <w:tc>
          <w:tcPr>
            <w:tcW w:w="1380" w:type="dxa"/>
            <w:vAlign w:val="bottom"/>
          </w:tcPr>
          <w:p>
            <w:pPr>
              <w:jc w:val="right"/>
              <w:ind w:right="71"/>
              <w:spacing w:after="0"/>
              <w:rPr>
                <w:sz w:val="20"/>
                <w:szCs w:val="20"/>
                <w:color w:val="auto"/>
              </w:rPr>
            </w:pPr>
            <w:r>
              <w:rPr>
                <w:rFonts w:ascii="Arial" w:cs="Arial" w:eastAsia="Arial" w:hAnsi="Arial"/>
                <w:sz w:val="14"/>
                <w:szCs w:val="14"/>
                <w:color w:val="auto"/>
              </w:rPr>
              <w:t>4,065,198</w:t>
            </w: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Dropbox, Inc.</w:t>
            </w:r>
          </w:p>
        </w:tc>
        <w:tc>
          <w:tcPr>
            <w:tcW w:w="80" w:type="dxa"/>
            <w:vAlign w:val="bottom"/>
          </w:tcPr>
          <w:p>
            <w:pPr>
              <w:spacing w:after="0"/>
              <w:rPr>
                <w:sz w:val="17"/>
                <w:szCs w:val="17"/>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4,685,212</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SugarCRM, Inc.</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3,753,157</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NestGSV, Inc. (d/b/a GSV Labs, Inc.)</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4,308,957</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Palantir Technologies, Inc.</w:t>
            </w:r>
          </w:p>
        </w:tc>
        <w:tc>
          <w:tcPr>
            <w:tcW w:w="16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(1,022,365)</w:t>
            </w: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Coursera, Inc.</w:t>
            </w:r>
          </w:p>
        </w:tc>
        <w:tc>
          <w:tcPr>
            <w:tcW w:w="80" w:type="dxa"/>
            <w:vAlign w:val="bottom"/>
          </w:tcPr>
          <w:p>
            <w:pPr>
              <w:spacing w:after="0"/>
              <w:rPr>
                <w:sz w:val="17"/>
                <w:szCs w:val="17"/>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3,849,819</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Knewton, Inc.</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(1,576,151)</w:t>
            </w:r>
          </w:p>
        </w:tc>
        <w:tc>
          <w:tcPr>
            <w:tcW w:w="100" w:type="dxa"/>
            <w:vAlign w:val="bottom"/>
          </w:tcPr>
          <w:p>
            <w:pPr>
              <w:spacing w:after="0"/>
              <w:rPr>
                <w:sz w:val="18"/>
                <w:szCs w:val="18"/>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StormWind, LLC</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3,832,681</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Declara, Inc.</w:t>
            </w:r>
          </w:p>
        </w:tc>
        <w:tc>
          <w:tcPr>
            <w:tcW w:w="160" w:type="dxa"/>
            <w:vAlign w:val="bottom"/>
          </w:tcPr>
          <w:p>
            <w:pPr>
              <w:spacing w:after="0"/>
              <w:rPr>
                <w:sz w:val="17"/>
                <w:szCs w:val="17"/>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(1,715,261)</w:t>
            </w: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Lyft, Inc.</w:t>
            </w:r>
          </w:p>
        </w:tc>
        <w:tc>
          <w:tcPr>
            <w:tcW w:w="80" w:type="dxa"/>
            <w:vAlign w:val="bottom"/>
          </w:tcPr>
          <w:p>
            <w:pPr>
              <w:spacing w:after="0"/>
              <w:rPr>
                <w:sz w:val="17"/>
                <w:szCs w:val="17"/>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2,671,022</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Ozy Media, Inc.</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(2,070,561)</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Cricket Media (f/k/a ePals, Inc.)</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2,448,959</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Chegg, Inc.</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(2,151,532)</w:t>
            </w:r>
          </w:p>
        </w:tc>
        <w:tc>
          <w:tcPr>
            <w:tcW w:w="10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AlwaysOn, Inc.</w:t>
            </w:r>
            <w:r>
              <w:rPr>
                <w:rFonts w:ascii="Arial" w:cs="Arial" w:eastAsia="Arial" w:hAnsi="Arial"/>
                <w:sz w:val="18"/>
                <w:szCs w:val="18"/>
                <w:color w:val="auto"/>
                <w:vertAlign w:val="superscript"/>
              </w:rPr>
              <w:t>(1)</w:t>
            </w:r>
          </w:p>
        </w:tc>
        <w:tc>
          <w:tcPr>
            <w:tcW w:w="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1,903,414</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Spotify Technology S.A.</w:t>
            </w: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(4,015,707)</w:t>
            </w:r>
          </w:p>
        </w:tc>
        <w:tc>
          <w:tcPr>
            <w:tcW w:w="100" w:type="dxa"/>
            <w:vAlign w:val="bottom"/>
          </w:tcPr>
          <w:p>
            <w:pPr>
              <w:spacing w:after="0"/>
              <w:rPr>
                <w:sz w:val="18"/>
                <w:szCs w:val="18"/>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Aspiration Partners, Inc.</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1,440,417</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General Assembly Space, Inc.</w:t>
            </w:r>
            <w:r>
              <w:rPr>
                <w:rFonts w:ascii="Arial" w:cs="Arial" w:eastAsia="Arial" w:hAnsi="Arial"/>
                <w:sz w:val="18"/>
                <w:szCs w:val="18"/>
                <w:color w:val="auto"/>
                <w:vertAlign w:val="superscript"/>
              </w:rPr>
              <w:t>(2)</w:t>
            </w:r>
          </w:p>
        </w:tc>
        <w:tc>
          <w:tcPr>
            <w:tcW w:w="1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(4,840,905)</w:t>
            </w:r>
          </w:p>
        </w:tc>
        <w:tc>
          <w:tcPr>
            <w:tcW w:w="10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Circle Media (f/k/a/ S3 Digital Corp. (d/b/a S3i))</w:t>
            </w:r>
            <w:r>
              <w:rPr>
                <w:rFonts w:ascii="Arial" w:cs="Arial" w:eastAsia="Arial" w:hAnsi="Arial"/>
                <w:sz w:val="18"/>
                <w:szCs w:val="18"/>
                <w:color w:val="auto"/>
                <w:vertAlign w:val="superscript"/>
              </w:rPr>
              <w:t>(1)</w:t>
            </w:r>
          </w:p>
        </w:tc>
        <w:tc>
          <w:tcPr>
            <w:tcW w:w="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1,325,033</w:t>
            </w:r>
          </w:p>
        </w:tc>
        <w:tc>
          <w:tcPr>
            <w:tcW w:w="0" w:type="dxa"/>
            <w:vAlign w:val="bottom"/>
          </w:tcPr>
          <w:p>
            <w:pPr>
              <w:spacing w:after="0"/>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Curious.com, Inc.</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(5,514,077)</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Strategic Data Command, LLC</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(1,063,278)</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Maven Research,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(1,672,521)</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Dataminr, Inc.</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(2,348,736)</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General Assembly Space,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(2,905,898)</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SugarCRM, Inc.</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(2,893,050)</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SPBRX, INC. (f/k/a GSV Sustainability Partners,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(3,239,916)</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JAMF Holdings, Inc.</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(3,856,826)</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Curious.com,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(4,470,877)</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Palantir Technologies, Inc.</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(5,424,238)</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Ozy Media,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(5,518,893)</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Declara, Inc.</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(6,111,907)</w:t>
            </w: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Lytro, Inc.</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(8,793,884)</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80" w:type="dxa"/>
            <w:vAlign w:val="bottom"/>
          </w:tcPr>
          <w:p>
            <w:pPr>
              <w:spacing w:after="0"/>
              <w:rPr>
                <w:sz w:val="20"/>
                <w:szCs w:val="20"/>
                <w:color w:val="auto"/>
              </w:rPr>
            </w:pP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(2,541,240)</w:t>
            </w:r>
          </w:p>
        </w:tc>
        <w:tc>
          <w:tcPr>
            <w:tcW w:w="100" w:type="dxa"/>
            <w:vAlign w:val="bottom"/>
          </w:tcPr>
          <w:p>
            <w:pPr>
              <w:spacing w:after="0"/>
              <w:rPr>
                <w:sz w:val="20"/>
                <w:szCs w:val="20"/>
                <w:color w:val="auto"/>
              </w:rPr>
            </w:pP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(3)</w:t>
            </w: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701,506</w:t>
            </w: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9,641,050</w:t>
            </w:r>
          </w:p>
        </w:tc>
        <w:tc>
          <w:tcPr>
            <w:tcW w:w="100" w:type="dxa"/>
            <w:vAlign w:val="bottom"/>
          </w:tcPr>
          <w:p>
            <w:pPr>
              <w:spacing w:after="0"/>
              <w:rPr>
                <w:sz w:val="17"/>
                <w:szCs w:val="17"/>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34,775,696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5"/>
                <w:szCs w:val="15"/>
                <w:color w:val="auto"/>
              </w:rPr>
              <w:t>_______________________</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27" w:hanging="427"/>
        <w:spacing w:after="0"/>
        <w:tabs>
          <w:tab w:leader="none" w:pos="4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change in unrealized appreciation for this investment resulted from writing off an investment that was previously reduced in value to zero.</w:t>
      </w:r>
    </w:p>
    <w:p>
      <w:pPr>
        <w:spacing w:after="0" w:line="5" w:lineRule="exact"/>
        <w:rPr>
          <w:rFonts w:ascii="Arial" w:cs="Arial" w:eastAsia="Arial" w:hAnsi="Arial"/>
          <w:sz w:val="14"/>
          <w:szCs w:val="14"/>
          <w:color w:val="auto"/>
        </w:rPr>
      </w:pPr>
    </w:p>
    <w:p>
      <w:pPr>
        <w:ind w:left="427" w:hanging="427"/>
        <w:spacing w:after="0" w:line="242" w:lineRule="auto"/>
        <w:tabs>
          <w:tab w:leader="none" w:pos="4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427" w:hanging="427"/>
        <w:spacing w:after="0" w:line="249" w:lineRule="auto"/>
        <w:tabs>
          <w:tab w:leader="none" w:pos="4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represents investments (including U.S. Treasury bills) for which individual change in unrealized appreciation/(depreciation) was less than $1.0 million for the years ended December 31, 2018 or 2017.</w:t>
      </w:r>
    </w:p>
    <w:p>
      <w:pPr>
        <w:spacing w:after="0" w:line="32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267"/>
          </w:cols>
          <w:pgMar w:left="313" w:top="124" w:right="319" w:bottom="1440" w:gutter="0" w:footer="0" w:header="0"/>
        </w:sectPr>
      </w:pPr>
    </w:p>
    <w:bookmarkStart w:id="68" w:name="page69"/>
    <w:bookmarkEnd w:id="68"/>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Recent Developments</w:t>
      </w:r>
    </w:p>
    <w:p>
      <w:pPr>
        <w:spacing w:after="0" w:line="20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Portfolio Activity</w:t>
      </w:r>
    </w:p>
    <w:p>
      <w:pPr>
        <w:spacing w:after="0" w:line="199" w:lineRule="exact"/>
        <w:rPr>
          <w:sz w:val="20"/>
          <w:szCs w:val="20"/>
          <w:color w:val="auto"/>
        </w:rPr>
      </w:pPr>
    </w:p>
    <w:p>
      <w:pPr>
        <w:jc w:val="both"/>
        <w:ind w:left="7" w:firstLine="302"/>
        <w:spacing w:after="0" w:line="291" w:lineRule="auto"/>
        <w:rPr>
          <w:sz w:val="20"/>
          <w:szCs w:val="20"/>
          <w:color w:val="auto"/>
        </w:rPr>
      </w:pPr>
      <w:r>
        <w:rPr>
          <w:rFonts w:ascii="Arial" w:cs="Arial" w:eastAsia="Arial" w:hAnsi="Arial"/>
          <w:sz w:val="15"/>
          <w:szCs w:val="15"/>
          <w:color w:val="auto"/>
        </w:rPr>
        <w:t>Please refer to “Note 12—Subsequent Events” to our consolidated financial statements as of December 31, 2019 for details regarding activity in our investment portfolio from January 1, 2020 through March 13, 2020.</w:t>
      </w:r>
    </w:p>
    <w:p>
      <w:pPr>
        <w:spacing w:after="0" w:line="139" w:lineRule="exact"/>
        <w:rPr>
          <w:sz w:val="20"/>
          <w:szCs w:val="20"/>
          <w:color w:val="auto"/>
        </w:rPr>
      </w:pPr>
    </w:p>
    <w:p>
      <w:pPr>
        <w:jc w:val="both"/>
        <w:ind w:left="7" w:firstLine="302"/>
        <w:spacing w:after="0" w:line="294" w:lineRule="auto"/>
        <w:rPr>
          <w:sz w:val="20"/>
          <w:szCs w:val="20"/>
          <w:color w:val="auto"/>
        </w:rPr>
      </w:pPr>
      <w:r>
        <w:rPr>
          <w:rFonts w:ascii="Arial" w:cs="Arial" w:eastAsia="Arial" w:hAnsi="Arial"/>
          <w:sz w:val="14"/>
          <w:szCs w:val="14"/>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199" w:lineRule="exact"/>
        <w:rPr>
          <w:sz w:val="20"/>
          <w:szCs w:val="20"/>
          <w:color w:val="auto"/>
        </w:rPr>
      </w:pPr>
    </w:p>
    <w:p>
      <w:pPr>
        <w:jc w:val="both"/>
        <w:ind w:left="7" w:firstLine="302"/>
        <w:spacing w:after="0" w:line="289" w:lineRule="auto"/>
        <w:rPr>
          <w:sz w:val="20"/>
          <w:szCs w:val="20"/>
          <w:color w:val="auto"/>
        </w:rPr>
      </w:pPr>
      <w:r>
        <w:rPr>
          <w:rFonts w:ascii="Arial" w:cs="Arial" w:eastAsia="Arial" w:hAnsi="Arial"/>
          <w:sz w:val="14"/>
          <w:szCs w:val="14"/>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to our consolidated financial statements as of December 31, 2019 for additional information on the Share Repurchase Program.</w:t>
      </w:r>
    </w:p>
    <w:p>
      <w:pPr>
        <w:spacing w:after="0" w:line="145" w:lineRule="exact"/>
        <w:rPr>
          <w:sz w:val="20"/>
          <w:szCs w:val="20"/>
          <w:color w:val="auto"/>
        </w:rPr>
      </w:pPr>
    </w:p>
    <w:p>
      <w:pPr>
        <w:jc w:val="both"/>
        <w:ind w:left="7" w:firstLine="302"/>
        <w:spacing w:after="0" w:line="291" w:lineRule="auto"/>
        <w:rPr>
          <w:sz w:val="20"/>
          <w:szCs w:val="20"/>
          <w:color w:val="auto"/>
        </w:rPr>
      </w:pPr>
      <w:r>
        <w:rPr>
          <w:rFonts w:ascii="Arial" w:cs="Arial" w:eastAsia="Arial" w:hAnsi="Arial"/>
          <w:sz w:val="15"/>
          <w:szCs w:val="15"/>
          <w:color w:val="auto"/>
        </w:rPr>
        <w:t>From January 1, 2020 through March 13, 2020, we repurchased an additional 237,612 shares under the Share Repurchase Program for an aggregate purchase price of $1.5 million.</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Appointment of CCO</w:t>
      </w:r>
    </w:p>
    <w:p>
      <w:pPr>
        <w:spacing w:after="0" w:line="199" w:lineRule="exact"/>
        <w:rPr>
          <w:sz w:val="20"/>
          <w:szCs w:val="20"/>
          <w:color w:val="auto"/>
        </w:rPr>
      </w:pPr>
    </w:p>
    <w:p>
      <w:pPr>
        <w:jc w:val="both"/>
        <w:ind w:left="7" w:firstLine="302"/>
        <w:spacing w:after="0" w:line="328" w:lineRule="auto"/>
        <w:rPr>
          <w:sz w:val="20"/>
          <w:szCs w:val="20"/>
          <w:color w:val="auto"/>
        </w:rPr>
      </w:pPr>
      <w:r>
        <w:rPr>
          <w:rFonts w:ascii="Arial" w:cs="Arial" w:eastAsia="Arial" w:hAnsi="Arial"/>
          <w:sz w:val="14"/>
          <w:szCs w:val="14"/>
          <w:color w:val="auto"/>
        </w:rPr>
        <w:t>On March 9, 2020, our Board of Directors appointed Allison Green, our Chief Financial Officer, Treasurer and Secretary, to serve as our Chief Compliance Officer effective March 15, 2020. Carl Rizzo served as our Chief Compliance Officer pursuant to an agreement between us and Alaric Compliance Services LLC until March 15, 2020.</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Liquidity and Capital Resources</w:t>
      </w:r>
    </w:p>
    <w:p>
      <w:pPr>
        <w:spacing w:after="0" w:line="205" w:lineRule="exact"/>
        <w:rPr>
          <w:sz w:val="20"/>
          <w:szCs w:val="20"/>
          <w:color w:val="auto"/>
        </w:rPr>
      </w:pPr>
    </w:p>
    <w:p>
      <w:pPr>
        <w:jc w:val="both"/>
        <w:ind w:left="7" w:firstLine="302"/>
        <w:spacing w:after="0" w:line="302" w:lineRule="auto"/>
        <w:rPr>
          <w:sz w:val="20"/>
          <w:szCs w:val="20"/>
          <w:color w:val="auto"/>
        </w:rPr>
      </w:pPr>
      <w:r>
        <w:rPr>
          <w:rFonts w:ascii="Arial" w:cs="Arial" w:eastAsia="Arial" w:hAnsi="Arial"/>
          <w:sz w:val="14"/>
          <w:szCs w:val="14"/>
          <w:color w:val="auto"/>
        </w:rPr>
        <w:t>Our liquidity and capital resources are generated primarily from the sales of our investments and advances from our $12.0 million Credit Facility. The Credit Facility matured and expired on May 31, 2019. See "—Credit Facility" for details. In addition, on March 28, 2018, we issued $40.0 million aggregate principal amount of 4.75% Convertible Senior Notes due 2023, as discussed further below and in “Note 10—Debt Capital Activities” to our consolidated financial statements as of December 31, 2019.</w:t>
      </w:r>
    </w:p>
    <w:p>
      <w:pPr>
        <w:spacing w:after="0" w:line="135" w:lineRule="exact"/>
        <w:rPr>
          <w:sz w:val="20"/>
          <w:szCs w:val="20"/>
          <w:color w:val="auto"/>
        </w:rPr>
      </w:pPr>
    </w:p>
    <w:p>
      <w:pPr>
        <w:jc w:val="both"/>
        <w:ind w:left="7" w:firstLine="302"/>
        <w:spacing w:after="0" w:line="274" w:lineRule="auto"/>
        <w:rPr>
          <w:sz w:val="20"/>
          <w:szCs w:val="20"/>
          <w:color w:val="auto"/>
        </w:rPr>
      </w:pPr>
      <w:r>
        <w:rPr>
          <w:rFonts w:ascii="Arial" w:cs="Arial" w:eastAsia="Arial" w:hAnsi="Arial"/>
          <w:sz w:val="15"/>
          <w:szCs w:val="15"/>
          <w:color w:val="auto"/>
        </w:rPr>
        <w:t>Our primary uses of cash are to make investments, pay our operating expenses, and make distributions to our stockholders. For the year ended December 31, 2019, our operating expenses were $10,946,792. For the years ended December 31, 2018 and 2017, our operating expenses, net of any fee waivers, were $9,252,413 and $21,731,583, respectively.</w:t>
      </w:r>
    </w:p>
    <w:p>
      <w:pPr>
        <w:spacing w:after="0" w:line="155"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Reserves and Liquid Securities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12"/>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92"/>
              <w:spacing w:after="0"/>
              <w:rPr>
                <w:sz w:val="20"/>
                <w:szCs w:val="20"/>
                <w:color w:val="auto"/>
              </w:rPr>
            </w:pPr>
            <w:r>
              <w:rPr>
                <w:rFonts w:ascii="Arial" w:cs="Arial" w:eastAsia="Arial" w:hAnsi="Arial"/>
                <w:sz w:val="12"/>
                <w:szCs w:val="12"/>
                <w:b w:val="1"/>
                <w:bCs w:val="1"/>
                <w:color w:val="auto"/>
              </w:rPr>
              <w:t>December 31, 2018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197"/>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44,861,263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28,184,163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59,838,600</w:t>
            </w:r>
          </w:p>
        </w:tc>
        <w:tc>
          <w:tcPr>
            <w:tcW w:w="0" w:type="dxa"/>
            <w:vAlign w:val="bottom"/>
          </w:tcPr>
          <w:p>
            <w:pPr>
              <w:spacing w:after="0"/>
              <w:rPr>
                <w:sz w:val="1"/>
                <w:szCs w:val="1"/>
                <w:color w:val="auto"/>
              </w:rPr>
            </w:pPr>
          </w:p>
        </w:tc>
      </w:tr>
      <w:tr>
        <w:trPr>
          <w:trHeight w:val="232"/>
        </w:trPr>
        <w:tc>
          <w:tcPr>
            <w:tcW w:w="5180" w:type="dxa"/>
            <w:vAlign w:val="bottom"/>
            <w:gridSpan w:val="2"/>
          </w:tcPr>
          <w:p>
            <w:pPr>
              <w:ind w:left="20"/>
              <w:spacing w:after="0"/>
              <w:rPr>
                <w:sz w:val="20"/>
                <w:szCs w:val="20"/>
                <w:color w:val="auto"/>
              </w:rPr>
            </w:pPr>
            <w:r>
              <w:rPr>
                <w:rFonts w:ascii="Arial" w:cs="Arial" w:eastAsia="Arial" w:hAnsi="Arial"/>
                <w:sz w:val="14"/>
                <w:szCs w:val="14"/>
                <w:color w:val="auto"/>
              </w:rPr>
              <w:t>Borrowing availability under the Credit Facility</w:t>
            </w:r>
            <w:r>
              <w:rPr>
                <w:rFonts w:ascii="Arial" w:cs="Arial" w:eastAsia="Arial" w:hAnsi="Arial"/>
                <w:sz w:val="18"/>
                <w:szCs w:val="18"/>
                <w:color w:val="auto"/>
                <w:vertAlign w:val="superscript"/>
              </w:rPr>
              <w:t>(1)</w:t>
            </w:r>
          </w:p>
        </w:tc>
        <w:tc>
          <w:tcPr>
            <w:tcW w:w="2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ind w:right="32"/>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Securities of publicly traded portfolio companies:</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Unrestricted securities</w:t>
            </w:r>
            <w:r>
              <w:rPr>
                <w:rFonts w:ascii="Arial" w:cs="Arial" w:eastAsia="Arial" w:hAnsi="Arial"/>
                <w:sz w:val="18"/>
                <w:szCs w:val="18"/>
                <w:color w:val="auto"/>
                <w:vertAlign w:val="superscript"/>
              </w:rPr>
              <w:t>(2)</w:t>
            </w: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44,589,406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8,160,000</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securities of publicly traded portfolio companies</w:t>
            </w: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44,589,406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8,160,000</w:t>
            </w:r>
          </w:p>
        </w:tc>
        <w:tc>
          <w:tcPr>
            <w:tcW w:w="0" w:type="dxa"/>
            <w:vAlign w:val="bottom"/>
          </w:tcPr>
          <w:p>
            <w:pPr>
              <w:spacing w:after="0"/>
              <w:rPr>
                <w:sz w:val="1"/>
                <w:szCs w:val="1"/>
                <w:color w:val="auto"/>
              </w:rPr>
            </w:pPr>
          </w:p>
        </w:tc>
      </w:tr>
      <w:tr>
        <w:trPr>
          <w:trHeight w:val="204"/>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Cash Reserves and Liquid Securities</w:t>
            </w: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44,861,263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84,773,569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79,998,600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0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7" w:hanging="427"/>
        <w:spacing w:after="0" w:line="242" w:lineRule="auto"/>
        <w:tabs>
          <w:tab w:leader="none" w:pos="4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Subject to leverage and borrowing base restrictions and other requirements under the Credit Facility as of December 31, 2019 and December 31, 2018. The Credit Facility matured on May 31, 2019. Refer to “Note 10—Debt Capital Activities” to our consolidated financial statements as of December 31, 2019 for details.</w:t>
      </w:r>
    </w:p>
    <w:p>
      <w:pPr>
        <w:ind w:left="427" w:right="20" w:hanging="427"/>
        <w:spacing w:after="0" w:line="249" w:lineRule="auto"/>
        <w:tabs>
          <w:tab w:leader="none" w:pos="4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 As of December 31, 2019, this</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267"/>
          </w:cols>
          <w:pgMar w:left="313" w:top="124" w:right="319" w:bottom="1440" w:gutter="0" w:footer="0" w:header="0"/>
        </w:sectPr>
      </w:pPr>
    </w:p>
    <w:bookmarkStart w:id="69" w:name="page70"/>
    <w:bookmarkEnd w:id="69"/>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46" w:lineRule="exact"/>
        <w:rPr>
          <w:sz w:val="20"/>
          <w:szCs w:val="20"/>
          <w:color w:val="auto"/>
        </w:rPr>
      </w:pPr>
    </w:p>
    <w:p>
      <w:pPr>
        <w:ind w:left="427"/>
        <w:spacing w:after="0" w:line="302" w:lineRule="auto"/>
        <w:rPr>
          <w:sz w:val="20"/>
          <w:szCs w:val="20"/>
          <w:color w:val="auto"/>
        </w:rPr>
      </w:pPr>
      <w:r>
        <w:rPr>
          <w:rFonts w:ascii="Arial" w:cs="Arial" w:eastAsia="Arial" w:hAnsi="Arial"/>
          <w:sz w:val="14"/>
          <w:szCs w:val="14"/>
          <w:color w:val="auto"/>
        </w:rPr>
        <w:t>balance is $0 as we are not holding any publicly traded portfolio companies. As of December 31, 2018, this balance represents our shares of common stock in Spotify Technology S.A. and Dropbox, Inc.</w:t>
      </w:r>
    </w:p>
    <w:p>
      <w:pPr>
        <w:spacing w:after="0" w:line="138" w:lineRule="exact"/>
        <w:rPr>
          <w:sz w:val="20"/>
          <w:szCs w:val="20"/>
          <w:color w:val="auto"/>
        </w:rPr>
      </w:pPr>
    </w:p>
    <w:p>
      <w:pPr>
        <w:jc w:val="both"/>
        <w:ind w:left="7" w:firstLine="302"/>
        <w:spacing w:after="0" w:line="266" w:lineRule="auto"/>
        <w:rPr>
          <w:sz w:val="20"/>
          <w:szCs w:val="20"/>
          <w:color w:val="auto"/>
        </w:rPr>
      </w:pPr>
      <w:r>
        <w:rPr>
          <w:rFonts w:ascii="Arial" w:cs="Arial" w:eastAsia="Arial" w:hAnsi="Arial"/>
          <w:sz w:val="15"/>
          <w:szCs w:val="15"/>
          <w:color w:val="auto"/>
        </w:rPr>
        <w:t>During the year ended December 31, 2019, cash increased to $44,861,263 from $28,184,163 at the beginning of the year. The increase in cash was primarily due to proceeds from the sale of our Spotify Technology S.A., Dropbox, Inc., and Lyft, Inc. shares, offset by our investments in Neutron Holdings, Inc. (d/b/a Lime), Aspiration Partners, Inc., GreenAcreage Real Estate Corp., Treehouse Real Estate Investment Trust, Inc., and Stormwind LLC, interest payments related to our 4.75% Convertible Senior Notes due 2023, cash used to repurchase our common stock under the Share Repurchase Program and Modified Dutch Auction Tender Offer, cash used to pay dividends, and cash used for our operating expenses.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2"/>
                <w:szCs w:val="12"/>
                <w:b w:val="1"/>
                <w:bCs w:val="1"/>
                <w:color w:val="auto"/>
                <w:w w:val="94"/>
              </w:rPr>
              <w:t>Payments Due By Period (dollars in millions)</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Total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13"/>
              <w:spacing w:after="0" w:line="128" w:lineRule="exact"/>
              <w:rPr>
                <w:sz w:val="20"/>
                <w:szCs w:val="20"/>
                <w:color w:val="auto"/>
              </w:rPr>
            </w:pPr>
            <w:r>
              <w:rPr>
                <w:rFonts w:ascii="Arial" w:cs="Arial" w:eastAsia="Arial" w:hAnsi="Arial"/>
                <w:sz w:val="12"/>
                <w:szCs w:val="12"/>
                <w:b w:val="1"/>
                <w:bCs w:val="1"/>
                <w:color w:val="auto"/>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1–3 years</w:t>
            </w:r>
          </w:p>
        </w:tc>
        <w:tc>
          <w:tcPr>
            <w:tcW w:w="12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right"/>
              <w:ind w:right="412"/>
              <w:spacing w:after="0"/>
              <w:rPr>
                <w:sz w:val="20"/>
                <w:szCs w:val="20"/>
                <w:color w:val="auto"/>
              </w:rPr>
            </w:pPr>
            <w:r>
              <w:rPr>
                <w:rFonts w:ascii="Arial" w:cs="Arial" w:eastAsia="Arial" w:hAnsi="Arial"/>
                <w:sz w:val="12"/>
                <w:szCs w:val="12"/>
                <w:b w:val="1"/>
                <w:bCs w:val="1"/>
                <w:color w:val="auto"/>
              </w:rPr>
              <w:t>3–5 years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65"/>
        </w:trPr>
        <w:tc>
          <w:tcPr>
            <w:tcW w:w="34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1 year</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 for securities purchased</w:t>
            </w:r>
            <w:r>
              <w:rPr>
                <w:rFonts w:ascii="Arial" w:cs="Arial" w:eastAsia="Arial" w:hAnsi="Arial"/>
                <w:sz w:val="18"/>
                <w:szCs w:val="18"/>
                <w:color w:val="auto"/>
                <w:vertAlign w:val="superscript"/>
              </w:rPr>
              <w:t>(1)</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3"/>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3480" w:type="dxa"/>
            <w:vAlign w:val="bottom"/>
          </w:tcPr>
          <w:p>
            <w:pPr>
              <w:ind w:left="20"/>
              <w:spacing w:after="0"/>
              <w:rPr>
                <w:sz w:val="20"/>
                <w:szCs w:val="20"/>
                <w:color w:val="auto"/>
              </w:rPr>
            </w:pPr>
            <w:r>
              <w:rPr>
                <w:rFonts w:ascii="Arial" w:cs="Arial" w:eastAsia="Arial" w:hAnsi="Arial"/>
                <w:sz w:val="14"/>
                <w:szCs w:val="14"/>
                <w:color w:val="auto"/>
              </w:rPr>
              <w:t>Credit Facility payable</w:t>
            </w:r>
            <w:r>
              <w:rPr>
                <w:rFonts w:ascii="Arial" w:cs="Arial" w:eastAsia="Arial" w:hAnsi="Arial"/>
                <w:sz w:val="18"/>
                <w:szCs w:val="18"/>
                <w:color w:val="auto"/>
                <w:vertAlign w:val="superscript"/>
              </w:rPr>
              <w:t>(2)</w:t>
            </w:r>
          </w:p>
        </w:tc>
        <w:tc>
          <w:tcPr>
            <w:tcW w:w="10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Senior Notes</w:t>
            </w:r>
            <w:r>
              <w:rPr>
                <w:rFonts w:ascii="Arial" w:cs="Arial" w:eastAsia="Arial" w:hAnsi="Arial"/>
                <w:sz w:val="18"/>
                <w:szCs w:val="18"/>
                <w:color w:val="auto"/>
                <w:vertAlign w:val="superscript"/>
              </w:rPr>
              <w:t>(3)</w:t>
            </w: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480" w:type="dxa"/>
            <w:vAlign w:val="bottom"/>
          </w:tcPr>
          <w:p>
            <w:pPr>
              <w:ind w:left="20"/>
              <w:spacing w:after="0"/>
              <w:rPr>
                <w:sz w:val="20"/>
                <w:szCs w:val="20"/>
                <w:color w:val="auto"/>
              </w:rPr>
            </w:pPr>
            <w:r>
              <w:rPr>
                <w:rFonts w:ascii="Arial" w:cs="Arial" w:eastAsia="Arial" w:hAnsi="Arial"/>
                <w:sz w:val="14"/>
                <w:szCs w:val="14"/>
                <w:color w:val="auto"/>
              </w:rPr>
              <w:t>Operating lease liability</w:t>
            </w:r>
          </w:p>
        </w:tc>
        <w:tc>
          <w:tcPr>
            <w:tcW w:w="1000" w:type="dxa"/>
            <w:vAlign w:val="bottom"/>
          </w:tcPr>
          <w:p>
            <w:pPr>
              <w:jc w:val="right"/>
              <w:ind w:right="832"/>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1060" w:type="dxa"/>
            <w:vAlign w:val="bottom"/>
          </w:tcPr>
          <w:p>
            <w:pPr>
              <w:jc w:val="right"/>
              <w:ind w:right="893"/>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85.6</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_______________________</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7" w:hanging="427"/>
        <w:spacing w:after="0" w:line="242" w:lineRule="auto"/>
        <w:tabs>
          <w:tab w:leader="none" w:pos="4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“Payable for securities purchased” relates to the purchase of U.S. Treasury bills on margin. This balance was subsequently repaid on January 2, 2020, when the $50.0 million United States Treasury bill matured and the $5.25 million margin deposit that we posted as collateral was returned.</w:t>
      </w:r>
    </w:p>
    <w:p>
      <w:pPr>
        <w:ind w:left="427" w:hanging="427"/>
        <w:spacing w:after="0"/>
        <w:tabs>
          <w:tab w:leader="none" w:pos="4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Credit Facility matured on May 31, 2019. The weighted-average interest rate incurred under the Credit Facility was 0.00% for the year ended December 31, 2019.</w:t>
      </w:r>
    </w:p>
    <w:p>
      <w:pPr>
        <w:spacing w:after="0" w:line="1" w:lineRule="exact"/>
        <w:rPr>
          <w:rFonts w:ascii="Arial" w:cs="Arial" w:eastAsia="Arial" w:hAnsi="Arial"/>
          <w:sz w:val="14"/>
          <w:szCs w:val="14"/>
          <w:color w:val="auto"/>
        </w:rPr>
      </w:pPr>
    </w:p>
    <w:p>
      <w:pPr>
        <w:ind w:left="427" w:right="20" w:hanging="427"/>
        <w:spacing w:after="0" w:line="249" w:lineRule="auto"/>
        <w:tabs>
          <w:tab w:leader="none" w:pos="4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balance shown for the "Convertible Senior Notes" reflects the principal balance payable to investors for the 4.75% Convertible Senior Notes due 2023 as of December 31, 2019. Refer to “Note 10—Debt Capital Activities” to our consolidated financial statements as of December 31, 2019 for more information.</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Share Repurchase Program</w:t>
      </w:r>
    </w:p>
    <w:p>
      <w:pPr>
        <w:spacing w:after="0" w:line="199" w:lineRule="exact"/>
        <w:rPr>
          <w:sz w:val="20"/>
          <w:szCs w:val="20"/>
          <w:color w:val="auto"/>
        </w:rPr>
      </w:pPr>
    </w:p>
    <w:p>
      <w:pPr>
        <w:jc w:val="both"/>
        <w:ind w:left="7" w:firstLine="302"/>
        <w:spacing w:after="0" w:line="291" w:lineRule="auto"/>
        <w:rPr>
          <w:sz w:val="20"/>
          <w:szCs w:val="20"/>
          <w:color w:val="auto"/>
        </w:rPr>
      </w:pPr>
      <w:r>
        <w:rPr>
          <w:rFonts w:ascii="Arial" w:cs="Arial" w:eastAsia="Arial" w:hAnsi="Arial"/>
          <w:sz w:val="15"/>
          <w:szCs w:val="15"/>
          <w:color w:val="auto"/>
        </w:rPr>
        <w:t>During the year ended December 31, 2019, we repurchased 749,128 shares of our common stock pursuant to the Share Repurchase Program. As of December 31, 2019, the dollar value of shares that remained available to be purchased under the Share Repurchase Program was approximately $5.0 million.</w:t>
      </w:r>
    </w:p>
    <w:p>
      <w:pPr>
        <w:spacing w:after="0" w:line="139" w:lineRule="exact"/>
        <w:rPr>
          <w:sz w:val="20"/>
          <w:szCs w:val="20"/>
          <w:color w:val="auto"/>
        </w:rPr>
      </w:pPr>
    </w:p>
    <w:p>
      <w:pPr>
        <w:jc w:val="both"/>
        <w:ind w:left="7"/>
        <w:spacing w:after="0" w:line="291" w:lineRule="auto"/>
        <w:rPr>
          <w:sz w:val="20"/>
          <w:szCs w:val="20"/>
          <w:color w:val="auto"/>
        </w:rPr>
      </w:pPr>
      <w:r>
        <w:rPr>
          <w:rFonts w:ascii="Arial" w:cs="Arial" w:eastAsia="Arial" w:hAnsi="Arial"/>
          <w:sz w:val="15"/>
          <w:szCs w:val="15"/>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39" w:lineRule="exact"/>
        <w:rPr>
          <w:sz w:val="20"/>
          <w:szCs w:val="20"/>
          <w:color w:val="auto"/>
        </w:rPr>
      </w:pPr>
    </w:p>
    <w:p>
      <w:pPr>
        <w:jc w:val="both"/>
        <w:ind w:left="7" w:firstLine="302"/>
        <w:spacing w:after="0" w:line="291" w:lineRule="auto"/>
        <w:rPr>
          <w:sz w:val="20"/>
          <w:szCs w:val="20"/>
          <w:color w:val="auto"/>
        </w:rPr>
      </w:pPr>
      <w:r>
        <w:rPr>
          <w:rFonts w:ascii="Arial" w:cs="Arial" w:eastAsia="Arial" w:hAnsi="Arial"/>
          <w:sz w:val="15"/>
          <w:szCs w:val="15"/>
          <w:color w:val="auto"/>
        </w:rPr>
        <w:t>For more information on the Share Repurchase Program, see "</w:t>
      </w:r>
      <w:r>
        <w:rPr>
          <w:rFonts w:ascii="Arial" w:cs="Arial" w:eastAsia="Arial" w:hAnsi="Arial"/>
          <w:sz w:val="13"/>
          <w:szCs w:val="13"/>
          <w:color w:val="auto"/>
        </w:rPr>
        <w:t>—</w:t>
      </w:r>
      <w:r>
        <w:rPr>
          <w:rFonts w:ascii="Arial" w:cs="Arial" w:eastAsia="Arial" w:hAnsi="Arial"/>
          <w:sz w:val="15"/>
          <w:szCs w:val="15"/>
          <w:color w:val="auto"/>
        </w:rPr>
        <w:t>Recent Developments" and "Part II. Item 5. Market for Registrant’s Common Equity, Related Stockholder Matters and Issuer Purchases of Equity Securities".</w:t>
      </w:r>
    </w:p>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Modified Dutch Auction Tender Offer</w:t>
      </w:r>
    </w:p>
    <w:p>
      <w:pPr>
        <w:spacing w:after="0" w:line="199" w:lineRule="exact"/>
        <w:rPr>
          <w:sz w:val="20"/>
          <w:szCs w:val="20"/>
          <w:color w:val="auto"/>
        </w:rPr>
      </w:pPr>
    </w:p>
    <w:p>
      <w:pPr>
        <w:jc w:val="both"/>
        <w:ind w:left="7" w:firstLine="279"/>
        <w:spacing w:after="0" w:line="265" w:lineRule="auto"/>
        <w:rPr>
          <w:sz w:val="20"/>
          <w:szCs w:val="20"/>
          <w:color w:val="auto"/>
        </w:rPr>
      </w:pPr>
      <w:r>
        <w:rPr>
          <w:rFonts w:ascii="Arial" w:cs="Arial" w:eastAsia="Arial" w:hAnsi="Arial"/>
          <w:sz w:val="15"/>
          <w:szCs w:val="15"/>
          <w:color w:val="auto"/>
        </w:rPr>
        <w:t>On October 21, 2019, the Company commenced a modified “Dutch Auction” tender offer (the “Modified Dutch Auction Tender Offer”) to purchase for cash up to $10.0 million in shares of its common stock from its stockholders, which expired on November 20, 2019. In accordance with the terms of the Modified Dutch Auction Tender Offer, the Company selected the lowest price per share of not less than $6.00 per share and not greater than $8.00 per share, less any applicable withholding taxes and without interest, that could allow the Company to purchase that number of shares having an aggregate purchase price of $10.0 million. Upon the terms and subject to the conditions of the Modified Dutch Auction Tender Offer, if shares having an aggregate purchase price of less than $10.0 million were properly tendered and not properly withdrawn, the Company would purchase all shares properly tendered and not properly withdrawn.</w:t>
      </w:r>
    </w:p>
    <w:p>
      <w:pPr>
        <w:spacing w:after="0" w:line="158" w:lineRule="exact"/>
        <w:rPr>
          <w:sz w:val="20"/>
          <w:szCs w:val="20"/>
          <w:color w:val="auto"/>
        </w:rPr>
      </w:pPr>
    </w:p>
    <w:p>
      <w:pPr>
        <w:jc w:val="both"/>
        <w:ind w:left="7" w:right="20" w:firstLine="279"/>
        <w:spacing w:after="0" w:line="274" w:lineRule="auto"/>
        <w:rPr>
          <w:sz w:val="20"/>
          <w:szCs w:val="20"/>
          <w:color w:val="auto"/>
        </w:rPr>
      </w:pPr>
      <w:r>
        <w:rPr>
          <w:rFonts w:ascii="Arial" w:cs="Arial" w:eastAsia="Arial" w:hAnsi="Arial"/>
          <w:sz w:val="15"/>
          <w:szCs w:val="15"/>
          <w:color w:val="auto"/>
        </w:rPr>
        <w:t>Pursuant to the Modified Dutch Auction Tender Offer, the Company repurchased 1,449,275 shares, representing 7.6% of its outstanding shares, on or about November 22, 2019, at a price of $6.90 per share on a pro rata basis, excluding fees and expenses relating to the self-tender offer. The Company has determined that the proration factor for the tender offer was 78.1%. The Company</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267"/>
          </w:cols>
          <w:pgMar w:left="313" w:top="124" w:right="319" w:bottom="1440" w:gutter="0" w:footer="0" w:header="0"/>
        </w:sectPr>
      </w:pPr>
    </w:p>
    <w:bookmarkStart w:id="70" w:name="page71"/>
    <w:bookmarkEnd w:id="7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used available cash to fund the purchases of its shares of common stock in the Modified Dutch Auction Tender Offer and to pay for all related fees and expenses.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99"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As of December 31, 2019, we had no off-balance sheet arrangements, including any risk management of commodity pricing or other hedging practices. However, we may employ hedging and other risk management techniques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Credit Facility</w:t>
      </w:r>
    </w:p>
    <w:p>
      <w:pPr>
        <w:spacing w:after="0" w:line="199"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Pursuant to the Loan Agreement, Western Alliance Bank had agreed to provide us with the $12.0 million Credit Facility, which, among other things, matured on May 31, 2019 and bore interest at a per annum rate equal to the prime rate plus 3.50%. In addition, the Loan Agreement required payment of a fee for unused amounts during the revolving period. During year ended December 31, 2019 we had no borrowings outstanding under the Credit Facility and had paid no unused fee. Refer to “Note 10—Debt Capital Activities” to our consolidated financial statements as of December 31, 2019 for more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Issuances &amp; Debt Capital Activities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made no sales of our equity securities during the year ended December 31, 2019 or the year ended December 31, 2018.</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4.75% Convertible Senior Notes due 2023</w:t>
      </w:r>
    </w:p>
    <w:p>
      <w:pPr>
        <w:spacing w:after="0" w:line="205"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$38.8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40" w:lineRule="exact"/>
        <w:rPr>
          <w:sz w:val="20"/>
          <w:szCs w:val="20"/>
          <w:color w:val="auto"/>
        </w:rPr>
      </w:pPr>
    </w:p>
    <w:p>
      <w:pPr>
        <w:jc w:val="both"/>
        <w:ind w:firstLine="279"/>
        <w:spacing w:after="0" w:line="266" w:lineRule="auto"/>
        <w:rPr>
          <w:sz w:val="20"/>
          <w:szCs w:val="20"/>
          <w:color w:val="auto"/>
        </w:rPr>
      </w:pPr>
      <w:r>
        <w:rPr>
          <w:rFonts w:ascii="Arial" w:cs="Arial" w:eastAsia="Arial" w:hAnsi="Arial"/>
          <w:sz w:val="15"/>
          <w:szCs w:val="15"/>
          <w:color w:val="auto"/>
        </w:rPr>
        <w:t>In connection with the issuance of the 4.75% Convertible Senior Notes due 2023, we were required under the terms of the Credit Facility to deposit the proceeds from the 4.75% Convertible Senior Notes due 2023 offering into an account at Western Alliance Bank and were required to maintain at least $65.0 million (or such lesser amount to the extent such funds would be used to repay or repurchase a portion of the outstanding 5.25% Convertible Senior Notes due 2018 prior to their maturity and repayment in full) in an account at Western Alliance Bank until such time as the 5.25% Convertible Senior Notes due 2018 were repaid in full. Refer to “Note 10—Debt Capital Activities” to our consolidated financial statements as of December 31, 2019 for more information regarding the 4.75% Convertible Senior Notes due 2023.</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5.25% Convertible Senior Notes due 2018 - Tender Offer, Repurchase, and Repayment</w:t>
      </w:r>
    </w:p>
    <w:p>
      <w:pPr>
        <w:spacing w:after="0" w:line="20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On December 15, 2017, we announced the commencement of a cash tender offer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we repurchased an additional $14.2 million aggregate principal amount of the outstanding 5.25% Convertible Senior Notes due 2018.</w:t>
      </w:r>
    </w:p>
    <w:p>
      <w:pPr>
        <w:spacing w:after="0" w:line="159"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 Capital Activities” to our consolidated financial statements as of December 31, 2019 for more information regarding the 5.25% Convertible Senior Notes due 2018.</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Distributions</w:t>
      </w:r>
    </w:p>
    <w:p>
      <w:pPr>
        <w:spacing w:after="0" w:line="199" w:lineRule="exact"/>
        <w:rPr>
          <w:sz w:val="20"/>
          <w:szCs w:val="20"/>
          <w:color w:val="auto"/>
        </w:rPr>
      </w:pPr>
    </w:p>
    <w:p>
      <w:pPr>
        <w:jc w:val="both"/>
        <w:ind w:firstLine="557"/>
        <w:spacing w:after="0" w:line="274" w:lineRule="auto"/>
        <w:rPr>
          <w:sz w:val="20"/>
          <w:szCs w:val="20"/>
          <w:color w:val="auto"/>
        </w:rPr>
      </w:pPr>
      <w:r>
        <w:rPr>
          <w:rFonts w:ascii="Arial" w:cs="Arial" w:eastAsia="Arial" w:hAnsi="Arial"/>
          <w:sz w:val="15"/>
          <w:szCs w:val="15"/>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260"/>
          </w:cols>
          <w:pgMar w:left="320" w:top="124" w:right="319" w:bottom="1440" w:gutter="0" w:footer="0" w:header="0"/>
        </w:sectPr>
      </w:pPr>
    </w:p>
    <w:bookmarkStart w:id="71" w:name="page72"/>
    <w:bookmarkEnd w:id="7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05"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2019 for further detail regarding our critical accounting policies and recently issued or adopted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Related-Party Transactions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See “Note 3—Related-Party Arrangements” to our consolidated financial statements as of December 31, 2019 for more information.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260"/>
          </w:cols>
          <w:pgMar w:left="320" w:top="124" w:right="319" w:bottom="1440" w:gutter="0" w:footer="0" w:header="0"/>
        </w:sectPr>
      </w:pPr>
    </w:p>
    <w:bookmarkStart w:id="72" w:name="page73"/>
    <w:bookmarkEnd w:id="72"/>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Market Risk</w:t>
      </w:r>
    </w:p>
    <w:p>
      <w:pPr>
        <w:spacing w:after="0" w:line="205" w:lineRule="exact"/>
        <w:rPr>
          <w:sz w:val="20"/>
          <w:szCs w:val="20"/>
          <w:color w:val="auto"/>
        </w:rPr>
      </w:pPr>
    </w:p>
    <w:p>
      <w:pPr>
        <w:jc w:val="both"/>
        <w:ind w:left="7" w:firstLine="302"/>
        <w:spacing w:after="0" w:line="266" w:lineRule="auto"/>
        <w:rPr>
          <w:sz w:val="20"/>
          <w:szCs w:val="20"/>
          <w:color w:val="auto"/>
        </w:rPr>
      </w:pPr>
      <w:r>
        <w:rPr>
          <w:rFonts w:ascii="Arial" w:cs="Arial" w:eastAsia="Arial" w:hAnsi="Arial"/>
          <w:sz w:val="15"/>
          <w:szCs w:val="15"/>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Interest Rate Risk</w:t>
      </w:r>
    </w:p>
    <w:p>
      <w:pPr>
        <w:spacing w:after="0" w:line="205" w:lineRule="exact"/>
        <w:rPr>
          <w:sz w:val="20"/>
          <w:szCs w:val="20"/>
          <w:color w:val="auto"/>
        </w:rPr>
      </w:pPr>
    </w:p>
    <w:p>
      <w:pPr>
        <w:jc w:val="both"/>
        <w:ind w:left="7" w:right="20" w:firstLine="302"/>
        <w:spacing w:after="0" w:line="302" w:lineRule="auto"/>
        <w:rPr>
          <w:sz w:val="20"/>
          <w:szCs w:val="20"/>
          <w:color w:val="auto"/>
        </w:rPr>
      </w:pPr>
      <w:r>
        <w:rPr>
          <w:rFonts w:ascii="Arial" w:cs="Arial" w:eastAsia="Arial" w:hAnsi="Arial"/>
          <w:sz w:val="14"/>
          <w:szCs w:val="14"/>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35" w:lineRule="exact"/>
        <w:rPr>
          <w:sz w:val="20"/>
          <w:szCs w:val="20"/>
          <w:color w:val="auto"/>
        </w:rPr>
      </w:pPr>
    </w:p>
    <w:p>
      <w:pPr>
        <w:jc w:val="both"/>
        <w:ind w:left="7" w:firstLine="302"/>
        <w:spacing w:after="0" w:line="285" w:lineRule="auto"/>
        <w:rPr>
          <w:sz w:val="20"/>
          <w:szCs w:val="20"/>
          <w:color w:val="auto"/>
        </w:rPr>
      </w:pPr>
      <w:r>
        <w:rPr>
          <w:rFonts w:ascii="Arial" w:cs="Arial" w:eastAsia="Arial" w:hAnsi="Arial"/>
          <w:sz w:val="14"/>
          <w:szCs w:val="14"/>
          <w:color w:val="auto"/>
        </w:rPr>
        <w:t>As of December 31, 2019, all of our debt investments and outstanding borrowings bore fixed rates of interest. The Credit Facility, however, which matured on May 31, 2019, was indexed to the prime rate. During the year ended December 31, 2019, we had no borrowings outstanding under the Credit Facility. We do not expect a significant impact on our net investment income or loss due to changes in the prime rate; however, the table below indicates the impact on our net investment income or loss should the prime rate change. Based on our December 31, 2019 Consolidated Statement of Assets and Liabilities, the following table shows the various, incremental impact of changes in interest rates on our net income or loss related to the Credit Facility for the year ended December 31, 2019,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26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6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Basis Point Change</w:t>
            </w:r>
            <w:r>
              <w:rPr>
                <w:rFonts w:ascii="Arial" w:cs="Arial" w:eastAsia="Arial" w:hAnsi="Arial"/>
                <w:sz w:val="7"/>
                <w:szCs w:val="7"/>
                <w:b w:val="1"/>
                <w:bCs w:val="1"/>
                <w:color w:val="auto"/>
              </w:rPr>
              <w:t>(1)</w:t>
            </w:r>
          </w:p>
        </w:tc>
        <w:tc>
          <w:tcPr>
            <w:tcW w:w="120" w:type="dxa"/>
            <w:vAlign w:val="bottom"/>
            <w:vMerge w:val="restart"/>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2"/>
                <w:szCs w:val="12"/>
                <w:b w:val="1"/>
                <w:bCs w:val="1"/>
                <w:color w:val="auto"/>
              </w:rPr>
              <w:t>Interest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12"/>
                <w:szCs w:val="12"/>
                <w:color w:val="auto"/>
              </w:rPr>
            </w:pPr>
          </w:p>
        </w:tc>
        <w:tc>
          <w:tcPr>
            <w:tcW w:w="1220" w:type="dxa"/>
            <w:vAlign w:val="bottom"/>
          </w:tcPr>
          <w:p>
            <w:pPr>
              <w:jc w:val="right"/>
              <w:ind w:right="572"/>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65"/>
        </w:trPr>
        <w:tc>
          <w:tcPr>
            <w:tcW w:w="6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rPr>
              <w:t>Income</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Income/(Loss)</w:t>
            </w: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Up 300 Basis points</w:t>
            </w:r>
          </w:p>
        </w:tc>
        <w:tc>
          <w:tcPr>
            <w:tcW w:w="108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360,000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205"/>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Up 200 Basis points</w:t>
            </w:r>
          </w:p>
        </w:tc>
        <w:tc>
          <w:tcPr>
            <w:tcW w:w="1080" w:type="dxa"/>
            <w:vAlign w:val="bottom"/>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240,000</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(240,000)</w:t>
            </w:r>
          </w:p>
        </w:tc>
        <w:tc>
          <w:tcPr>
            <w:tcW w:w="0" w:type="dxa"/>
            <w:vAlign w:val="bottom"/>
          </w:tcPr>
          <w:p>
            <w:pPr>
              <w:spacing w:after="0"/>
              <w:rPr>
                <w:sz w:val="1"/>
                <w:szCs w:val="1"/>
                <w:color w:val="auto"/>
              </w:rPr>
            </w:pPr>
          </w:p>
        </w:tc>
      </w:tr>
      <w:tr>
        <w:trPr>
          <w:trHeight w:val="28"/>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Up 100 Basis points</w:t>
            </w:r>
          </w:p>
        </w:tc>
        <w:tc>
          <w:tcPr>
            <w:tcW w:w="108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120,000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05"/>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Down 100 Basis points</w:t>
            </w:r>
          </w:p>
        </w:tc>
        <w:tc>
          <w:tcPr>
            <w:tcW w:w="1080" w:type="dxa"/>
            <w:vAlign w:val="bottom"/>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(120,000)</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8"/>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Down 200 Basis points</w:t>
            </w:r>
          </w:p>
        </w:tc>
        <w:tc>
          <w:tcPr>
            <w:tcW w:w="108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(240,000)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240,000</w:t>
            </w:r>
          </w:p>
        </w:tc>
        <w:tc>
          <w:tcPr>
            <w:tcW w:w="0" w:type="dxa"/>
            <w:vAlign w:val="bottom"/>
          </w:tcPr>
          <w:p>
            <w:pPr>
              <w:spacing w:after="0"/>
              <w:rPr>
                <w:sz w:val="1"/>
                <w:szCs w:val="1"/>
                <w:color w:val="auto"/>
              </w:rPr>
            </w:pPr>
          </w:p>
        </w:tc>
      </w:tr>
      <w:tr>
        <w:trPr>
          <w:trHeight w:val="205"/>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Down 300 Basis points</w:t>
            </w:r>
          </w:p>
        </w:tc>
        <w:tc>
          <w:tcPr>
            <w:tcW w:w="1080" w:type="dxa"/>
            <w:vAlign w:val="bottom"/>
          </w:tcPr>
          <w:p>
            <w:pPr>
              <w:jc w:val="right"/>
              <w:ind w:right="912"/>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(360,000)</w:t>
            </w:r>
          </w:p>
        </w:tc>
        <w:tc>
          <w:tcPr>
            <w:tcW w:w="100" w:type="dxa"/>
            <w:vAlign w:val="bottom"/>
          </w:tcPr>
          <w:p>
            <w:pPr>
              <w:spacing w:after="0"/>
              <w:rPr>
                <w:sz w:val="17"/>
                <w:szCs w:val="17"/>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80"/>
        </w:trPr>
        <w:tc>
          <w:tcPr>
            <w:tcW w:w="6520" w:type="dxa"/>
            <w:vAlign w:val="bottom"/>
          </w:tcPr>
          <w:p>
            <w:pPr>
              <w:spacing w:after="0"/>
              <w:rPr>
                <w:sz w:val="20"/>
                <w:szCs w:val="20"/>
                <w:color w:val="auto"/>
              </w:rPr>
            </w:pPr>
            <w:r>
              <w:rPr>
                <w:rFonts w:ascii="Arial" w:cs="Arial" w:eastAsia="Arial" w:hAnsi="Arial"/>
                <w:sz w:val="12"/>
                <w:szCs w:val="12"/>
                <w:color w:val="auto"/>
              </w:rPr>
              <w:t>_______________________</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7" w:hanging="427"/>
        <w:spacing w:after="0" w:line="291" w:lineRule="auto"/>
        <w:tabs>
          <w:tab w:leader="none" w:pos="427" w:val="left"/>
        </w:tabs>
        <w:numPr>
          <w:ilvl w:val="0"/>
          <w:numId w:val="41"/>
        </w:numPr>
        <w:rPr>
          <w:rFonts w:ascii="Arial" w:cs="Arial" w:eastAsia="Arial" w:hAnsi="Arial"/>
          <w:sz w:val="13"/>
          <w:szCs w:val="13"/>
          <w:color w:val="auto"/>
        </w:rPr>
      </w:pPr>
      <w:r>
        <w:rPr>
          <w:rFonts w:ascii="Arial" w:cs="Arial" w:eastAsia="Arial" w:hAnsi="Arial"/>
          <w:sz w:val="13"/>
          <w:szCs w:val="13"/>
          <w:color w:val="auto"/>
        </w:rPr>
        <w:t>Assumes we have borrowed $12.0 million under the Credit Facility for the year ended December 31, 2019. Our actual borrowings under the Credit Facility will vary based on our needs throughout the year. For the year ended December 31, 2019, our actual average borrowings under the Credit Facility were $0. The Credit Facility matured on May 31, 2019.</w:t>
      </w:r>
    </w:p>
    <w:p>
      <w:pPr>
        <w:spacing w:after="0" w:line="113" w:lineRule="exact"/>
        <w:rPr>
          <w:sz w:val="20"/>
          <w:szCs w:val="20"/>
          <w:color w:val="auto"/>
        </w:rPr>
      </w:pPr>
    </w:p>
    <w:p>
      <w:pPr>
        <w:jc w:val="both"/>
        <w:ind w:left="7" w:firstLine="302"/>
        <w:spacing w:after="0" w:line="274" w:lineRule="auto"/>
        <w:rPr>
          <w:sz w:val="20"/>
          <w:szCs w:val="20"/>
          <w:color w:val="auto"/>
        </w:rPr>
      </w:pPr>
      <w:r>
        <w:rPr>
          <w:rFonts w:ascii="Arial" w:cs="Arial" w:eastAsia="Arial" w:hAnsi="Arial"/>
          <w:sz w:val="15"/>
          <w:szCs w:val="15"/>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267"/>
          </w:cols>
          <w:pgMar w:left="313" w:top="124" w:right="319" w:bottom="1440" w:gutter="0" w:footer="0" w:header="0"/>
        </w:sectPr>
      </w:pPr>
    </w:p>
    <w:bookmarkStart w:id="73" w:name="page74"/>
    <w:bookmarkEnd w:id="7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7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Page</w:t>
            </w:r>
          </w:p>
        </w:tc>
      </w:tr>
      <w:tr>
        <w:trPr>
          <w:trHeight w:val="171"/>
        </w:trPr>
        <w:tc>
          <w:tcPr>
            <w:tcW w:w="1070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color w:val="auto"/>
              </w:rPr>
              <w:t>Report of Independent Registered Public Accounting Firm</w:t>
            </w:r>
          </w:p>
        </w:tc>
        <w:tc>
          <w:tcPr>
            <w:tcW w:w="560" w:type="dxa"/>
            <w:vAlign w:val="bottom"/>
            <w:gridSpan w:val="3"/>
            <w:shd w:val="clear" w:color="auto" w:fill="CCEEFF"/>
          </w:tcPr>
          <w:p>
            <w:pPr>
              <w:jc w:val="right"/>
              <w:ind w:right="20"/>
              <w:spacing w:after="0" w:line="171" w:lineRule="exact"/>
              <w:rPr>
                <w:rFonts w:ascii="Arial" w:cs="Arial" w:eastAsia="Arial" w:hAnsi="Arial"/>
                <w:sz w:val="15"/>
                <w:szCs w:val="15"/>
                <w:color w:val="0000EE"/>
              </w:rPr>
            </w:pPr>
            <w:hyperlink w:anchor="page75">
              <w:r>
                <w:rPr>
                  <w:rFonts w:ascii="Arial" w:cs="Arial" w:eastAsia="Arial" w:hAnsi="Arial"/>
                  <w:sz w:val="15"/>
                  <w:szCs w:val="15"/>
                  <w:color w:val="0000EE"/>
                </w:rPr>
                <w:t>73</w:t>
              </w:r>
            </w:hyperlink>
          </w:p>
        </w:tc>
      </w:tr>
      <w:tr>
        <w:trPr>
          <w:trHeight w:val="38"/>
        </w:trPr>
        <w:tc>
          <w:tcPr>
            <w:tcW w:w="107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4"/>
        </w:trPr>
        <w:tc>
          <w:tcPr>
            <w:tcW w:w="10700" w:type="dxa"/>
            <w:vAlign w:val="bottom"/>
          </w:tcPr>
          <w:p>
            <w:pPr>
              <w:ind w:left="20"/>
              <w:spacing w:after="0"/>
              <w:rPr>
                <w:sz w:val="20"/>
                <w:szCs w:val="20"/>
                <w:color w:val="auto"/>
              </w:rPr>
            </w:pPr>
            <w:r>
              <w:rPr>
                <w:rFonts w:ascii="Arial" w:cs="Arial" w:eastAsia="Arial" w:hAnsi="Arial"/>
                <w:sz w:val="15"/>
                <w:szCs w:val="15"/>
                <w:color w:val="auto"/>
              </w:rPr>
              <w:t>Report of Independent Registered Public Accounting Firm on Internal Control over Financial Reporting</w:t>
            </w:r>
          </w:p>
        </w:tc>
        <w:tc>
          <w:tcPr>
            <w:tcW w:w="560" w:type="dxa"/>
            <w:vAlign w:val="bottom"/>
            <w:gridSpan w:val="3"/>
          </w:tcPr>
          <w:p>
            <w:pPr>
              <w:jc w:val="right"/>
              <w:ind w:right="20"/>
              <w:spacing w:after="0"/>
              <w:rPr>
                <w:rFonts w:ascii="Arial" w:cs="Arial" w:eastAsia="Arial" w:hAnsi="Arial"/>
                <w:sz w:val="15"/>
                <w:szCs w:val="15"/>
                <w:color w:val="0000EE"/>
              </w:rPr>
            </w:pPr>
            <w:hyperlink w:anchor="page76">
              <w:r>
                <w:rPr>
                  <w:rFonts w:ascii="Arial" w:cs="Arial" w:eastAsia="Arial" w:hAnsi="Arial"/>
                  <w:sz w:val="15"/>
                  <w:szCs w:val="15"/>
                  <w:color w:val="0000EE"/>
                </w:rPr>
                <w:t>74</w:t>
              </w:r>
            </w:hyperlink>
          </w:p>
        </w:tc>
      </w:tr>
      <w:tr>
        <w:trPr>
          <w:trHeight w:val="38"/>
        </w:trPr>
        <w:tc>
          <w:tcPr>
            <w:tcW w:w="10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4"/>
        </w:trPr>
        <w:tc>
          <w:tcPr>
            <w:tcW w:w="10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Consolidated Statements of Assets and Liabilities as of December 31, 2019 and 2018</w:t>
            </w:r>
          </w:p>
        </w:tc>
        <w:tc>
          <w:tcPr>
            <w:tcW w:w="560" w:type="dxa"/>
            <w:vAlign w:val="bottom"/>
            <w:gridSpan w:val="3"/>
            <w:shd w:val="clear" w:color="auto" w:fill="CCEEFF"/>
          </w:tcPr>
          <w:p>
            <w:pPr>
              <w:jc w:val="right"/>
              <w:ind w:right="20"/>
              <w:spacing w:after="0"/>
              <w:rPr>
                <w:rFonts w:ascii="Arial" w:cs="Arial" w:eastAsia="Arial" w:hAnsi="Arial"/>
                <w:sz w:val="15"/>
                <w:szCs w:val="15"/>
                <w:color w:val="0000EE"/>
              </w:rPr>
            </w:pPr>
            <w:hyperlink w:anchor="page78">
              <w:r>
                <w:rPr>
                  <w:rFonts w:ascii="Arial" w:cs="Arial" w:eastAsia="Arial" w:hAnsi="Arial"/>
                  <w:sz w:val="15"/>
                  <w:szCs w:val="15"/>
                  <w:color w:val="0000EE"/>
                </w:rPr>
                <w:t>76</w:t>
              </w:r>
            </w:hyperlink>
          </w:p>
        </w:tc>
      </w:tr>
      <w:tr>
        <w:trPr>
          <w:trHeight w:val="38"/>
        </w:trPr>
        <w:tc>
          <w:tcPr>
            <w:tcW w:w="107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4"/>
        </w:trPr>
        <w:tc>
          <w:tcPr>
            <w:tcW w:w="10700" w:type="dxa"/>
            <w:vAlign w:val="bottom"/>
          </w:tcPr>
          <w:p>
            <w:pPr>
              <w:ind w:left="20"/>
              <w:spacing w:after="0"/>
              <w:rPr>
                <w:sz w:val="20"/>
                <w:szCs w:val="20"/>
                <w:color w:val="auto"/>
              </w:rPr>
            </w:pPr>
            <w:r>
              <w:rPr>
                <w:rFonts w:ascii="Arial" w:cs="Arial" w:eastAsia="Arial" w:hAnsi="Arial"/>
                <w:sz w:val="15"/>
                <w:szCs w:val="15"/>
                <w:color w:val="auto"/>
              </w:rPr>
              <w:t>Consolidated Statements of Operations for the years ended December 31, 2019, 2018 and 2017</w:t>
            </w:r>
          </w:p>
        </w:tc>
        <w:tc>
          <w:tcPr>
            <w:tcW w:w="560" w:type="dxa"/>
            <w:vAlign w:val="bottom"/>
            <w:gridSpan w:val="3"/>
          </w:tcPr>
          <w:p>
            <w:pPr>
              <w:jc w:val="right"/>
              <w:ind w:right="20"/>
              <w:spacing w:after="0"/>
              <w:rPr>
                <w:rFonts w:ascii="Arial" w:cs="Arial" w:eastAsia="Arial" w:hAnsi="Arial"/>
                <w:sz w:val="15"/>
                <w:szCs w:val="15"/>
                <w:color w:val="0000EE"/>
              </w:rPr>
            </w:pPr>
            <w:hyperlink w:anchor="page79">
              <w:r>
                <w:rPr>
                  <w:rFonts w:ascii="Arial" w:cs="Arial" w:eastAsia="Arial" w:hAnsi="Arial"/>
                  <w:sz w:val="15"/>
                  <w:szCs w:val="15"/>
                  <w:color w:val="0000EE"/>
                </w:rPr>
                <w:t>77</w:t>
              </w:r>
            </w:hyperlink>
          </w:p>
        </w:tc>
      </w:tr>
      <w:tr>
        <w:trPr>
          <w:trHeight w:val="38"/>
        </w:trPr>
        <w:tc>
          <w:tcPr>
            <w:tcW w:w="10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4"/>
        </w:trPr>
        <w:tc>
          <w:tcPr>
            <w:tcW w:w="10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Consolidated Statements of Changes in Net Assets for the years ended December 31, 2019, 2018 and 2017</w:t>
            </w:r>
          </w:p>
        </w:tc>
        <w:tc>
          <w:tcPr>
            <w:tcW w:w="560" w:type="dxa"/>
            <w:vAlign w:val="bottom"/>
            <w:gridSpan w:val="3"/>
            <w:shd w:val="clear" w:color="auto" w:fill="CCEEFF"/>
          </w:tcPr>
          <w:p>
            <w:pPr>
              <w:jc w:val="right"/>
              <w:ind w:right="20"/>
              <w:spacing w:after="0"/>
              <w:rPr>
                <w:rFonts w:ascii="Arial" w:cs="Arial" w:eastAsia="Arial" w:hAnsi="Arial"/>
                <w:sz w:val="15"/>
                <w:szCs w:val="15"/>
                <w:color w:val="0000EE"/>
              </w:rPr>
            </w:pPr>
            <w:hyperlink w:anchor="page80">
              <w:r>
                <w:rPr>
                  <w:rFonts w:ascii="Arial" w:cs="Arial" w:eastAsia="Arial" w:hAnsi="Arial"/>
                  <w:sz w:val="15"/>
                  <w:szCs w:val="15"/>
                  <w:color w:val="0000EE"/>
                </w:rPr>
                <w:t>78</w:t>
              </w:r>
            </w:hyperlink>
          </w:p>
        </w:tc>
      </w:tr>
      <w:tr>
        <w:trPr>
          <w:trHeight w:val="38"/>
        </w:trPr>
        <w:tc>
          <w:tcPr>
            <w:tcW w:w="107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4"/>
        </w:trPr>
        <w:tc>
          <w:tcPr>
            <w:tcW w:w="10700" w:type="dxa"/>
            <w:vAlign w:val="bottom"/>
          </w:tcPr>
          <w:p>
            <w:pPr>
              <w:ind w:left="20"/>
              <w:spacing w:after="0"/>
              <w:rPr>
                <w:sz w:val="20"/>
                <w:szCs w:val="20"/>
                <w:color w:val="auto"/>
              </w:rPr>
            </w:pPr>
            <w:r>
              <w:rPr>
                <w:rFonts w:ascii="Arial" w:cs="Arial" w:eastAsia="Arial" w:hAnsi="Arial"/>
                <w:sz w:val="15"/>
                <w:szCs w:val="15"/>
                <w:color w:val="auto"/>
              </w:rPr>
              <w:t>Consolidated Statements of Cash Flows for the years ended December 31, 2019, 2018 and 2017</w:t>
            </w:r>
          </w:p>
        </w:tc>
        <w:tc>
          <w:tcPr>
            <w:tcW w:w="560" w:type="dxa"/>
            <w:vAlign w:val="bottom"/>
            <w:gridSpan w:val="3"/>
          </w:tcPr>
          <w:p>
            <w:pPr>
              <w:jc w:val="right"/>
              <w:ind w:right="20"/>
              <w:spacing w:after="0"/>
              <w:rPr>
                <w:rFonts w:ascii="Arial" w:cs="Arial" w:eastAsia="Arial" w:hAnsi="Arial"/>
                <w:sz w:val="15"/>
                <w:szCs w:val="15"/>
                <w:color w:val="0000EE"/>
              </w:rPr>
            </w:pPr>
            <w:hyperlink w:anchor="page81">
              <w:r>
                <w:rPr>
                  <w:rFonts w:ascii="Arial" w:cs="Arial" w:eastAsia="Arial" w:hAnsi="Arial"/>
                  <w:sz w:val="15"/>
                  <w:szCs w:val="15"/>
                  <w:color w:val="0000EE"/>
                </w:rPr>
                <w:t>79</w:t>
              </w:r>
            </w:hyperlink>
          </w:p>
        </w:tc>
      </w:tr>
      <w:tr>
        <w:trPr>
          <w:trHeight w:val="38"/>
        </w:trPr>
        <w:tc>
          <w:tcPr>
            <w:tcW w:w="10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4"/>
        </w:trPr>
        <w:tc>
          <w:tcPr>
            <w:tcW w:w="10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Consolidated Schedule of Investments as of December 31, 2019</w:t>
            </w:r>
          </w:p>
        </w:tc>
        <w:tc>
          <w:tcPr>
            <w:tcW w:w="560" w:type="dxa"/>
            <w:vAlign w:val="bottom"/>
            <w:gridSpan w:val="3"/>
            <w:shd w:val="clear" w:color="auto" w:fill="CCEEFF"/>
          </w:tcPr>
          <w:p>
            <w:pPr>
              <w:jc w:val="right"/>
              <w:ind w:right="20"/>
              <w:spacing w:after="0"/>
              <w:rPr>
                <w:rFonts w:ascii="Arial" w:cs="Arial" w:eastAsia="Arial" w:hAnsi="Arial"/>
                <w:sz w:val="15"/>
                <w:szCs w:val="15"/>
                <w:color w:val="0000EE"/>
              </w:rPr>
            </w:pPr>
            <w:hyperlink w:anchor="page82">
              <w:r>
                <w:rPr>
                  <w:rFonts w:ascii="Arial" w:cs="Arial" w:eastAsia="Arial" w:hAnsi="Arial"/>
                  <w:sz w:val="15"/>
                  <w:szCs w:val="15"/>
                  <w:color w:val="0000EE"/>
                </w:rPr>
                <w:t>80</w:t>
              </w:r>
            </w:hyperlink>
          </w:p>
        </w:tc>
      </w:tr>
      <w:tr>
        <w:trPr>
          <w:trHeight w:val="38"/>
        </w:trPr>
        <w:tc>
          <w:tcPr>
            <w:tcW w:w="107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74"/>
        </w:trPr>
        <w:tc>
          <w:tcPr>
            <w:tcW w:w="10700" w:type="dxa"/>
            <w:vAlign w:val="bottom"/>
          </w:tcPr>
          <w:p>
            <w:pPr>
              <w:ind w:left="20"/>
              <w:spacing w:after="0"/>
              <w:rPr>
                <w:sz w:val="20"/>
                <w:szCs w:val="20"/>
                <w:color w:val="auto"/>
              </w:rPr>
            </w:pPr>
            <w:r>
              <w:rPr>
                <w:rFonts w:ascii="Arial" w:cs="Arial" w:eastAsia="Arial" w:hAnsi="Arial"/>
                <w:sz w:val="15"/>
                <w:szCs w:val="15"/>
                <w:color w:val="auto"/>
              </w:rPr>
              <w:t>Consolidated Schedule of Investments as of December 31, 2018</w:t>
            </w:r>
          </w:p>
        </w:tc>
        <w:tc>
          <w:tcPr>
            <w:tcW w:w="560" w:type="dxa"/>
            <w:vAlign w:val="bottom"/>
            <w:gridSpan w:val="3"/>
          </w:tcPr>
          <w:p>
            <w:pPr>
              <w:jc w:val="right"/>
              <w:ind w:right="20"/>
              <w:spacing w:after="0"/>
              <w:rPr>
                <w:rFonts w:ascii="Arial" w:cs="Arial" w:eastAsia="Arial" w:hAnsi="Arial"/>
                <w:sz w:val="15"/>
                <w:szCs w:val="15"/>
                <w:color w:val="0000EE"/>
              </w:rPr>
            </w:pPr>
            <w:hyperlink w:anchor="page86">
              <w:r>
                <w:rPr>
                  <w:rFonts w:ascii="Arial" w:cs="Arial" w:eastAsia="Arial" w:hAnsi="Arial"/>
                  <w:sz w:val="15"/>
                  <w:szCs w:val="15"/>
                  <w:color w:val="0000EE"/>
                </w:rPr>
                <w:t>84</w:t>
              </w:r>
            </w:hyperlink>
          </w:p>
        </w:tc>
      </w:tr>
      <w:tr>
        <w:trPr>
          <w:trHeight w:val="38"/>
        </w:trPr>
        <w:tc>
          <w:tcPr>
            <w:tcW w:w="10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10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Notes to Consolidated Financial Statements</w:t>
            </w:r>
          </w:p>
        </w:tc>
        <w:tc>
          <w:tcPr>
            <w:tcW w:w="560" w:type="dxa"/>
            <w:vAlign w:val="bottom"/>
            <w:gridSpan w:val="3"/>
            <w:shd w:val="clear" w:color="auto" w:fill="CCEEFF"/>
          </w:tcPr>
          <w:p>
            <w:pPr>
              <w:jc w:val="right"/>
              <w:ind w:right="20"/>
              <w:spacing w:after="0"/>
              <w:rPr>
                <w:rFonts w:ascii="Arial" w:cs="Arial" w:eastAsia="Arial" w:hAnsi="Arial"/>
                <w:sz w:val="15"/>
                <w:szCs w:val="15"/>
                <w:color w:val="0000EE"/>
              </w:rPr>
            </w:pPr>
            <w:hyperlink w:anchor="page91">
              <w:r>
                <w:rPr>
                  <w:rFonts w:ascii="Arial" w:cs="Arial" w:eastAsia="Arial" w:hAnsi="Arial"/>
                  <w:sz w:val="15"/>
                  <w:szCs w:val="15"/>
                  <w:color w:val="0000EE"/>
                </w:rPr>
                <w:t>89</w:t>
              </w:r>
            </w:hyperlink>
          </w:p>
        </w:tc>
      </w:tr>
      <w:tr>
        <w:trPr>
          <w:trHeight w:val="371"/>
        </w:trPr>
        <w:tc>
          <w:tcPr>
            <w:tcW w:w="10700" w:type="dxa"/>
            <w:vAlign w:val="bottom"/>
            <w:tcBorders>
              <w:top w:val="single" w:sz="8" w:color="CCEEFF"/>
            </w:tcBorders>
          </w:tcPr>
          <w:p>
            <w:pPr>
              <w:ind w:left="5540"/>
              <w:spacing w:after="0"/>
              <w:rPr>
                <w:sz w:val="20"/>
                <w:szCs w:val="20"/>
                <w:color w:val="auto"/>
              </w:rPr>
            </w:pPr>
            <w:r>
              <w:rPr>
                <w:rFonts w:ascii="Arial" w:cs="Arial" w:eastAsia="Arial" w:hAnsi="Arial"/>
                <w:sz w:val="15"/>
                <w:szCs w:val="15"/>
                <w:color w:val="auto"/>
              </w:rPr>
              <w:t>72</w:t>
            </w:r>
          </w:p>
        </w:tc>
        <w:tc>
          <w:tcPr>
            <w:tcW w:w="38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-1569720</wp:posOffset>
            </wp:positionV>
            <wp:extent cx="67976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7675"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74" w:name="page75"/>
    <w:bookmarkEnd w:id="74"/>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Sutter Rock Capital Corp.</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 and Financial Highlights</w:t>
      </w:r>
    </w:p>
    <w:p>
      <w:pPr>
        <w:spacing w:after="0" w:line="205" w:lineRule="exact"/>
        <w:rPr>
          <w:sz w:val="20"/>
          <w:szCs w:val="20"/>
          <w:color w:val="auto"/>
        </w:rPr>
      </w:pPr>
    </w:p>
    <w:p>
      <w:pPr>
        <w:jc w:val="both"/>
        <w:ind w:firstLine="279"/>
        <w:spacing w:after="0" w:line="289" w:lineRule="auto"/>
        <w:rPr>
          <w:sz w:val="20"/>
          <w:szCs w:val="20"/>
          <w:color w:val="auto"/>
        </w:rPr>
      </w:pPr>
      <w:r>
        <w:rPr>
          <w:rFonts w:ascii="Arial" w:cs="Arial" w:eastAsia="Arial" w:hAnsi="Arial"/>
          <w:sz w:val="14"/>
          <w:szCs w:val="14"/>
          <w:color w:val="auto"/>
        </w:rPr>
        <w:t>We have audited the accompanying consolidated statements of assets and liabilities of Sutter Rock Capital Corp. and subsidiaries (the “Company”) including the consolidated schedule of investments as of December 31, 2019, the related consolidated statements of operations, cash flows, and changes in net assets for the year ended December 31, 2019, the financial highlights (presented in Note 8) for the year then ended, and the related notes. In our opinion, the consolidated financial statements and financial highlights present fairly, in all material respects, the financial position of the Company as of December 31, 2019, and the results of its operations, changes in net assets, and cash flows for the year ended December 31, 2019, and the financial highlights for the year then ended in conformity with accounting principles generally accepted in the United States of America.</w:t>
      </w:r>
    </w:p>
    <w:p>
      <w:pPr>
        <w:spacing w:after="0" w:line="14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(“PCAOB”), the Company's internal control over financial reporting as of December 31, 2019, based on the criteria established in Internal Control - Integrated Framework issued by the Committee of Sponsoring Organizations of the Treadway Commission (COSO) in 2013 and our report dated March 13, 2020, expressed an unqualified opinion on the effectiveness of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These consolidated financial statements and financial highlights are the responsibility of the Company's management. Our responsibility is to express an opinion on the Company's consolidated financial statements and financial highlights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the consolidated financial statements and financial highlights are free of material misstatement, whether due to error or fraud.</w:t>
      </w:r>
    </w:p>
    <w:p>
      <w:pPr>
        <w:spacing w:after="0" w:line="13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Our audit included performing procedures to assess the risks of material misstatement of the consolidated financial statements and financial highlights, whether due to error or fraud, and performing procedures that respond to those risks. Such procedures included examining, on a test basis, evidence regarding the amounts and disclosures in the consolidated financial statements and financial highlights. Our audit also included evaluating the accounting principles used and significant estimates made by management, as well as evaluating the overall presentation of the consolidated financial statements and financial highlights. Our procedures included confirmation of investments owned as of December 31, 2019, by correspondence with the custodian, loan agents, and borrowers; when replies were not received, we performed other auditing procedures.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March 13, 2020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2019.</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260"/>
          </w:cols>
          <w:pgMar w:left="320" w:top="124" w:right="319" w:bottom="1440" w:gutter="0" w:footer="0" w:header="0"/>
        </w:sectPr>
      </w:pPr>
    </w:p>
    <w:bookmarkStart w:id="75" w:name="page76"/>
    <w:bookmarkEnd w:id="7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 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Sutter Rock Capital Corp.</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0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We have audited the internal control over financial reporting of Sutter Rock Capital Corp. and subsidiaries (the “Company”) as of December 31, 2019, based on criteria established in Internal Control-Integrated Framework (2013) issued by the Committee of Sponsoring Organizations of the Treadway Commission. In our opinion, the Company maintained, in all material respects, effective internal control over financial reporting as of December 31, 2019, based on criteria established in Internal Control - Integrated Framework (2013) issued by the Committee of Sponsoring Organizations of the Treadway Commission.</w:t>
      </w:r>
    </w:p>
    <w:p>
      <w:pPr>
        <w:spacing w:after="0" w:line="156" w:lineRule="exact"/>
        <w:rPr>
          <w:sz w:val="20"/>
          <w:szCs w:val="20"/>
          <w:color w:val="auto"/>
        </w:rPr>
      </w:pPr>
    </w:p>
    <w:p>
      <w:pPr>
        <w:jc w:val="both"/>
        <w:ind w:firstLine="279"/>
        <w:spacing w:after="0" w:line="302"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 of investments as of December 31, 2019, the related consolidated statements of operations, cash flows, changes in net assets and the financial highlights for the year ended December 31, 2019 of the Company, and our report dated March 13, 2020 expressed an unqualified opinion on those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ind w:firstLine="279"/>
        <w:spacing w:after="0" w:line="29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05"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March 13,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260"/>
          </w:cols>
          <w:pgMar w:left="320" w:top="124" w:right="319" w:bottom="1440" w:gutter="0" w:footer="0" w:header="0"/>
        </w:sectPr>
      </w:pPr>
    </w:p>
    <w:bookmarkStart w:id="76" w:name="page77"/>
    <w:bookmarkEnd w:id="7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Sutter Rock Capital Corp.</w:t>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Consolidated Financial Statements and Financial Highlights</w:t>
      </w:r>
    </w:p>
    <w:p>
      <w:pPr>
        <w:spacing w:after="0" w:line="205"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We have audited the accompanying consolidated statements of assets and liabilities of Sutter Rock Capital Corp. and subsidiaries (the "Company"), including the consolidated schedule of investments, as of December 31, 2018, the related consolidated statements of operations, cash flows, and changes in net assets for each of the two years in the period ended December 31, 2018, the financial highlights (presented in Note 8) for each of the four years in the period then ended, and the related notes. In our opinion, the consolidated financial statements and financial highlights present fairly, in all material respects, the financial position of the Company as of December 31, 2018, and the results of its operations, changes in net assets, and cash flows for each of the two years in the period ended December 31, 2018, and the financial highlights for each of the four years in the period then ended in conformity with accounting principles generally accepted in the United States of America.</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0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These consolidated financial statements and financial highlights are the responsibility of the Company's management. Our responsibility is to express an opinion on the Company's consolidated financial statements and financial highlights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and financial highlights are free of material misstatement, whether due to error or fraud.</w:t>
      </w:r>
    </w:p>
    <w:p>
      <w:pPr>
        <w:spacing w:after="0" w:line="13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and financial highlights, whether due to error or fraud, and performing procedures that respond to those risks. Such procedures included examining, on a test basis, evidence regarding the amounts and disclosures in the consolidated financial statements and financial highlights. Our audits also included evaluating the accounting principles used and significant estimates made by management, as well as evaluating the overall presentation of the consolidated financial statement and financial highlights. Our procedures included confirmation of investments owned as of December 31, 2018, by correspondence with the custodian, loan agents, and borrowers; when replies were not received, we performed other auditing procedures.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April 17, 2019</w:t>
      </w: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auto"/>
        </w:rPr>
        <w:t>We began serving as the Company's auditor in 2015. In 2019 we became the predecessor auditor.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260"/>
          </w:cols>
          <w:pgMar w:left="320" w:top="124" w:right="319" w:bottom="1440" w:gutter="0" w:footer="0" w:header="0"/>
        </w:sectPr>
      </w:pPr>
    </w:p>
    <w:bookmarkStart w:id="77" w:name="page78"/>
    <w:bookmarkEnd w:id="77"/>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STATEMENTS OF ASSETS AND LIABILITIES</w:t>
      </w:r>
    </w:p>
    <w:p>
      <w:pPr>
        <w:spacing w:after="0" w:line="13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1220" w:type="dxa"/>
            <w:vAlign w:val="bottom"/>
          </w:tcPr>
          <w:p>
            <w:pPr>
              <w:jc w:val="right"/>
              <w:ind w:right="311"/>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5"/>
        </w:trPr>
        <w:tc>
          <w:tcPr>
            <w:tcW w:w="8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9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Non-controlled/non-affiliate investments (cost of $90,567,041 and $105,869,607, respectively)</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152,866,112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170,067,233</w:t>
            </w:r>
          </w:p>
        </w:tc>
        <w:tc>
          <w:tcPr>
            <w:tcW w:w="0" w:type="dxa"/>
            <w:vAlign w:val="bottom"/>
          </w:tcPr>
          <w:p>
            <w:pPr>
              <w:spacing w:after="0"/>
              <w:rPr>
                <w:sz w:val="1"/>
                <w:szCs w:val="1"/>
                <w:color w:val="auto"/>
              </w:rPr>
            </w:pPr>
          </w:p>
        </w:tc>
      </w:tr>
      <w:tr>
        <w:trPr>
          <w:trHeight w:val="205"/>
        </w:trPr>
        <w:tc>
          <w:tcPr>
            <w:tcW w:w="8220" w:type="dxa"/>
            <w:vAlign w:val="bottom"/>
          </w:tcPr>
          <w:p>
            <w:pPr>
              <w:ind w:left="160"/>
              <w:spacing w:after="0"/>
              <w:rPr>
                <w:sz w:val="20"/>
                <w:szCs w:val="20"/>
                <w:color w:val="auto"/>
              </w:rPr>
            </w:pPr>
            <w:r>
              <w:rPr>
                <w:rFonts w:ascii="Arial" w:cs="Arial" w:eastAsia="Arial" w:hAnsi="Arial"/>
                <w:sz w:val="14"/>
                <w:szCs w:val="14"/>
                <w:color w:val="auto"/>
              </w:rPr>
              <w:t>Non-controlled/affiliate investments (cost of $52,857,243 and $42,333,854, respectively)</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37,944,268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5,931,863</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Controlled investments (cost of $7,161,412 and $22,960,942,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775,198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22,816,733</w:t>
            </w:r>
          </w:p>
        </w:tc>
        <w:tc>
          <w:tcPr>
            <w:tcW w:w="0" w:type="dxa"/>
            <w:vAlign w:val="bottom"/>
          </w:tcPr>
          <w:p>
            <w:pPr>
              <w:spacing w:after="0"/>
              <w:rPr>
                <w:sz w:val="1"/>
                <w:szCs w:val="1"/>
                <w:color w:val="auto"/>
              </w:rPr>
            </w:pPr>
          </w:p>
        </w:tc>
      </w:tr>
      <w:tr>
        <w:trPr>
          <w:trHeight w:val="185"/>
        </w:trPr>
        <w:tc>
          <w:tcPr>
            <w:tcW w:w="8220" w:type="dxa"/>
            <w:vAlign w:val="bottom"/>
          </w:tcPr>
          <w:p>
            <w:pPr>
              <w:ind w:left="280"/>
              <w:spacing w:after="0"/>
              <w:rPr>
                <w:sz w:val="20"/>
                <w:szCs w:val="20"/>
                <w:color w:val="auto"/>
              </w:rPr>
            </w:pPr>
            <w:r>
              <w:rPr>
                <w:rFonts w:ascii="Arial" w:cs="Arial" w:eastAsia="Arial" w:hAnsi="Arial"/>
                <w:sz w:val="14"/>
                <w:szCs w:val="14"/>
                <w:color w:val="auto"/>
              </w:rPr>
              <w:t>Total Portfolio Investments</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191,585,578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198,815,829</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Investments in U.S. Treasury bills (cost of $49,996,667 and $99,982,067,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50,000,000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99,994,000</w:t>
            </w:r>
          </w:p>
        </w:tc>
        <w:tc>
          <w:tcPr>
            <w:tcW w:w="0" w:type="dxa"/>
            <w:vAlign w:val="bottom"/>
          </w:tcPr>
          <w:p>
            <w:pPr>
              <w:spacing w:after="0"/>
              <w:rPr>
                <w:sz w:val="1"/>
                <w:szCs w:val="1"/>
                <w:color w:val="auto"/>
              </w:rPr>
            </w:pPr>
          </w:p>
        </w:tc>
      </w:tr>
      <w:tr>
        <w:trPr>
          <w:trHeight w:val="185"/>
        </w:trPr>
        <w:tc>
          <w:tcPr>
            <w:tcW w:w="8220" w:type="dxa"/>
            <w:vAlign w:val="bottom"/>
          </w:tcPr>
          <w:p>
            <w:pPr>
              <w:ind w:left="320"/>
              <w:spacing w:after="0"/>
              <w:rPr>
                <w:sz w:val="20"/>
                <w:szCs w:val="20"/>
                <w:color w:val="auto"/>
              </w:rPr>
            </w:pPr>
            <w:r>
              <w:rPr>
                <w:rFonts w:ascii="Arial" w:cs="Arial" w:eastAsia="Arial" w:hAnsi="Arial"/>
                <w:sz w:val="14"/>
                <w:szCs w:val="14"/>
                <w:color w:val="auto"/>
              </w:rPr>
              <w:t>Total Investments (cost of $200,582,363 and $271,146,470, respectively)</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241,585,578</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298,809,829</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44,861,263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28,184,163</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Escrow proceeds receivable</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265,303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2,494,582</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and dividends receivable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84,630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255,670</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11,382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267,541</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1,755,933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207,769</w:t>
            </w:r>
          </w:p>
        </w:tc>
        <w:tc>
          <w:tcPr>
            <w:tcW w:w="0" w:type="dxa"/>
            <w:vAlign w:val="bottom"/>
          </w:tcPr>
          <w:p>
            <w:pPr>
              <w:spacing w:after="0"/>
              <w:rPr>
                <w:sz w:val="1"/>
                <w:szCs w:val="1"/>
                <w:color w:val="auto"/>
              </w:rPr>
            </w:pPr>
          </w:p>
        </w:tc>
      </w:tr>
      <w:tr>
        <w:trPr>
          <w:trHeight w:val="185"/>
        </w:trPr>
        <w:tc>
          <w:tcPr>
            <w:tcW w:w="8220" w:type="dxa"/>
            <w:vAlign w:val="bottom"/>
          </w:tcPr>
          <w:p>
            <w:pPr>
              <w:ind w:left="3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288,564,089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330,219,554</w:t>
            </w:r>
          </w:p>
        </w:tc>
        <w:tc>
          <w:tcPr>
            <w:tcW w:w="0" w:type="dxa"/>
            <w:vAlign w:val="bottom"/>
          </w:tcPr>
          <w:p>
            <w:pPr>
              <w:spacing w:after="0"/>
              <w:rPr>
                <w:sz w:val="1"/>
                <w:szCs w:val="1"/>
                <w:color w:val="auto"/>
              </w:rPr>
            </w:pPr>
          </w:p>
        </w:tc>
      </w:tr>
      <w:tr>
        <w:trPr>
          <w:trHeight w:val="28"/>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220" w:type="dxa"/>
            <w:vAlign w:val="bottom"/>
          </w:tcPr>
          <w:p>
            <w:pPr>
              <w:ind w:left="20"/>
              <w:spacing w:after="0"/>
              <w:rPr>
                <w:sz w:val="20"/>
                <w:szCs w:val="20"/>
                <w:color w:val="auto"/>
              </w:rPr>
            </w:pPr>
            <w:r>
              <w:rPr>
                <w:rFonts w:ascii="Arial" w:cs="Arial" w:eastAsia="Arial" w:hAnsi="Arial"/>
                <w:sz w:val="14"/>
                <w:szCs w:val="14"/>
                <w:color w:val="auto"/>
              </w:rPr>
              <w:t>Accounts payable and accrued expenses</w:t>
            </w:r>
            <w:r>
              <w:rPr>
                <w:rFonts w:ascii="Arial" w:cs="Arial" w:eastAsia="Arial" w:hAnsi="Arial"/>
                <w:sz w:val="18"/>
                <w:szCs w:val="18"/>
                <w:color w:val="auto"/>
                <w:vertAlign w:val="superscript"/>
              </w:rPr>
              <w:t>(3)</w:t>
            </w:r>
          </w:p>
        </w:tc>
        <w:tc>
          <w:tcPr>
            <w:tcW w:w="2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1,143,923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490,687</w:t>
            </w: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 fees, net of waiver of incentive fees</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4,660,472</w:t>
            </w:r>
          </w:p>
        </w:tc>
        <w:tc>
          <w:tcPr>
            <w:tcW w:w="0" w:type="dxa"/>
            <w:vAlign w:val="bottom"/>
          </w:tcPr>
          <w:p>
            <w:pPr>
              <w:spacing w:after="0"/>
              <w:rPr>
                <w:sz w:val="1"/>
                <w:szCs w:val="1"/>
                <w:color w:val="auto"/>
              </w:rPr>
            </w:pPr>
          </w:p>
        </w:tc>
      </w:tr>
      <w:tr>
        <w:trPr>
          <w:trHeight w:val="232"/>
        </w:trPr>
        <w:tc>
          <w:tcPr>
            <w:tcW w:w="8220" w:type="dxa"/>
            <w:vAlign w:val="bottom"/>
          </w:tcPr>
          <w:p>
            <w:pPr>
              <w:ind w:left="20"/>
              <w:spacing w:after="0"/>
              <w:rPr>
                <w:sz w:val="20"/>
                <w:szCs w:val="20"/>
                <w:color w:val="auto"/>
              </w:rPr>
            </w:pPr>
            <w:r>
              <w:rPr>
                <w:rFonts w:ascii="Arial" w:cs="Arial" w:eastAsia="Arial" w:hAnsi="Arial"/>
                <w:sz w:val="14"/>
                <w:szCs w:val="14"/>
                <w:color w:val="auto"/>
              </w:rPr>
              <w:t>Accrued management fees, net of waiver of management fees</w:t>
            </w:r>
            <w:r>
              <w:rPr>
                <w:rFonts w:ascii="Arial" w:cs="Arial" w:eastAsia="Arial" w:hAnsi="Arial"/>
                <w:sz w:val="18"/>
                <w:szCs w:val="18"/>
                <w:color w:val="auto"/>
                <w:vertAlign w:val="superscript"/>
              </w:rPr>
              <w:t>(1)</w:t>
            </w:r>
          </w:p>
        </w:tc>
        <w:tc>
          <w:tcPr>
            <w:tcW w:w="2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415,056</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 to executive officers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1,369,873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475,000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payable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2,107,709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Payable for securities purchased</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44,746,660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89,480,103</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885,566</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4.75% Convertible Senior Notes due March 28, 2023</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38,803,635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38,434,511</w:t>
            </w:r>
          </w:p>
        </w:tc>
        <w:tc>
          <w:tcPr>
            <w:tcW w:w="0" w:type="dxa"/>
            <w:vAlign w:val="bottom"/>
          </w:tcPr>
          <w:p>
            <w:pPr>
              <w:spacing w:after="0"/>
              <w:rPr>
                <w:sz w:val="1"/>
                <w:szCs w:val="1"/>
                <w:color w:val="auto"/>
              </w:rPr>
            </w:pPr>
          </w:p>
        </w:tc>
      </w:tr>
      <w:tr>
        <w:trPr>
          <w:trHeight w:val="212"/>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88,646,800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134,841,395</w:t>
            </w:r>
          </w:p>
        </w:tc>
        <w:tc>
          <w:tcPr>
            <w:tcW w:w="0" w:type="dxa"/>
            <w:vAlign w:val="bottom"/>
          </w:tcPr>
          <w:p>
            <w:pPr>
              <w:spacing w:after="0"/>
              <w:rPr>
                <w:sz w:val="1"/>
                <w:szCs w:val="1"/>
                <w:color w:val="auto"/>
              </w:rPr>
            </w:pPr>
          </w:p>
        </w:tc>
      </w:tr>
      <w:tr>
        <w:trPr>
          <w:trHeight w:val="185"/>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(Notes 7 and 10)</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199,917,289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195,378,159</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ASSETS</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Common stock, par value $0.01 per share (100,000,000 authorized; 17,564,244 and 19,762,647 issued and outstanding, respectively)</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175,642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197,626</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Paid-in capital in excess of par</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178,550,374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192,322,399</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net investment loss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(25,679,362)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(16,228,294)</w:t>
            </w:r>
          </w:p>
        </w:tc>
        <w:tc>
          <w:tcPr>
            <w:tcW w:w="0" w:type="dxa"/>
            <w:vAlign w:val="bottom"/>
          </w:tcPr>
          <w:p>
            <w:pPr>
              <w:spacing w:after="0"/>
              <w:rPr>
                <w:sz w:val="1"/>
                <w:szCs w:val="1"/>
                <w:color w:val="auto"/>
              </w:rPr>
            </w:pPr>
          </w:p>
        </w:tc>
      </w:tr>
      <w:tr>
        <w:trPr>
          <w:trHeight w:val="205"/>
        </w:trPr>
        <w:tc>
          <w:tcPr>
            <w:tcW w:w="8220" w:type="dxa"/>
            <w:vAlign w:val="bottom"/>
          </w:tcPr>
          <w:p>
            <w:pPr>
              <w:ind w:left="20"/>
              <w:spacing w:after="0"/>
              <w:rPr>
                <w:sz w:val="20"/>
                <w:szCs w:val="20"/>
                <w:color w:val="auto"/>
              </w:rPr>
            </w:pPr>
            <w:r>
              <w:rPr>
                <w:rFonts w:ascii="Arial" w:cs="Arial" w:eastAsia="Arial" w:hAnsi="Arial"/>
                <w:sz w:val="14"/>
                <w:szCs w:val="14"/>
                <w:color w:val="auto"/>
              </w:rPr>
              <w:t>Accumulated net realized gain/(loss) on investments</w:t>
            </w:r>
          </w:p>
        </w:tc>
        <w:tc>
          <w:tcPr>
            <w:tcW w:w="240" w:type="dxa"/>
            <w:vAlign w:val="bottom"/>
          </w:tcPr>
          <w:p>
            <w:pPr>
              <w:spacing w:after="0"/>
              <w:rPr>
                <w:sz w:val="17"/>
                <w:szCs w:val="17"/>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5,867,417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(7,691,365)</w:t>
            </w:r>
          </w:p>
        </w:tc>
        <w:tc>
          <w:tcPr>
            <w:tcW w:w="0" w:type="dxa"/>
            <w:vAlign w:val="bottom"/>
          </w:tcPr>
          <w:p>
            <w:pPr>
              <w:spacing w:after="0"/>
              <w:rPr>
                <w:sz w:val="1"/>
                <w:szCs w:val="1"/>
                <w:color w:val="auto"/>
              </w:rPr>
            </w:pPr>
          </w:p>
        </w:tc>
      </w:tr>
      <w:tr>
        <w:trPr>
          <w:trHeight w:val="28"/>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net unrealized appreciation/(depreciation) of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41,003,218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26,777,793</w:t>
            </w: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Net Assets</w:t>
            </w: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199,917,289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195,378,159</w:t>
            </w: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Net Asset Value Per Share</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11.38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100"/>
              <w:spacing w:after="0"/>
              <w:rPr>
                <w:sz w:val="20"/>
                <w:szCs w:val="20"/>
                <w:color w:val="auto"/>
              </w:rPr>
            </w:pPr>
            <w:r>
              <w:rPr>
                <w:rFonts w:ascii="Arial" w:cs="Arial" w:eastAsia="Arial" w:hAnsi="Arial"/>
                <w:sz w:val="12"/>
                <w:szCs w:val="12"/>
                <w:i w:val="1"/>
                <w:iCs w:val="1"/>
                <w:color w:val="auto"/>
              </w:rPr>
              <w:t>See accompanying notes to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2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220" w:type="dxa"/>
            <w:vAlign w:val="bottom"/>
          </w:tcPr>
          <w:p>
            <w:pPr>
              <w:spacing w:after="0"/>
              <w:rPr>
                <w:sz w:val="20"/>
                <w:szCs w:val="20"/>
                <w:color w:val="auto"/>
              </w:rPr>
            </w:pPr>
            <w:r>
              <w:rPr>
                <w:rFonts w:ascii="Arial" w:cs="Arial" w:eastAsia="Arial" w:hAnsi="Arial"/>
                <w:sz w:val="9"/>
                <w:szCs w:val="9"/>
                <w:color w:val="auto"/>
              </w:rPr>
              <w:t>__________________________________________________</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-4476750</wp:posOffset>
            </wp:positionV>
            <wp:extent cx="52273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27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-5361305</wp:posOffset>
            </wp:positionV>
            <wp:extent cx="52273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7320" cy="7620"/>
                    </a:xfrm>
                    <a:prstGeom prst="rect">
                      <a:avLst/>
                    </a:prstGeom>
                    <a:noFill/>
                  </pic:spPr>
                </pic:pic>
              </a:graphicData>
            </a:graphic>
          </wp:anchor>
        </w:drawing>
      </w:r>
    </w:p>
    <w:p>
      <w:pPr>
        <w:ind w:left="287" w:hanging="287"/>
        <w:spacing w:after="0"/>
        <w:tabs>
          <w:tab w:leader="none" w:pos="2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 w:lineRule="exact"/>
        <w:rPr>
          <w:rFonts w:ascii="Arial" w:cs="Arial" w:eastAsia="Arial" w:hAnsi="Arial"/>
          <w:sz w:val="14"/>
          <w:szCs w:val="14"/>
          <w:color w:val="auto"/>
        </w:rPr>
      </w:pPr>
    </w:p>
    <w:p>
      <w:pPr>
        <w:ind w:left="287" w:right="20" w:hanging="287"/>
        <w:spacing w:after="0" w:line="242" w:lineRule="auto"/>
        <w:tabs>
          <w:tab w:leader="none" w:pos="2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2019 and December 31, 2018, the 4.75% Convertible Senior Notes due March 28, 2023 had a face value of $40,000,000. Refer to “Note 10—Debt Capital Activities” for a reconciliation of the carrying value to the face value.</w:t>
      </w:r>
    </w:p>
    <w:p>
      <w:pPr>
        <w:ind w:left="287" w:hanging="287"/>
        <w:spacing w:after="0" w:line="249" w:lineRule="auto"/>
        <w:tabs>
          <w:tab w:leader="none" w:pos="2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balance includes a right of use asset and corresponding operating lease liability, respectively. Refer to "Note 7—Commitments and Contingencies—</w:t>
      </w:r>
      <w:r>
        <w:rPr>
          <w:rFonts w:ascii="Arial" w:cs="Arial" w:eastAsia="Arial" w:hAnsi="Arial"/>
          <w:sz w:val="14"/>
          <w:szCs w:val="14"/>
          <w:i w:val="1"/>
          <w:iCs w:val="1"/>
          <w:color w:val="auto"/>
        </w:rPr>
        <w:t>Operating Leases and Related Deposits</w:t>
      </w:r>
      <w:r>
        <w:rPr>
          <w:rFonts w:ascii="Arial" w:cs="Arial" w:eastAsia="Arial" w:hAnsi="Arial"/>
          <w:sz w:val="14"/>
          <w:szCs w:val="14"/>
          <w:color w:val="auto"/>
        </w:rPr>
        <w:t>" for more detail.</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267"/>
          </w:cols>
          <w:pgMar w:left="313" w:top="124" w:right="319" w:bottom="1440" w:gutter="0" w:footer="0" w:header="0"/>
        </w:sectPr>
      </w:pPr>
    </w:p>
    <w:bookmarkStart w:id="78" w:name="page79"/>
    <w:bookmarkEnd w:id="78"/>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335"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Non-controlled/non-affiliate investments: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Interest income</w:t>
            </w:r>
          </w:p>
        </w:tc>
        <w:tc>
          <w:tcPr>
            <w:tcW w:w="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828,392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351,188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0" w:type="dxa"/>
            <w:vAlign w:val="bottom"/>
          </w:tcPr>
          <w:p>
            <w:pPr>
              <w:spacing w:after="0"/>
              <w:rPr>
                <w:sz w:val="1"/>
                <w:szCs w:val="1"/>
                <w:color w:val="auto"/>
              </w:rPr>
            </w:pPr>
          </w:p>
        </w:tc>
      </w:tr>
      <w:tr>
        <w:trPr>
          <w:trHeight w:val="205"/>
        </w:trPr>
        <w:tc>
          <w:tcPr>
            <w:tcW w:w="5980" w:type="dxa"/>
            <w:vAlign w:val="bottom"/>
          </w:tcPr>
          <w:p>
            <w:pPr>
              <w:ind w:left="320"/>
              <w:spacing w:after="0"/>
              <w:rPr>
                <w:sz w:val="20"/>
                <w:szCs w:val="20"/>
                <w:color w:val="auto"/>
              </w:rPr>
            </w:pPr>
            <w:r>
              <w:rPr>
                <w:rFonts w:ascii="Arial" w:cs="Arial" w:eastAsia="Arial" w:hAnsi="Arial"/>
                <w:sz w:val="14"/>
                <w:szCs w:val="14"/>
                <w:color w:val="auto"/>
              </w:rPr>
              <w:t>Dividend income</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73,096</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Non-controlled/affiliate investments: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32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108,395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581,813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59,460</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Controlled investments: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ind w:left="32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58,937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59,835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249,839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Dividend income</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625,000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85"/>
        </w:trPr>
        <w:tc>
          <w:tcPr>
            <w:tcW w:w="5980" w:type="dxa"/>
            <w:vAlign w:val="bottom"/>
          </w:tcPr>
          <w:p>
            <w:pPr>
              <w:ind w:left="140"/>
              <w:spacing w:after="0"/>
              <w:rPr>
                <w:sz w:val="20"/>
                <w:szCs w:val="20"/>
                <w:color w:val="auto"/>
              </w:rPr>
            </w:pPr>
            <w:r>
              <w:rPr>
                <w:rFonts w:ascii="Arial" w:cs="Arial" w:eastAsia="Arial" w:hAnsi="Arial"/>
                <w:sz w:val="14"/>
                <w:szCs w:val="14"/>
                <w:b w:val="1"/>
                <w:bCs w:val="1"/>
                <w:color w:val="auto"/>
              </w:rPr>
              <w:t>Total Investment Income</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1,495,724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1,617,836</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852,768</w:t>
            </w:r>
          </w:p>
        </w:tc>
        <w:tc>
          <w:tcPr>
            <w:tcW w:w="0" w:type="dxa"/>
            <w:vAlign w:val="bottom"/>
          </w:tcPr>
          <w:p>
            <w:pPr>
              <w:spacing w:after="0"/>
              <w:rPr>
                <w:sz w:val="1"/>
                <w:szCs w:val="1"/>
                <w:color w:val="auto"/>
              </w:rPr>
            </w:pPr>
          </w:p>
        </w:tc>
      </w:tr>
      <w:tr>
        <w:trPr>
          <w:trHeight w:val="28"/>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4"/>
                <w:szCs w:val="14"/>
                <w:color w:val="auto"/>
              </w:rPr>
              <w:t>Management fees</w:t>
            </w:r>
            <w:r>
              <w:rPr>
                <w:rFonts w:ascii="Arial" w:cs="Arial" w:eastAsia="Arial" w:hAnsi="Arial"/>
                <w:sz w:val="18"/>
                <w:szCs w:val="18"/>
                <w:color w:val="auto"/>
                <w:vertAlign w:val="superscript"/>
              </w:rPr>
              <w:t>(1)</w:t>
            </w:r>
          </w:p>
        </w:tc>
        <w:tc>
          <w:tcPr>
            <w:tcW w:w="40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848,723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5,199,900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5,666,176</w:t>
            </w: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Incentive fees/(Reversal of incentive fee accrual)</w:t>
            </w:r>
            <w:r>
              <w:rPr>
                <w:rFonts w:ascii="Arial" w:cs="Arial" w:eastAsia="Arial" w:hAnsi="Arial"/>
                <w:sz w:val="18"/>
                <w:szCs w:val="18"/>
                <w:color w:val="auto"/>
                <w:vertAlign w:val="superscript"/>
              </w:rPr>
              <w:t>(1)</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(4,660,472)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382,387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7,151,641</w:t>
            </w: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4"/>
                <w:szCs w:val="14"/>
                <w:color w:val="auto"/>
              </w:rPr>
              <w:t>Costs incurred under Administration Agreement</w:t>
            </w:r>
            <w:r>
              <w:rPr>
                <w:rFonts w:ascii="Arial" w:cs="Arial" w:eastAsia="Arial" w:hAnsi="Arial"/>
                <w:sz w:val="18"/>
                <w:szCs w:val="18"/>
                <w:color w:val="auto"/>
                <w:vertAlign w:val="superscript"/>
              </w:rPr>
              <w:t>(1)</w:t>
            </w:r>
          </w:p>
        </w:tc>
        <w:tc>
          <w:tcPr>
            <w:tcW w:w="40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306,084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1,702,047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1,874,839</w:t>
            </w: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r>
              <w:rPr>
                <w:rFonts w:ascii="Arial" w:cs="Arial" w:eastAsia="Arial" w:hAnsi="Arial"/>
                <w:sz w:val="18"/>
                <w:szCs w:val="18"/>
                <w:color w:val="auto"/>
                <w:vertAlign w:val="superscript"/>
              </w:rPr>
              <w:t>(2)</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4,286,972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Directors’ fees</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383,370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345,000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328,480</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5,290,329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1,587,578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2,068,668</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2,372,570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4,545,471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4,696,819</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33,825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482,994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52,901</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2,085,391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899,457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600,331</w:t>
            </w:r>
          </w:p>
        </w:tc>
        <w:tc>
          <w:tcPr>
            <w:tcW w:w="0" w:type="dxa"/>
            <w:vAlign w:val="bottom"/>
          </w:tcPr>
          <w:p>
            <w:pPr>
              <w:spacing w:after="0"/>
              <w:rPr>
                <w:sz w:val="1"/>
                <w:szCs w:val="1"/>
                <w:color w:val="auto"/>
              </w:rPr>
            </w:pPr>
          </w:p>
        </w:tc>
      </w:tr>
      <w:tr>
        <w:trPr>
          <w:trHeight w:val="28"/>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10,946,792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15,144,834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22,439,855</w:t>
            </w:r>
          </w:p>
        </w:tc>
        <w:tc>
          <w:tcPr>
            <w:tcW w:w="0" w:type="dxa"/>
            <w:vAlign w:val="bottom"/>
          </w:tcPr>
          <w:p>
            <w:pPr>
              <w:spacing w:after="0"/>
              <w:rPr>
                <w:sz w:val="1"/>
                <w:szCs w:val="1"/>
                <w:color w:val="auto"/>
              </w:rPr>
            </w:pPr>
          </w:p>
        </w:tc>
      </w:tr>
      <w:tr>
        <w:trPr>
          <w:trHeight w:val="232"/>
        </w:trPr>
        <w:tc>
          <w:tcPr>
            <w:tcW w:w="5980" w:type="dxa"/>
            <w:vAlign w:val="bottom"/>
          </w:tcPr>
          <w:p>
            <w:pPr>
              <w:ind w:left="160"/>
              <w:spacing w:after="0"/>
              <w:rPr>
                <w:sz w:val="20"/>
                <w:szCs w:val="20"/>
                <w:color w:val="auto"/>
              </w:rPr>
            </w:pPr>
            <w:r>
              <w:rPr>
                <w:rFonts w:ascii="Arial" w:cs="Arial" w:eastAsia="Arial" w:hAnsi="Arial"/>
                <w:sz w:val="14"/>
                <w:szCs w:val="14"/>
                <w:color w:val="auto"/>
              </w:rPr>
              <w:t>Management fee waiver</w:t>
            </w:r>
            <w:r>
              <w:rPr>
                <w:rFonts w:ascii="Arial" w:cs="Arial" w:eastAsia="Arial" w:hAnsi="Arial"/>
                <w:sz w:val="18"/>
                <w:szCs w:val="18"/>
                <w:color w:val="auto"/>
                <w:vertAlign w:val="superscript"/>
              </w:rPr>
              <w:t>(1)</w:t>
            </w:r>
          </w:p>
        </w:tc>
        <w:tc>
          <w:tcPr>
            <w:tcW w:w="4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(892,421)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(708,272)</w:t>
            </w: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Incentive fee waiver</w:t>
            </w:r>
            <w:r>
              <w:rPr>
                <w:rFonts w:ascii="Arial" w:cs="Arial" w:eastAsia="Arial" w:hAnsi="Arial"/>
                <w:sz w:val="18"/>
                <w:szCs w:val="18"/>
                <w:color w:val="auto"/>
                <w:vertAlign w:val="superscript"/>
              </w:rPr>
              <w:t>(1)</w:t>
            </w: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980" w:type="dxa"/>
            <w:vAlign w:val="bottom"/>
          </w:tcPr>
          <w:p>
            <w:pPr>
              <w:ind w:left="140"/>
              <w:spacing w:after="0"/>
              <w:rPr>
                <w:sz w:val="20"/>
                <w:szCs w:val="20"/>
                <w:color w:val="auto"/>
              </w:rPr>
            </w:pPr>
            <w:r>
              <w:rPr>
                <w:rFonts w:ascii="Arial" w:cs="Arial" w:eastAsia="Arial" w:hAnsi="Arial"/>
                <w:sz w:val="14"/>
                <w:szCs w:val="14"/>
                <w:color w:val="auto"/>
              </w:rPr>
              <w:t>Total operating expenses, net of waiver of management and incentive fees</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10,946,792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9,252,413</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21,731,583</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Investment Loss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(9,451,068)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(7,634,577)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(20,878,815)</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Realized Gains/(Losses) on Investments: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Non-controlled/non-affiliated investments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32,625,663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(7,432,939)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3,989,476</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Non-controlled/affiliate investments</w:t>
            </w:r>
          </w:p>
        </w:tc>
        <w:tc>
          <w:tcPr>
            <w:tcW w:w="400" w:type="dxa"/>
            <w:vAlign w:val="bottom"/>
          </w:tcPr>
          <w:p>
            <w:pPr>
              <w:spacing w:after="0"/>
              <w:rPr>
                <w:sz w:val="17"/>
                <w:szCs w:val="17"/>
                <w:color w:val="auto"/>
              </w:rPr>
            </w:pPr>
          </w:p>
        </w:tc>
        <w:tc>
          <w:tcPr>
            <w:tcW w:w="1300" w:type="dxa"/>
            <w:vAlign w:val="bottom"/>
          </w:tcPr>
          <w:p>
            <w:pPr>
              <w:jc w:val="right"/>
              <w:ind w:right="11"/>
              <w:spacing w:after="0"/>
              <w:rPr>
                <w:sz w:val="20"/>
                <w:szCs w:val="20"/>
                <w:color w:val="auto"/>
              </w:rPr>
            </w:pPr>
            <w:r>
              <w:rPr>
                <w:rFonts w:ascii="Arial" w:cs="Arial" w:eastAsia="Arial" w:hAnsi="Arial"/>
                <w:sz w:val="14"/>
                <w:szCs w:val="14"/>
                <w:color w:val="auto"/>
              </w:rPr>
              <w:t>(13,446,323)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Controlled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(3,075,494)</w:t>
            </w:r>
          </w:p>
        </w:tc>
        <w:tc>
          <w:tcPr>
            <w:tcW w:w="0" w:type="dxa"/>
            <w:vAlign w:val="bottom"/>
          </w:tcPr>
          <w:p>
            <w:pPr>
              <w:spacing w:after="0"/>
              <w:rPr>
                <w:sz w:val="1"/>
                <w:szCs w:val="1"/>
                <w:color w:val="auto"/>
              </w:rPr>
            </w:pPr>
          </w:p>
        </w:tc>
      </w:tr>
      <w:tr>
        <w:trPr>
          <w:trHeight w:val="185"/>
        </w:trPr>
        <w:tc>
          <w:tcPr>
            <w:tcW w:w="59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Net Realized Gain/(Loss) on Investments</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19,179,340</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(7,433,619)</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913,982</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Realized loss on partial repurchase of 5.25% Convertible Senior Notes due 2018</w:t>
            </w:r>
          </w:p>
        </w:tc>
        <w:tc>
          <w:tcPr>
            <w:tcW w:w="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(397,846)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Change in Unrealized Appreciation/(Depreciation) of Investments: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Non-controlled/non-affiliated investments</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(1,907,148)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21,819,883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45,958,490</w:t>
            </w:r>
          </w:p>
        </w:tc>
        <w:tc>
          <w:tcPr>
            <w:tcW w:w="0" w:type="dxa"/>
            <w:vAlign w:val="bottom"/>
          </w:tcPr>
          <w:p>
            <w:pPr>
              <w:spacing w:after="0"/>
              <w:rPr>
                <w:sz w:val="1"/>
                <w:szCs w:val="1"/>
                <w:color w:val="auto"/>
              </w:rPr>
            </w:pPr>
          </w:p>
        </w:tc>
      </w:tr>
      <w:tr>
        <w:trPr>
          <w:trHeight w:val="205"/>
        </w:trPr>
        <w:tc>
          <w:tcPr>
            <w:tcW w:w="5980" w:type="dxa"/>
            <w:vAlign w:val="bottom"/>
          </w:tcPr>
          <w:p>
            <w:pPr>
              <w:ind w:left="20"/>
              <w:spacing w:after="0"/>
              <w:rPr>
                <w:sz w:val="20"/>
                <w:szCs w:val="20"/>
                <w:color w:val="auto"/>
              </w:rPr>
            </w:pPr>
            <w:r>
              <w:rPr>
                <w:rFonts w:ascii="Arial" w:cs="Arial" w:eastAsia="Arial" w:hAnsi="Arial"/>
                <w:sz w:val="14"/>
                <w:szCs w:val="14"/>
                <w:color w:val="auto"/>
              </w:rPr>
              <w:t>Non-controlled/affiliate investments</w:t>
            </w:r>
          </w:p>
        </w:tc>
        <w:tc>
          <w:tcPr>
            <w:tcW w:w="40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21,489,014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(10,988,777)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(16,084,516)</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Controlled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(6,242,007)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(1,190,056)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4,901,722</w:t>
            </w:r>
          </w:p>
        </w:tc>
        <w:tc>
          <w:tcPr>
            <w:tcW w:w="0" w:type="dxa"/>
            <w:vAlign w:val="bottom"/>
          </w:tcPr>
          <w:p>
            <w:pPr>
              <w:spacing w:after="0"/>
              <w:rPr>
                <w:sz w:val="1"/>
                <w:szCs w:val="1"/>
                <w:color w:val="auto"/>
              </w:rPr>
            </w:pPr>
          </w:p>
        </w:tc>
      </w:tr>
      <w:tr>
        <w:trPr>
          <w:trHeight w:val="185"/>
        </w:trPr>
        <w:tc>
          <w:tcPr>
            <w:tcW w:w="59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Net Change in Unrealized Appreciation/(Depreciation) of Investments</w:t>
            </w: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13,339,859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9,641,050</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34,775,696</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Benefit from taxes on unrealized depreciation of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885,566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6,716,735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2,757,070</w:t>
            </w: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Net Change in Net Assets Resulting from Operations</w:t>
            </w: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23,953,697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891,743</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17,567,933</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Net Assets Resulting from Operations per Common Share:</w:t>
            </w: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9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shd w:val="clear" w:color="auto" w:fill="CCEEFF"/>
          </w:tcPr>
          <w:p>
            <w:pPr>
              <w:ind w:left="320"/>
              <w:spacing w:after="0" w:line="203" w:lineRule="exact"/>
              <w:rPr>
                <w:sz w:val="20"/>
                <w:szCs w:val="20"/>
                <w:color w:val="auto"/>
              </w:rPr>
            </w:pPr>
            <w:r>
              <w:rPr>
                <w:rFonts w:ascii="Arial" w:cs="Arial" w:eastAsia="Arial" w:hAnsi="Arial"/>
                <w:sz w:val="14"/>
                <w:szCs w:val="14"/>
                <w:color w:val="auto"/>
              </w:rPr>
              <w:t>Diluted</w:t>
            </w:r>
            <w:r>
              <w:rPr>
                <w:rFonts w:ascii="Arial" w:cs="Arial" w:eastAsia="Arial" w:hAnsi="Arial"/>
                <w:sz w:val="18"/>
                <w:szCs w:val="18"/>
                <w:color w:val="auto"/>
                <w:vertAlign w:val="superscript"/>
              </w:rPr>
              <w:t>(3)</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Weighted-Average Common Shares Outstanding</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19,328,414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20,617,890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21,924,490</w:t>
            </w:r>
          </w:p>
        </w:tc>
        <w:tc>
          <w:tcPr>
            <w:tcW w:w="0" w:type="dxa"/>
            <w:vAlign w:val="bottom"/>
          </w:tcPr>
          <w:p>
            <w:pPr>
              <w:spacing w:after="0"/>
              <w:rPr>
                <w:sz w:val="1"/>
                <w:szCs w:val="1"/>
                <w:color w:val="auto"/>
              </w:rPr>
            </w:pPr>
          </w:p>
        </w:tc>
      </w:tr>
      <w:tr>
        <w:trPr>
          <w:trHeight w:val="250"/>
        </w:trPr>
        <w:tc>
          <w:tcPr>
            <w:tcW w:w="5980" w:type="dxa"/>
            <w:vAlign w:val="bottom"/>
          </w:tcPr>
          <w:p>
            <w:pPr>
              <w:ind w:left="320"/>
              <w:spacing w:after="0"/>
              <w:rPr>
                <w:sz w:val="20"/>
                <w:szCs w:val="20"/>
                <w:color w:val="auto"/>
              </w:rPr>
            </w:pPr>
            <w:r>
              <w:rPr>
                <w:rFonts w:ascii="Arial" w:cs="Arial" w:eastAsia="Arial" w:hAnsi="Arial"/>
                <w:sz w:val="14"/>
                <w:szCs w:val="14"/>
                <w:color w:val="auto"/>
              </w:rPr>
              <w:t>Diluted</w:t>
            </w:r>
            <w:r>
              <w:rPr>
                <w:rFonts w:ascii="Arial" w:cs="Arial" w:eastAsia="Arial" w:hAnsi="Arial"/>
                <w:sz w:val="18"/>
                <w:szCs w:val="18"/>
                <w:color w:val="auto"/>
                <w:vertAlign w:val="superscript"/>
              </w:rPr>
              <w:t>(3)</w:t>
            </w:r>
          </w:p>
        </w:tc>
        <w:tc>
          <w:tcPr>
            <w:tcW w:w="40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23,069,622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4"/>
                <w:szCs w:val="14"/>
                <w:color w:val="auto"/>
              </w:rPr>
              <w:t>20,617,890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21,924,490</w:t>
            </w:r>
          </w:p>
        </w:tc>
        <w:tc>
          <w:tcPr>
            <w:tcW w:w="0" w:type="dxa"/>
            <w:vAlign w:val="bottom"/>
          </w:tcPr>
          <w:p>
            <w:pPr>
              <w:spacing w:after="0"/>
              <w:rPr>
                <w:sz w:val="1"/>
                <w:szCs w:val="1"/>
                <w:color w:val="auto"/>
              </w:rPr>
            </w:pPr>
          </w:p>
        </w:tc>
      </w:tr>
    </w:tbl>
    <w:p>
      <w:pPr>
        <w:jc w:val="center"/>
        <w:ind w:right="-6"/>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4" w:lineRule="exact"/>
        <w:rPr>
          <w:sz w:val="20"/>
          <w:szCs w:val="20"/>
          <w:color w:val="auto"/>
        </w:rPr>
      </w:pPr>
    </w:p>
    <w:p>
      <w:pPr>
        <w:ind w:left="7"/>
        <w:spacing w:after="0"/>
        <w:rPr>
          <w:sz w:val="20"/>
          <w:szCs w:val="20"/>
          <w:color w:val="auto"/>
        </w:rPr>
      </w:pPr>
      <w:r>
        <w:rPr>
          <w:rFonts w:ascii="Arial" w:cs="Arial" w:eastAsia="Arial" w:hAnsi="Arial"/>
          <w:sz w:val="3"/>
          <w:szCs w:val="3"/>
          <w:color w:val="auto"/>
        </w:rPr>
        <w:t>____________________________________________________________________________________________________________________________</w:t>
      </w:r>
    </w:p>
    <w:p>
      <w:pPr>
        <w:spacing w:after="0" w:line="1" w:lineRule="exact"/>
        <w:rPr>
          <w:sz w:val="20"/>
          <w:szCs w:val="20"/>
          <w:color w:val="auto"/>
        </w:rPr>
      </w:pPr>
    </w:p>
    <w:p>
      <w:pPr>
        <w:ind w:left="287" w:hanging="287"/>
        <w:spacing w:after="0"/>
        <w:tabs>
          <w:tab w:leader="none" w:pos="287"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This balance references a related-party transaction. Refer to “Note 3—Related-Party Arrangements” for more detail.</w:t>
      </w:r>
    </w:p>
    <w:p>
      <w:pPr>
        <w:spacing w:after="0" w:line="1" w:lineRule="exact"/>
        <w:rPr>
          <w:rFonts w:ascii="Arial" w:cs="Arial" w:eastAsia="Arial" w:hAnsi="Arial"/>
          <w:sz w:val="12"/>
          <w:szCs w:val="12"/>
          <w:color w:val="auto"/>
        </w:rPr>
      </w:pPr>
    </w:p>
    <w:p>
      <w:pPr>
        <w:ind w:left="287" w:hanging="287"/>
        <w:spacing w:after="0"/>
        <w:tabs>
          <w:tab w:leader="none" w:pos="287"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This balance includes stock-based compensation to executive officers and employees. Refer to "Note 11— Stock-Based Compensation" for more detail.</w:t>
      </w:r>
    </w:p>
    <w:p>
      <w:pPr>
        <w:spacing w:after="0" w:line="1" w:lineRule="exact"/>
        <w:rPr>
          <w:rFonts w:ascii="Arial" w:cs="Arial" w:eastAsia="Arial" w:hAnsi="Arial"/>
          <w:sz w:val="12"/>
          <w:szCs w:val="12"/>
          <w:color w:val="auto"/>
        </w:rPr>
      </w:pPr>
    </w:p>
    <w:p>
      <w:pPr>
        <w:jc w:val="both"/>
        <w:ind w:left="287" w:right="20" w:hanging="287"/>
        <w:spacing w:after="0" w:line="249" w:lineRule="auto"/>
        <w:tabs>
          <w:tab w:leader="none" w:pos="287"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the years ended December 31, 2019, 2018, and 2017, 0, 6,079,068, and 5,751,815 potentially dilutive common shares, respectively,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ectPr>
          <w:pgSz w:w="11900" w:h="16838" w:orient="portrait"/>
          <w:cols w:equalWidth="0" w:num="1">
            <w:col w:w="11267"/>
          </w:cols>
          <w:pgMar w:left="313" w:top="124" w:right="3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67"/>
          </w:cols>
          <w:pgMar w:left="313" w:top="124" w:right="319" w:bottom="1440" w:gutter="0" w:footer="0" w:header="0"/>
          <w:type w:val="continuous"/>
        </w:sectPr>
      </w:pPr>
    </w:p>
    <w:bookmarkStart w:id="79" w:name="page80"/>
    <w:bookmarkEnd w:id="7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NET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Change in Net Assets Resulting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80" w:type="dxa"/>
            <w:vAlign w:val="bottom"/>
          </w:tcPr>
          <w:p>
            <w:pPr>
              <w:ind w:left="140"/>
              <w:spacing w:after="0"/>
              <w:rPr>
                <w:sz w:val="20"/>
                <w:szCs w:val="20"/>
                <w:color w:val="auto"/>
              </w:rPr>
            </w:pPr>
            <w:r>
              <w:rPr>
                <w:rFonts w:ascii="Arial" w:cs="Arial" w:eastAsia="Arial" w:hAnsi="Arial"/>
                <w:sz w:val="14"/>
                <w:szCs w:val="14"/>
                <w:color w:val="auto"/>
              </w:rPr>
              <w:t>Net investment loss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(9,451,068)</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(7,634,577)</w:t>
            </w:r>
          </w:p>
        </w:tc>
        <w:tc>
          <w:tcPr>
            <w:tcW w:w="100" w:type="dxa"/>
            <w:vAlign w:val="bottom"/>
          </w:tcPr>
          <w:p>
            <w:pPr>
              <w:spacing w:after="0"/>
              <w:rPr>
                <w:sz w:val="17"/>
                <w:szCs w:val="17"/>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(20,878,815)</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realized gains/(losses) on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19,179,340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(7,433,619)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913,982</w:t>
            </w:r>
          </w:p>
        </w:tc>
        <w:tc>
          <w:tcPr>
            <w:tcW w:w="0" w:type="dxa"/>
            <w:vAlign w:val="bottom"/>
          </w:tcPr>
          <w:p>
            <w:pPr>
              <w:spacing w:after="0"/>
              <w:rPr>
                <w:sz w:val="1"/>
                <w:szCs w:val="1"/>
                <w:color w:val="auto"/>
              </w:rPr>
            </w:pPr>
          </w:p>
        </w:tc>
      </w:tr>
      <w:tr>
        <w:trPr>
          <w:trHeight w:val="205"/>
        </w:trPr>
        <w:tc>
          <w:tcPr>
            <w:tcW w:w="6980" w:type="dxa"/>
            <w:vAlign w:val="bottom"/>
          </w:tcPr>
          <w:p>
            <w:pPr>
              <w:ind w:left="140"/>
              <w:spacing w:after="0"/>
              <w:rPr>
                <w:sz w:val="20"/>
                <w:szCs w:val="20"/>
                <w:color w:val="auto"/>
              </w:rPr>
            </w:pPr>
            <w:r>
              <w:rPr>
                <w:rFonts w:ascii="Arial" w:cs="Arial" w:eastAsia="Arial" w:hAnsi="Arial"/>
                <w:sz w:val="14"/>
                <w:szCs w:val="14"/>
                <w:color w:val="auto"/>
              </w:rPr>
              <w:t>Realized loss on partial repurchase of 5.25% Convertible Senior Notes due 2018</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(397,846)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change in unrealized appreciation/(depreciation) of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13,339,859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9,641,050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34,775,696</w:t>
            </w:r>
          </w:p>
        </w:tc>
        <w:tc>
          <w:tcPr>
            <w:tcW w:w="0" w:type="dxa"/>
            <w:vAlign w:val="bottom"/>
          </w:tcPr>
          <w:p>
            <w:pPr>
              <w:spacing w:after="0"/>
              <w:rPr>
                <w:sz w:val="1"/>
                <w:szCs w:val="1"/>
                <w:color w:val="auto"/>
              </w:rPr>
            </w:pPr>
          </w:p>
        </w:tc>
      </w:tr>
      <w:tr>
        <w:trPr>
          <w:trHeight w:val="205"/>
        </w:trPr>
        <w:tc>
          <w:tcPr>
            <w:tcW w:w="6980" w:type="dxa"/>
            <w:vAlign w:val="bottom"/>
          </w:tcPr>
          <w:p>
            <w:pPr>
              <w:ind w:left="140"/>
              <w:spacing w:after="0"/>
              <w:rPr>
                <w:sz w:val="20"/>
                <w:szCs w:val="20"/>
                <w:color w:val="auto"/>
              </w:rPr>
            </w:pPr>
            <w:r>
              <w:rPr>
                <w:rFonts w:ascii="Arial" w:cs="Arial" w:eastAsia="Arial" w:hAnsi="Arial"/>
                <w:sz w:val="14"/>
                <w:szCs w:val="14"/>
                <w:color w:val="auto"/>
              </w:rPr>
              <w:t>Benefit from taxes on unrealized depreciation of investments</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885,566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6,716,735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2,757,070</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Net Change in Net Assets Resulting from Operations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23,953,697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891,743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17,567,933</w:t>
            </w:r>
          </w:p>
        </w:tc>
        <w:tc>
          <w:tcPr>
            <w:tcW w:w="0" w:type="dxa"/>
            <w:vAlign w:val="bottom"/>
          </w:tcPr>
          <w:p>
            <w:pPr>
              <w:spacing w:after="0"/>
              <w:rPr>
                <w:sz w:val="1"/>
                <w:szCs w:val="1"/>
                <w:color w:val="auto"/>
              </w:rPr>
            </w:pPr>
          </w:p>
        </w:tc>
      </w:tr>
      <w:tr>
        <w:trPr>
          <w:trHeight w:val="205"/>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(5,620,558)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tcPr>
          <w:p>
            <w:pPr>
              <w:ind w:left="220"/>
              <w:spacing w:after="0"/>
              <w:rPr>
                <w:sz w:val="20"/>
                <w:szCs w:val="20"/>
                <w:color w:val="auto"/>
              </w:rPr>
            </w:pPr>
            <w:r>
              <w:rPr>
                <w:rFonts w:ascii="Arial" w:cs="Arial" w:eastAsia="Arial" w:hAnsi="Arial"/>
                <w:sz w:val="14"/>
                <w:szCs w:val="14"/>
                <w:b w:val="1"/>
                <w:bCs w:val="1"/>
                <w:color w:val="auto"/>
              </w:rPr>
              <w:t>Total Distributions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(5,620,558)</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Change in Net Assets Resulting from Capital Transactions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998,355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(14,792,364)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(10,276,450)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(4,933,877)</w:t>
            </w:r>
          </w:p>
        </w:tc>
        <w:tc>
          <w:tcPr>
            <w:tcW w:w="0" w:type="dxa"/>
            <w:vAlign w:val="bottom"/>
          </w:tcPr>
          <w:p>
            <w:pPr>
              <w:spacing w:after="0"/>
              <w:rPr>
                <w:sz w:val="1"/>
                <w:szCs w:val="1"/>
                <w:color w:val="auto"/>
              </w:rPr>
            </w:pPr>
          </w:p>
        </w:tc>
      </w:tr>
      <w:tr>
        <w:trPr>
          <w:trHeight w:val="185"/>
        </w:trPr>
        <w:tc>
          <w:tcPr>
            <w:tcW w:w="6980" w:type="dxa"/>
            <w:vAlign w:val="bottom"/>
            <w:tcBorders>
              <w:top w:val="single" w:sz="8" w:color="CCEEFF"/>
            </w:tcBorders>
          </w:tcPr>
          <w:p>
            <w:pPr>
              <w:ind w:left="220"/>
              <w:spacing w:after="0"/>
              <w:rPr>
                <w:sz w:val="20"/>
                <w:szCs w:val="20"/>
                <w:color w:val="auto"/>
              </w:rPr>
            </w:pPr>
            <w:r>
              <w:rPr>
                <w:rFonts w:ascii="Arial" w:cs="Arial" w:eastAsia="Arial" w:hAnsi="Arial"/>
                <w:sz w:val="14"/>
                <w:szCs w:val="14"/>
                <w:b w:val="1"/>
                <w:bCs w:val="1"/>
                <w:color w:val="auto"/>
              </w:rPr>
              <w:t>Net Decrease in Net Assets Resulting from Capital Transactions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(13,794,009)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(10,276,450)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(4,933,877)</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Change in Net Assets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4,539,130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(9,384,707)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12,634,056</w:t>
            </w:r>
          </w:p>
        </w:tc>
        <w:tc>
          <w:tcPr>
            <w:tcW w:w="0" w:type="dxa"/>
            <w:vAlign w:val="bottom"/>
          </w:tcPr>
          <w:p>
            <w:pPr>
              <w:spacing w:after="0"/>
              <w:rPr>
                <w:sz w:val="1"/>
                <w:szCs w:val="1"/>
                <w:color w:val="auto"/>
              </w:rPr>
            </w:pPr>
          </w:p>
        </w:tc>
      </w:tr>
      <w:tr>
        <w:trPr>
          <w:trHeight w:val="205"/>
        </w:trPr>
        <w:tc>
          <w:tcPr>
            <w:tcW w:w="6980" w:type="dxa"/>
            <w:vAlign w:val="bottom"/>
          </w:tcPr>
          <w:p>
            <w:pPr>
              <w:ind w:left="20"/>
              <w:spacing w:after="0"/>
              <w:rPr>
                <w:sz w:val="20"/>
                <w:szCs w:val="20"/>
                <w:color w:val="auto"/>
              </w:rPr>
            </w:pPr>
            <w:r>
              <w:rPr>
                <w:rFonts w:ascii="Arial" w:cs="Arial" w:eastAsia="Arial" w:hAnsi="Arial"/>
                <w:sz w:val="14"/>
                <w:szCs w:val="14"/>
                <w:color w:val="auto"/>
              </w:rPr>
              <w:t>Net Assets at Beginning of Year</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195,378,159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204,762,866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192,128,810</w:t>
            </w:r>
          </w:p>
        </w:tc>
        <w:tc>
          <w:tcPr>
            <w:tcW w:w="0" w:type="dxa"/>
            <w:vAlign w:val="bottom"/>
          </w:tcPr>
          <w:p>
            <w:pPr>
              <w:spacing w:after="0"/>
              <w:rPr>
                <w:sz w:val="1"/>
                <w:szCs w:val="1"/>
                <w:color w:val="auto"/>
              </w:rPr>
            </w:pPr>
          </w:p>
        </w:tc>
      </w:tr>
      <w:tr>
        <w:trPr>
          <w:trHeight w:val="28"/>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Net Assets at End of Year</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199,917,289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195,378,159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204,762,866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Capital Share Activity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Shares outstanding at beginning of year</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19,762,647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21,246,345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22,181,003</w:t>
            </w:r>
          </w:p>
        </w:tc>
        <w:tc>
          <w:tcPr>
            <w:tcW w:w="0" w:type="dxa"/>
            <w:vAlign w:val="bottom"/>
          </w:tcPr>
          <w:p>
            <w:pPr>
              <w:spacing w:after="0"/>
              <w:rPr>
                <w:sz w:val="1"/>
                <w:szCs w:val="1"/>
                <w:color w:val="auto"/>
              </w:rPr>
            </w:pPr>
          </w:p>
        </w:tc>
      </w:tr>
      <w:tr>
        <w:trPr>
          <w:trHeight w:val="205"/>
        </w:trPr>
        <w:tc>
          <w:tcPr>
            <w:tcW w:w="6980" w:type="dxa"/>
            <w:vAlign w:val="bottom"/>
          </w:tcPr>
          <w:p>
            <w:pPr>
              <w:ind w:left="140"/>
              <w:spacing w:after="0"/>
              <w:rPr>
                <w:sz w:val="20"/>
                <w:szCs w:val="20"/>
                <w:color w:val="auto"/>
              </w:rPr>
            </w:pPr>
            <w:r>
              <w:rPr>
                <w:rFonts w:ascii="Arial" w:cs="Arial" w:eastAsia="Arial" w:hAnsi="Arial"/>
                <w:sz w:val="14"/>
                <w:szCs w:val="14"/>
                <w:color w:val="auto"/>
              </w:rPr>
              <w:t>Shares issued</w:t>
            </w:r>
          </w:p>
        </w:tc>
        <w:tc>
          <w:tcPr>
            <w:tcW w:w="32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Shares repurchased</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(2,198,403)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(1,483,698)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(934,658)</w:t>
            </w:r>
          </w:p>
        </w:tc>
        <w:tc>
          <w:tcPr>
            <w:tcW w:w="0" w:type="dxa"/>
            <w:vAlign w:val="bottom"/>
          </w:tcPr>
          <w:p>
            <w:pPr>
              <w:spacing w:after="0"/>
              <w:rPr>
                <w:sz w:val="1"/>
                <w:szCs w:val="1"/>
                <w:color w:val="auto"/>
              </w:rPr>
            </w:pPr>
          </w:p>
        </w:tc>
      </w:tr>
      <w:tr>
        <w:trPr>
          <w:trHeight w:val="204"/>
        </w:trPr>
        <w:tc>
          <w:tcPr>
            <w:tcW w:w="69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Shares Outstanding at End of Year</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17,564,244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19,762,647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21,246,345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-928370</wp:posOffset>
            </wp:positionV>
            <wp:extent cx="44386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386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-1223010</wp:posOffset>
            </wp:positionV>
            <wp:extent cx="443865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386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-1812925</wp:posOffset>
            </wp:positionV>
            <wp:extent cx="44386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38650" cy="762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260"/>
          </w:cols>
          <w:pgMar w:left="320" w:top="124" w:right="319" w:bottom="1440" w:gutter="0" w:footer="0" w:header="0"/>
        </w:sectPr>
      </w:pPr>
    </w:p>
    <w:bookmarkStart w:id="80" w:name="page81"/>
    <w:bookmarkEnd w:id="80"/>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0" w:lineRule="exact"/>
        <w:rPr>
          <w:sz w:val="20"/>
          <w:szCs w:val="20"/>
          <w:color w:val="auto"/>
        </w:rPr>
      </w:pPr>
    </w:p>
    <w:p>
      <w:pPr>
        <w:spacing w:after="0" w:line="32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2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4"/>
        </w:trPr>
        <w:tc>
          <w:tcPr>
            <w:tcW w:w="280" w:type="dxa"/>
            <w:vAlign w:val="bottom"/>
            <w:tcBorders>
              <w:bottom w:val="single" w:sz="8" w:color="CCEEFF"/>
            </w:tcBorders>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2017</w:t>
            </w:r>
          </w:p>
        </w:tc>
      </w:tr>
      <w:tr>
        <w:trPr>
          <w:trHeight w:val="209"/>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5"/>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Net change in net assets resulting from operations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23,953,697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891,743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17,567,933</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4"/>
              </w:rPr>
              <w:t>Adjustments to reconcile net change in net assets resulting from operations to net cash provided by operating</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6"/>
        </w:trPr>
        <w:tc>
          <w:tcPr>
            <w:tcW w:w="6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activities:</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Net realized (gain)/loss on investments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(19,179,340)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7,433,619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(913,982)</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change in unrealized (appreciation)/depreciation of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(13,339,859)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(9,641,050)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(34,775,696)</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Change in deferred tax liability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(885,566)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(6,716,735)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(2,757,070)</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discount on 5.25% Convertible Senior Notes due 2018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492,170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869,751</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Amortization of discount on 4.75% Convertible Senior Notes due 2023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369,124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281,130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deferred financing costs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51,636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48,678</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Amortization of fixed income security premiums and discounts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(30,660)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(139,544)</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Write-off of deferred offering costs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267,541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325,248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998,355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Paid-in-kind interest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(383,980)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(386,546)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(152,270)</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Adjustments to escrow proceeds receivable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29,178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1,034,704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603,456</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Purchases of investments in:</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5"/>
        </w:trPr>
        <w:tc>
          <w:tcPr>
            <w:tcW w:w="280" w:type="dxa"/>
            <w:vAlign w:val="bottom"/>
          </w:tcPr>
          <w:p>
            <w:pPr>
              <w:spacing w:after="0"/>
              <w:rPr>
                <w:sz w:val="17"/>
                <w:szCs w:val="17"/>
                <w:color w:val="auto"/>
              </w:rPr>
            </w:pPr>
          </w:p>
        </w:tc>
        <w:tc>
          <w:tcPr>
            <w:tcW w:w="6140" w:type="dxa"/>
            <w:vAlign w:val="bottom"/>
          </w:tcPr>
          <w:p>
            <w:pPr>
              <w:ind w:left="40"/>
              <w:spacing w:after="0"/>
              <w:rPr>
                <w:sz w:val="20"/>
                <w:szCs w:val="20"/>
                <w:color w:val="auto"/>
              </w:rPr>
            </w:pPr>
            <w:r>
              <w:rPr>
                <w:rFonts w:ascii="Arial" w:cs="Arial" w:eastAsia="Arial" w:hAnsi="Arial"/>
                <w:sz w:val="14"/>
                <w:szCs w:val="14"/>
                <w:color w:val="auto"/>
              </w:rPr>
              <w:t>Portfolio investments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(25,569,685)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(10,669,035)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(191,274)</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280" w:type="dxa"/>
            <w:vAlign w:val="bottom"/>
            <w:tcBorders>
              <w:bottom w:val="single" w:sz="8" w:color="CCEEFF"/>
            </w:tcBorders>
            <w:shd w:val="clear" w:color="auto" w:fill="CCEEFF"/>
          </w:tcPr>
          <w:p>
            <w:pPr>
              <w:spacing w:after="0"/>
              <w:rPr>
                <w:sz w:val="18"/>
                <w:szCs w:val="18"/>
                <w:color w:val="auto"/>
              </w:rPr>
            </w:pPr>
          </w:p>
        </w:tc>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U.S. Treasury bills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(299,930,250)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(399,893,952)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(360,031,336)</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Proceeds from sales or maturity of investments in: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280" w:type="dxa"/>
            <w:vAlign w:val="bottom"/>
            <w:tcBorders>
              <w:bottom w:val="single" w:sz="8" w:color="CCEEFF"/>
            </w:tcBorders>
            <w:shd w:val="clear" w:color="auto" w:fill="CCEEFF"/>
          </w:tcPr>
          <w:p>
            <w:pPr>
              <w:spacing w:after="0"/>
              <w:rPr>
                <w:sz w:val="18"/>
                <w:szCs w:val="18"/>
                <w:color w:val="auto"/>
              </w:rPr>
            </w:pPr>
          </w:p>
        </w:tc>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Portfolio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65,603,252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33,925,585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77,031,789</w:t>
            </w:r>
          </w:p>
        </w:tc>
      </w:tr>
      <w:tr>
        <w:trPr>
          <w:trHeight w:val="205"/>
        </w:trPr>
        <w:tc>
          <w:tcPr>
            <w:tcW w:w="280" w:type="dxa"/>
            <w:vAlign w:val="bottom"/>
          </w:tcPr>
          <w:p>
            <w:pPr>
              <w:spacing w:after="0"/>
              <w:rPr>
                <w:sz w:val="17"/>
                <w:szCs w:val="17"/>
                <w:color w:val="auto"/>
              </w:rPr>
            </w:pPr>
          </w:p>
        </w:tc>
        <w:tc>
          <w:tcPr>
            <w:tcW w:w="6140" w:type="dxa"/>
            <w:vAlign w:val="bottom"/>
          </w:tcPr>
          <w:p>
            <w:pPr>
              <w:ind w:left="40"/>
              <w:spacing w:after="0"/>
              <w:rPr>
                <w:sz w:val="20"/>
                <w:szCs w:val="20"/>
                <w:color w:val="auto"/>
              </w:rPr>
            </w:pPr>
            <w:r>
              <w:rPr>
                <w:rFonts w:ascii="Arial" w:cs="Arial" w:eastAsia="Arial" w:hAnsi="Arial"/>
                <w:sz w:val="14"/>
                <w:szCs w:val="14"/>
                <w:color w:val="auto"/>
              </w:rPr>
              <w:t>U.S. Treasury bills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350,000,000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400,000,000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290,000,000</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Due from controlled investments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(1,548,164)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1,214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receivable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171,040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(220,529)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57,805</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Deferred financing costs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Escrow proceeds receivable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2,229,279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(1,891,126)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(603,456)</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6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Due to GSV Asset Management</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(231,697)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(190,328)</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Payable for securities purchased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(44,733,443)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(5,722)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62,987,075</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Accounts payable and 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653,236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32,484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122,592</w:t>
            </w:r>
          </w:p>
        </w:tc>
      </w:tr>
      <w:tr>
        <w:trPr>
          <w:trHeight w:val="205"/>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Payable to executive officers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1,369,873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6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Accrued incentive fees</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(4,660,472)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(4,617,613)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7,151,641</w:t>
            </w:r>
          </w:p>
        </w:tc>
      </w:tr>
      <w:tr>
        <w:trPr>
          <w:trHeight w:val="232"/>
        </w:trPr>
        <w:tc>
          <w:tcPr>
            <w:tcW w:w="6420" w:type="dxa"/>
            <w:vAlign w:val="bottom"/>
            <w:gridSpan w:val="2"/>
          </w:tcPr>
          <w:p>
            <w:pPr>
              <w:ind w:left="140"/>
              <w:spacing w:after="0"/>
              <w:rPr>
                <w:sz w:val="20"/>
                <w:szCs w:val="20"/>
                <w:color w:val="auto"/>
              </w:rPr>
            </w:pPr>
            <w:r>
              <w:rPr>
                <w:rFonts w:ascii="Arial" w:cs="Arial" w:eastAsia="Arial" w:hAnsi="Arial"/>
                <w:sz w:val="14"/>
                <w:szCs w:val="14"/>
                <w:color w:val="auto"/>
              </w:rPr>
              <w:t>Accrued management fees</w:t>
            </w:r>
            <w:r>
              <w:rPr>
                <w:rFonts w:ascii="Arial" w:cs="Arial" w:eastAsia="Arial" w:hAnsi="Arial"/>
                <w:sz w:val="18"/>
                <w:szCs w:val="18"/>
                <w:color w:val="auto"/>
                <w:vertAlign w:val="superscript"/>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(415,056)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(9,391)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(99,607)</w:t>
            </w:r>
          </w:p>
        </w:tc>
      </w:tr>
      <w:tr>
        <w:trPr>
          <w:trHeight w:val="232"/>
        </w:trPr>
        <w:tc>
          <w:tcPr>
            <w:tcW w:w="6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(581,563)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85"/>
        </w:trPr>
        <w:tc>
          <w:tcPr>
            <w:tcW w:w="64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34,982,312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9,574,753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56,590,276</w:t>
            </w:r>
          </w:p>
        </w:tc>
      </w:tr>
      <w:tr>
        <w:trPr>
          <w:trHeight w:val="28"/>
        </w:trPr>
        <w:tc>
          <w:tcPr>
            <w:tcW w:w="2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5"/>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Proceeds from the issuance of 4.75% Convertible Senior Notes due 2023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ind w:right="51"/>
              <w:spacing w:after="0"/>
              <w:rPr>
                <w:sz w:val="20"/>
                <w:szCs w:val="20"/>
                <w:color w:val="auto"/>
              </w:rPr>
            </w:pPr>
            <w:r>
              <w:rPr>
                <w:rFonts w:ascii="Arial" w:cs="Arial" w:eastAsia="Arial" w:hAnsi="Arial"/>
                <w:sz w:val="14"/>
                <w:szCs w:val="14"/>
                <w:color w:val="auto"/>
              </w:rPr>
              <w:t>40,000,000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debt issuance costs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(1,846,620)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Repurchases of common stock</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(14,792,364)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(10,276,450)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(4,933,877)</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Repayment of 5.25% Convertible Senior Notes due 2018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(69,272,565)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Dividends paid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(3,512,849)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Realized loss on repurchase of 5.25% Convertible Senior Notes due 2018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397,846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5"/>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Borrowings under credit facility</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16,000,000</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Repayments under credit facility</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(16,000,000)</w:t>
            </w:r>
          </w:p>
        </w:tc>
      </w:tr>
      <w:tr>
        <w:trPr>
          <w:trHeight w:val="193"/>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Deferred credit facility costs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(100,313)</w:t>
            </w:r>
          </w:p>
        </w:tc>
      </w:tr>
      <w:tr>
        <w:trPr>
          <w:trHeight w:val="28"/>
        </w:trPr>
        <w:tc>
          <w:tcPr>
            <w:tcW w:w="2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offering costs</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(231,401)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(50,120)</w:t>
            </w:r>
          </w:p>
        </w:tc>
      </w:tr>
      <w:tr>
        <w:trPr>
          <w:trHeight w:val="185"/>
        </w:trPr>
        <w:tc>
          <w:tcPr>
            <w:tcW w:w="642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(18,305,213)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(41,229,190)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(5,084,310)</w:t>
            </w:r>
          </w:p>
        </w:tc>
      </w:tr>
      <w:tr>
        <w:trPr>
          <w:trHeight w:val="28"/>
        </w:trPr>
        <w:tc>
          <w:tcPr>
            <w:tcW w:w="2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5"/>
        </w:trPr>
        <w:tc>
          <w:tcPr>
            <w:tcW w:w="280" w:type="dxa"/>
            <w:vAlign w:val="bottom"/>
          </w:tcPr>
          <w:p>
            <w:pPr>
              <w:spacing w:after="0"/>
              <w:rPr>
                <w:sz w:val="13"/>
                <w:szCs w:val="13"/>
                <w:color w:val="auto"/>
              </w:rPr>
            </w:pPr>
          </w:p>
        </w:tc>
        <w:tc>
          <w:tcPr>
            <w:tcW w:w="7840" w:type="dxa"/>
            <w:vAlign w:val="bottom"/>
            <w:gridSpan w:val="6"/>
          </w:tcPr>
          <w:p>
            <w:pPr>
              <w:ind w:left="3820"/>
              <w:spacing w:after="0"/>
              <w:rPr>
                <w:sz w:val="20"/>
                <w:szCs w:val="20"/>
                <w:color w:val="auto"/>
              </w:rPr>
            </w:pPr>
            <w:r>
              <w:rPr>
                <w:rFonts w:ascii="Arial" w:cs="Arial" w:eastAsia="Arial" w:hAnsi="Arial"/>
                <w:sz w:val="12"/>
                <w:szCs w:val="12"/>
                <w:i w:val="1"/>
                <w:iCs w:val="1"/>
                <w:color w:val="auto"/>
              </w:rPr>
              <w:t>See accompanying notes to consolidated financial statements.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77"/>
        </w:trPr>
        <w:tc>
          <w:tcPr>
            <w:tcW w:w="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9"/>
              </w:rPr>
              <w:t>Year Ended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2"/>
                <w:szCs w:val="12"/>
                <w:b w:val="1"/>
                <w:bCs w:val="1"/>
                <w:color w:val="auto"/>
              </w:rPr>
              <w:t>2017</w:t>
            </w:r>
          </w:p>
        </w:tc>
      </w:tr>
      <w:tr>
        <w:trPr>
          <w:trHeight w:val="197"/>
        </w:trPr>
        <w:tc>
          <w:tcPr>
            <w:tcW w:w="28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Increase/(Decrease) in Cash Balance</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16,677,099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(31,654,437)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51,505,966</w:t>
            </w:r>
          </w:p>
        </w:tc>
      </w:tr>
      <w:tr>
        <w:trPr>
          <w:trHeight w:val="205"/>
        </w:trPr>
        <w:tc>
          <w:tcPr>
            <w:tcW w:w="28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Arial" w:cs="Arial" w:eastAsia="Arial" w:hAnsi="Arial"/>
                <w:sz w:val="14"/>
                <w:szCs w:val="14"/>
                <w:color w:val="auto"/>
              </w:rPr>
              <w:t>Cash Balance at Beginning of Year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28,184,163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59,838,600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8,332,634</w:t>
            </w:r>
          </w:p>
        </w:tc>
      </w:tr>
      <w:tr>
        <w:trPr>
          <w:trHeight w:val="28"/>
        </w:trPr>
        <w:tc>
          <w:tcPr>
            <w:tcW w:w="28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28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Balance at End of Year</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44,861,262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28,184,163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59,838,600</w:t>
            </w:r>
          </w:p>
        </w:tc>
      </w:tr>
      <w:tr>
        <w:trPr>
          <w:trHeight w:val="247"/>
        </w:trPr>
        <w:tc>
          <w:tcPr>
            <w:tcW w:w="2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12"/>
        </w:trPr>
        <w:tc>
          <w:tcPr>
            <w:tcW w:w="280" w:type="dxa"/>
            <w:vAlign w:val="bottom"/>
          </w:tcPr>
          <w:p>
            <w:pPr>
              <w:spacing w:after="0"/>
              <w:rPr>
                <w:sz w:val="18"/>
                <w:szCs w:val="18"/>
                <w:color w:val="auto"/>
              </w:rPr>
            </w:pPr>
          </w:p>
        </w:tc>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05"/>
        </w:trPr>
        <w:tc>
          <w:tcPr>
            <w:tcW w:w="280" w:type="dxa"/>
            <w:vAlign w:val="bottom"/>
          </w:tcPr>
          <w:p>
            <w:pPr>
              <w:spacing w:after="0"/>
              <w:rPr>
                <w:sz w:val="17"/>
                <w:szCs w:val="17"/>
                <w:color w:val="auto"/>
              </w:rPr>
            </w:pPr>
          </w:p>
        </w:tc>
        <w:tc>
          <w:tcPr>
            <w:tcW w:w="614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2,018,336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4,127,163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3,684,410</w:t>
            </w:r>
          </w:p>
        </w:tc>
      </w:tr>
      <w:tr>
        <w:trPr>
          <w:trHeight w:val="232"/>
        </w:trPr>
        <w:tc>
          <w:tcPr>
            <w:tcW w:w="28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4"/>
                <w:szCs w:val="14"/>
                <w:color w:val="auto"/>
              </w:rPr>
              <w:t>Taxes paid</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33,825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496,912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54,014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-2429510</wp:posOffset>
            </wp:positionV>
            <wp:extent cx="40773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77335" cy="762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-129540</wp:posOffset>
            </wp:positionV>
            <wp:extent cx="6974840" cy="147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74840" cy="147320"/>
                    </a:xfrm>
                    <a:prstGeom prst="rect">
                      <a:avLst/>
                    </a:prstGeom>
                    <a:noFill/>
                  </pic:spPr>
                </pic:pic>
              </a:graphicData>
            </a:graphic>
          </wp:anchor>
        </w:drawing>
      </w:r>
    </w:p>
    <w:p>
      <w:pPr>
        <w:jc w:val="center"/>
        <w:ind w:right="-6"/>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1" w:lineRule="exact"/>
        <w:rPr>
          <w:sz w:val="20"/>
          <w:szCs w:val="20"/>
          <w:color w:val="auto"/>
        </w:rPr>
      </w:pPr>
    </w:p>
    <w:p>
      <w:pPr>
        <w:ind w:left="7"/>
        <w:spacing w:after="0"/>
        <w:rPr>
          <w:sz w:val="20"/>
          <w:szCs w:val="20"/>
          <w:color w:val="auto"/>
        </w:rPr>
      </w:pPr>
      <w:r>
        <w:rPr>
          <w:rFonts w:ascii="Arial" w:cs="Arial" w:eastAsia="Arial" w:hAnsi="Arial"/>
          <w:sz w:val="12"/>
          <w:szCs w:val="12"/>
          <w:color w:val="auto"/>
        </w:rPr>
        <w:t>_______________________</w:t>
      </w:r>
    </w:p>
    <w:p>
      <w:pPr>
        <w:spacing w:after="0" w:line="84" w:lineRule="exact"/>
        <w:rPr>
          <w:sz w:val="20"/>
          <w:szCs w:val="20"/>
          <w:color w:val="auto"/>
        </w:rPr>
      </w:pPr>
    </w:p>
    <w:p>
      <w:pPr>
        <w:ind w:left="287" w:hanging="287"/>
        <w:spacing w:after="0"/>
        <w:tabs>
          <w:tab w:leader="none" w:pos="28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This balance references a related-party transaction. Refer to “Note 3—Related-Party Arrangements” for more detail.</w:t>
      </w:r>
    </w:p>
    <w:p>
      <w:pPr>
        <w:sectPr>
          <w:pgSz w:w="11900" w:h="16838" w:orient="portrait"/>
          <w:cols w:equalWidth="0" w:num="1">
            <w:col w:w="11267"/>
          </w:cols>
          <w:pgMar w:left="313" w:top="124" w:right="319" w:bottom="367" w:gutter="0" w:footer="0" w:header="0"/>
        </w:sectPr>
      </w:pPr>
    </w:p>
    <w:p>
      <w:pPr>
        <w:spacing w:after="0" w:line="192"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67"/>
          </w:cols>
          <w:pgMar w:left="313" w:top="124" w:right="319" w:bottom="367" w:gutter="0" w:footer="0" w:header="0"/>
          <w:type w:val="continuous"/>
        </w:sectPr>
      </w:pPr>
    </w:p>
    <w:bookmarkStart w:id="81" w:name="page82"/>
    <w:bookmarkEnd w:id="81"/>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20" w:type="dxa"/>
            <w:vAlign w:val="bottom"/>
            <w:gridSpan w:val="15"/>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20" w:type="dxa"/>
            <w:vAlign w:val="bottom"/>
          </w:tcPr>
          <w:p>
            <w:pPr>
              <w:spacing w:after="0"/>
              <w:rPr>
                <w:sz w:val="12"/>
                <w:szCs w:val="12"/>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Date of Initial</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Shares/</w:t>
            </w:r>
          </w:p>
        </w:tc>
        <w:tc>
          <w:tcPr>
            <w:tcW w:w="2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940" w:type="dxa"/>
            <w:vAlign w:val="bottom"/>
          </w:tcPr>
          <w:p>
            <w:pPr>
              <w:jc w:val="right"/>
              <w:ind w:right="17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gridSpan w:val="15"/>
            <w:vMerge w:val="continue"/>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Investment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Principal</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302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2"/>
                <w:szCs w:val="12"/>
                <w:b w:val="1"/>
                <w:bCs w:val="1"/>
                <w:color w:val="auto"/>
              </w:rPr>
              <w:t>NON-CONTROLLED/NON-AFFILIATE</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2"/>
              </w:rPr>
              <w:t>Coursera, Inc.</w:t>
            </w:r>
          </w:p>
        </w:tc>
        <w:tc>
          <w:tcPr>
            <w:tcW w:w="22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 8%</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6/9/2013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2,961,399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14,519,519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33,569,902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Palantir Technologies, Inc.</w:t>
            </w: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8"/>
              </w:rPr>
              <w:t>Palo Alto,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1400" w:type="dxa"/>
            <w:vAlign w:val="bottom"/>
            <w:tcBorders>
              <w:top w:val="single" w:sz="8" w:color="auto"/>
            </w:tcBorders>
            <w:gridSpan w:val="9"/>
            <w:shd w:val="clear" w:color="auto" w:fill="CCEEFF"/>
          </w:tcPr>
          <w:p>
            <w:pPr>
              <w:spacing w:after="0"/>
              <w:rPr>
                <w:sz w:val="20"/>
                <w:szCs w:val="20"/>
                <w:color w:val="auto"/>
              </w:rPr>
            </w:pPr>
            <w:r>
              <w:rPr>
                <w:rFonts w:ascii="Arial" w:cs="Arial" w:eastAsia="Arial" w:hAnsi="Arial"/>
                <w:sz w:val="12"/>
                <w:szCs w:val="12"/>
                <w:color w:val="auto"/>
              </w:rPr>
              <w:t>Common shares, Class A</w:t>
            </w:r>
          </w:p>
        </w:tc>
        <w:tc>
          <w:tcPr>
            <w:tcW w:w="1620" w:type="dxa"/>
            <w:vAlign w:val="bottom"/>
            <w:gridSpan w:val="6"/>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5"/>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5/7/2012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5,773,690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16,189,935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31,582,084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92"/>
              </w:rPr>
              <w:t>Course Hero, Inc.</w:t>
            </w:r>
          </w:p>
        </w:tc>
        <w:tc>
          <w:tcPr>
            <w:tcW w:w="208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Redwood City,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A 8%</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9/18/2014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2,145,509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5,000,001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25,674,019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Parchment, Inc.</w:t>
            </w: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4"/>
              </w:rPr>
              <w:t>Scottsdale, AZ</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D 8%</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10/1/2012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3,200,512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4,000,982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10,896,585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w w:val="90"/>
              </w:rPr>
              <w:t>Nextdoor.com, Inc.</w:t>
            </w:r>
          </w:p>
        </w:tc>
        <w:tc>
          <w:tcPr>
            <w:tcW w:w="202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San Francisco,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7"/>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9/27/2018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580,360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10,006,578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10,867,365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Neutron Holdings, Inc. (d/b/a/ Lime)</w:t>
            </w: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San Francisco,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D 6%</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Micromobility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1/25/2019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41,237,113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10,006,800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80" w:type="dxa"/>
            <w:vAlign w:val="bottom"/>
            <w:tcBorders>
              <w:bottom w:val="single" w:sz="8" w:color="auto"/>
            </w:tcBorders>
            <w:gridSpan w:val="14"/>
          </w:tcPr>
          <w:p>
            <w:pPr>
              <w:spacing w:after="0"/>
              <w:rPr>
                <w:sz w:val="20"/>
                <w:szCs w:val="20"/>
                <w:color w:val="auto"/>
              </w:rPr>
            </w:pPr>
            <w:r>
              <w:rPr>
                <w:rFonts w:ascii="Arial" w:cs="Arial" w:eastAsia="Arial" w:hAnsi="Arial"/>
                <w:sz w:val="12"/>
                <w:szCs w:val="12"/>
                <w:b w:val="1"/>
                <w:bCs w:val="1"/>
                <w:color w:val="auto"/>
                <w:w w:val="92"/>
              </w:rPr>
              <w:t>Treehouse Real Estate Investment Trust, Inc.</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Chicago, IL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7"/>
                <w:szCs w:val="7"/>
                <w:color w:val="auto"/>
              </w:rPr>
              <w:t>(11)</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Cannabis REIT</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9/11/2019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312,500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7,500,000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7,384,738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Enjoy Technology, Inc.</w:t>
            </w: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7"/>
              </w:rPr>
              <w:t>Menlo Park,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 6%</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2"/>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7/29/2015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1,681,520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4,000,280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4,758,702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Preferred shares, Series A 6%</w:t>
            </w:r>
          </w:p>
        </w:tc>
        <w:tc>
          <w:tcPr>
            <w:tcW w:w="12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10/16/2014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879,198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1,002,440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2,488,130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5,002,720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7,246,832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SharesPost, Inc.</w:t>
            </w:r>
          </w:p>
        </w:tc>
        <w:tc>
          <w:tcPr>
            <w:tcW w:w="12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San Francisco, CA</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 6%</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7/19/2011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1,771,653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2,259,716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6,186,877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Common shares</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7/20/2011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770,934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123,987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890,340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2,383,703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7,077,217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Aspiration Partners, Inc.</w:t>
            </w:r>
          </w:p>
        </w:tc>
        <w:tc>
          <w:tcPr>
            <w:tcW w:w="12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Marina Del Rey, CA</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A</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4"/>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8/11/2015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540,270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1,001,815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4,471,678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Convertible Promissory Note 5%, Due 1/31/2021***</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8/12/2019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ind w:right="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280,000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281,190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321,168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1,283,005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4,792,846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Clever, Inc.</w:t>
            </w:r>
          </w:p>
        </w:tc>
        <w:tc>
          <w:tcPr>
            <w:tcW w:w="12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San Francisco, CA</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 8%</w:t>
            </w:r>
          </w:p>
        </w:tc>
        <w:tc>
          <w:tcPr>
            <w:tcW w:w="12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12/5/2014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1,799,047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2,000,601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2,000,001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A Place for Rover Inc. (f/k/a DogVacay, Inc.)</w:t>
            </w: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Seattle, WA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34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2"/>
                <w:szCs w:val="12"/>
                <w:color w:val="auto"/>
              </w:rPr>
              <w:t>Common shares</w:t>
            </w:r>
          </w:p>
        </w:tc>
        <w:tc>
          <w:tcPr>
            <w:tcW w:w="680" w:type="dxa"/>
            <w:vAlign w:val="bottom"/>
            <w:gridSpan w:val="2"/>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0"/>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11/3/2014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707,991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2,506,119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963,533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Tynker (f/k/a Neuron Fuel, Inc.)</w:t>
            </w: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680" w:type="dxa"/>
            <w:vAlign w:val="bottom"/>
            <w:tcBorders>
              <w:top w:val="single" w:sz="8" w:color="auto"/>
            </w:tcBorders>
            <w:gridSpan w:val="10"/>
            <w:shd w:val="clear" w:color="auto" w:fill="CCEEFF"/>
          </w:tcPr>
          <w:p>
            <w:pPr>
              <w:spacing w:after="0"/>
              <w:rPr>
                <w:sz w:val="20"/>
                <w:szCs w:val="20"/>
                <w:color w:val="auto"/>
              </w:rPr>
            </w:pPr>
            <w:r>
              <w:rPr>
                <w:rFonts w:ascii="Arial" w:cs="Arial" w:eastAsia="Arial" w:hAnsi="Arial"/>
                <w:sz w:val="12"/>
                <w:szCs w:val="12"/>
                <w:color w:val="auto"/>
              </w:rPr>
              <w:t>Preferred shares, Series A 8%</w:t>
            </w:r>
          </w:p>
        </w:tc>
        <w:tc>
          <w:tcPr>
            <w:tcW w:w="1340" w:type="dxa"/>
            <w:vAlign w:val="bottom"/>
            <w:gridSpan w:val="5"/>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8/8/2012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534,162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309,310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789,491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gridSpan w:val="15"/>
          </w:tcPr>
          <w:p>
            <w:pPr>
              <w:spacing w:after="0"/>
              <w:rPr>
                <w:sz w:val="20"/>
                <w:szCs w:val="20"/>
                <w:color w:val="auto"/>
              </w:rPr>
            </w:pPr>
            <w:r>
              <w:rPr>
                <w:rFonts w:ascii="Arial" w:cs="Arial" w:eastAsia="Arial" w:hAnsi="Arial"/>
                <w:sz w:val="12"/>
                <w:szCs w:val="12"/>
                <w:b w:val="1"/>
                <w:bCs w:val="1"/>
                <w:color w:val="auto"/>
              </w:rPr>
              <w:t>4C Insights (f/k/a The Echo Systems Corp.)</w:t>
            </w: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Chicago, IL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28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2"/>
                <w:szCs w:val="12"/>
                <w:color w:val="auto"/>
              </w:rPr>
              <w:t>Common shares</w:t>
            </w:r>
          </w:p>
        </w:tc>
        <w:tc>
          <w:tcPr>
            <w:tcW w:w="740" w:type="dxa"/>
            <w:vAlign w:val="bottom"/>
            <w:gridSpan w:val="3"/>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5"/>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3/30/2012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436,219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1,436,404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21,499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3"/>
              </w:rPr>
              <w:t>Fullbridge, Inc.</w:t>
            </w:r>
          </w:p>
        </w:tc>
        <w:tc>
          <w:tcPr>
            <w:tcW w:w="220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8"/>
              </w:rPr>
              <w:t>Cambridge, MA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2"/>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5/13/2012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517,917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6,150,506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Promissory Note 1.47%, Due 11/9/2021</w:t>
            </w:r>
            <w:r>
              <w:rPr>
                <w:rFonts w:ascii="Arial" w:cs="Arial" w:eastAsia="Arial" w:hAnsi="Arial"/>
                <w:sz w:val="7"/>
                <w:szCs w:val="7"/>
                <w:color w:val="auto"/>
              </w:rPr>
              <w:t>(4)</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4"/>
              </w:rPr>
              <w:t>3/3/2016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ind w:right="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2,270,458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2,270,858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8,421,364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16"/>
        </w:trPr>
        <w:tc>
          <w:tcPr>
            <w:tcW w:w="2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gridSpan w:val="15"/>
          </w:tcPr>
          <w:p>
            <w:pPr>
              <w:ind w:left="120"/>
              <w:spacing w:after="0"/>
              <w:rPr>
                <w:sz w:val="20"/>
                <w:szCs w:val="20"/>
                <w:color w:val="auto"/>
              </w:rPr>
            </w:pPr>
            <w:r>
              <w:rPr>
                <w:rFonts w:ascii="Arial" w:cs="Arial" w:eastAsia="Arial" w:hAnsi="Arial"/>
                <w:sz w:val="12"/>
                <w:szCs w:val="12"/>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78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90,567,041</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152,866,112</w:t>
            </w:r>
          </w:p>
        </w:tc>
        <w:tc>
          <w:tcPr>
            <w:tcW w:w="10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51370" cy="14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1370" cy="1473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-427990</wp:posOffset>
            </wp:positionV>
            <wp:extent cx="43059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05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-2226945</wp:posOffset>
            </wp:positionV>
            <wp:extent cx="43059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05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-2846070</wp:posOffset>
            </wp:positionV>
            <wp:extent cx="43059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05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-3458210</wp:posOffset>
            </wp:positionV>
            <wp:extent cx="43059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05935"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260"/>
          </w:cols>
          <w:pgMar w:left="320" w:top="124" w:right="319" w:bottom="1440" w:gutter="0" w:footer="0" w:header="0"/>
        </w:sectPr>
      </w:pPr>
    </w:p>
    <w:bookmarkStart w:id="82" w:name="page83"/>
    <w:bookmarkEnd w:id="8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20" w:type="dxa"/>
            <w:vAlign w:val="bottom"/>
            <w:gridSpan w:val="7"/>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20" w:type="dxa"/>
            <w:vAlign w:val="bottom"/>
          </w:tcPr>
          <w:p>
            <w:pPr>
              <w:spacing w:after="0"/>
              <w:rPr>
                <w:sz w:val="12"/>
                <w:szCs w:val="12"/>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Date of Initial</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Shares/</w:t>
            </w:r>
          </w:p>
        </w:tc>
        <w:tc>
          <w:tcPr>
            <w:tcW w:w="2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940" w:type="dxa"/>
            <w:vAlign w:val="bottom"/>
          </w:tcPr>
          <w:p>
            <w:pPr>
              <w:jc w:val="right"/>
              <w:ind w:right="17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Investment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Principal</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302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2"/>
                <w:szCs w:val="12"/>
                <w:b w:val="1"/>
                <w:bCs w:val="1"/>
                <w:color w:val="auto"/>
              </w:rPr>
              <w:t>NON-CONTROLLED/AFFILIATE</w:t>
            </w:r>
            <w:r>
              <w:rPr>
                <w:rFonts w:ascii="Arial" w:cs="Arial" w:eastAsia="Arial" w:hAnsi="Arial"/>
                <w:sz w:val="7"/>
                <w:szCs w:val="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7"/>
          </w:tcPr>
          <w:p>
            <w:pPr>
              <w:spacing w:after="0"/>
              <w:rPr>
                <w:sz w:val="20"/>
                <w:szCs w:val="20"/>
                <w:color w:val="auto"/>
              </w:rPr>
            </w:pPr>
            <w:r>
              <w:rPr>
                <w:rFonts w:ascii="Arial" w:cs="Arial" w:eastAsia="Arial" w:hAnsi="Arial"/>
                <w:sz w:val="12"/>
                <w:szCs w:val="12"/>
                <w:b w:val="1"/>
                <w:bCs w:val="1"/>
                <w:color w:val="auto"/>
              </w:rPr>
              <w:t>Ozy Media, Inc.</w:t>
            </w:r>
          </w:p>
        </w:tc>
        <w:tc>
          <w:tcPr>
            <w:tcW w:w="120" w:type="dxa"/>
            <w:vAlign w:val="bottom"/>
          </w:tcPr>
          <w:p>
            <w:pPr>
              <w:spacing w:after="0"/>
              <w:rPr>
                <w:sz w:val="17"/>
                <w:szCs w:val="17"/>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shares, Series C-2 6%</w:t>
            </w:r>
            <w:r>
              <w:rPr>
                <w:rFonts w:ascii="Arial" w:cs="Arial" w:eastAsia="Arial" w:hAnsi="Arial"/>
                <w:sz w:val="7"/>
                <w:szCs w:val="7"/>
                <w:color w:val="auto"/>
              </w:rPr>
              <w:t>(7)</w:t>
            </w:r>
          </w:p>
        </w:tc>
        <w:tc>
          <w:tcPr>
            <w:tcW w:w="1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8"/>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9/11/2019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683,482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2,414,178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2,970,252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7"/>
          </w:tcPr>
          <w:p>
            <w:pPr>
              <w:spacing w:after="0" w:line="136" w:lineRule="exact"/>
              <w:rPr>
                <w:sz w:val="20"/>
                <w:szCs w:val="20"/>
                <w:color w:val="auto"/>
              </w:rPr>
            </w:pPr>
            <w:r>
              <w:rPr>
                <w:rFonts w:ascii="Arial" w:cs="Arial" w:eastAsia="Arial" w:hAnsi="Arial"/>
                <w:sz w:val="12"/>
                <w:szCs w:val="12"/>
                <w:color w:val="auto"/>
              </w:rPr>
              <w:t>Common Warrants, Strike Price $0.01, Expiration Date</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 w:type="dxa"/>
            <w:vAlign w:val="bottom"/>
            <w:gridSpan w:val="2"/>
          </w:tcPr>
          <w:p>
            <w:pPr>
              <w:ind w:left="20"/>
              <w:spacing w:after="0"/>
              <w:rPr>
                <w:sz w:val="20"/>
                <w:szCs w:val="20"/>
                <w:color w:val="auto"/>
              </w:rPr>
            </w:pPr>
            <w:r>
              <w:rPr>
                <w:rFonts w:ascii="Arial" w:cs="Arial" w:eastAsia="Arial" w:hAnsi="Arial"/>
                <w:sz w:val="12"/>
                <w:szCs w:val="12"/>
                <w:color w:val="auto"/>
              </w:rPr>
              <w:t>4/9/2028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4/9/2018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295,565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30,647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1,182,260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0.59%</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shares, Series B 6%</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10/3/2014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922,509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4,999,999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5,001,420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Preferred shares, Series A 6%</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12/11/2013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1,090,909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3,000,200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4,528,107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shares, Series Seed 6%</w:t>
            </w: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11/2/2012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2,002,143</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7"/>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10,945,024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15,684,182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b w:val="1"/>
                <w:bCs w:val="1"/>
                <w:color w:val="auto"/>
              </w:rPr>
              <w:t>StormWind, LLC</w:t>
            </w:r>
            <w:r>
              <w:rPr>
                <w:rFonts w:ascii="Arial" w:cs="Arial" w:eastAsia="Arial" w:hAnsi="Arial"/>
                <w:sz w:val="7"/>
                <w:szCs w:val="7"/>
                <w:color w:val="auto"/>
              </w:rPr>
              <w:t>(5)</w:t>
            </w:r>
          </w:p>
        </w:tc>
        <w:tc>
          <w:tcPr>
            <w:tcW w:w="1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4"/>
              </w:rPr>
              <w:t>Scottsdale, AZ</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Preferred shares, Series D 8%</w:t>
            </w:r>
            <w:r>
              <w:rPr>
                <w:rFonts w:ascii="Arial" w:cs="Arial" w:eastAsia="Arial" w:hAnsi="Arial"/>
                <w:sz w:val="7"/>
                <w:szCs w:val="7"/>
                <w:color w:val="auto"/>
              </w:rPr>
              <w:t>(10)</w:t>
            </w:r>
          </w:p>
        </w:tc>
        <w:tc>
          <w:tcPr>
            <w:tcW w:w="120" w:type="dxa"/>
            <w:vAlign w:val="bottom"/>
          </w:tcPr>
          <w:p>
            <w:pPr>
              <w:spacing w:after="0"/>
              <w:rPr>
                <w:sz w:val="19"/>
                <w:szCs w:val="19"/>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Interactive Learning</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11/26/2019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329,337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257,267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503,120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shares, Series C 8%</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1/7/2014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2,779,134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4,000,787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5,391,000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Preferred shares, Series B 8%</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12/16/2011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3,279,629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2,019,687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3,248,804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shares, Series A 8%</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2/25/2014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366,666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110,000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157,949</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7"/>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6,387,741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9,300,873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b w:val="1"/>
                <w:bCs w:val="1"/>
                <w:color w:val="auto"/>
              </w:rPr>
              <w:t>GreenAcreage Real Estate Corp.</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8"/>
              </w:rPr>
              <w:t>New York, NY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1720" w:type="dxa"/>
            <w:vAlign w:val="bottom"/>
            <w:tcBorders>
              <w:top w:val="single" w:sz="8" w:color="auto"/>
            </w:tcBorders>
            <w:gridSpan w:val="5"/>
          </w:tcPr>
          <w:p>
            <w:pPr>
              <w:spacing w:after="0"/>
              <w:rPr>
                <w:sz w:val="20"/>
                <w:szCs w:val="20"/>
                <w:color w:val="auto"/>
              </w:rPr>
            </w:pPr>
            <w:r>
              <w:rPr>
                <w:rFonts w:ascii="Arial" w:cs="Arial" w:eastAsia="Arial" w:hAnsi="Arial"/>
                <w:sz w:val="12"/>
                <w:szCs w:val="12"/>
                <w:color w:val="auto"/>
              </w:rPr>
              <w:t>Common shares</w:t>
            </w:r>
          </w:p>
        </w:tc>
        <w:tc>
          <w:tcPr>
            <w:tcW w:w="130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8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2"/>
                <w:szCs w:val="12"/>
                <w:color w:val="auto"/>
                <w:w w:val="93"/>
              </w:rPr>
              <w:t>Cannabis REIT</w:t>
            </w:r>
          </w:p>
        </w:tc>
        <w:tc>
          <w:tcPr>
            <w:tcW w:w="1140" w:type="dxa"/>
            <w:vAlign w:val="bottom"/>
            <w:tcBorders>
              <w:top w:val="single" w:sz="8" w:color="CCEEFF"/>
            </w:tcBorders>
          </w:tcPr>
          <w:p>
            <w:pPr>
              <w:jc w:val="center"/>
              <w:spacing w:after="0"/>
              <w:rPr>
                <w:sz w:val="20"/>
                <w:szCs w:val="20"/>
                <w:color w:val="auto"/>
              </w:rPr>
            </w:pPr>
            <w:r>
              <w:rPr>
                <w:rFonts w:ascii="Arial" w:cs="Arial" w:eastAsia="Arial" w:hAnsi="Arial"/>
                <w:sz w:val="12"/>
                <w:szCs w:val="12"/>
                <w:color w:val="auto"/>
                <w:w w:val="93"/>
              </w:rPr>
              <w:t>8/12/2019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jc w:val="right"/>
              <w:ind w:right="58"/>
              <w:spacing w:after="0"/>
              <w:rPr>
                <w:sz w:val="20"/>
                <w:szCs w:val="20"/>
                <w:color w:val="auto"/>
              </w:rPr>
            </w:pPr>
            <w:r>
              <w:rPr>
                <w:rFonts w:ascii="Arial" w:cs="Arial" w:eastAsia="Arial" w:hAnsi="Arial"/>
                <w:sz w:val="12"/>
                <w:szCs w:val="12"/>
                <w:color w:val="auto"/>
              </w:rPr>
              <w:t>375,000</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ind w:right="58"/>
              <w:spacing w:after="0"/>
              <w:rPr>
                <w:sz w:val="20"/>
                <w:szCs w:val="20"/>
                <w:color w:val="auto"/>
              </w:rPr>
            </w:pPr>
            <w:r>
              <w:rPr>
                <w:rFonts w:ascii="Arial" w:cs="Arial" w:eastAsia="Arial" w:hAnsi="Arial"/>
                <w:sz w:val="12"/>
                <w:szCs w:val="12"/>
                <w:color w:val="auto"/>
              </w:rPr>
              <w:t>7,501,530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ind w:right="38"/>
              <w:spacing w:after="0"/>
              <w:rPr>
                <w:sz w:val="20"/>
                <w:szCs w:val="20"/>
                <w:color w:val="auto"/>
              </w:rPr>
            </w:pPr>
            <w:r>
              <w:rPr>
                <w:rFonts w:ascii="Arial" w:cs="Arial" w:eastAsia="Arial" w:hAnsi="Arial"/>
                <w:sz w:val="12"/>
                <w:szCs w:val="12"/>
                <w:color w:val="auto"/>
              </w:rPr>
              <w:t>7,500,000</w:t>
            </w: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2"/>
                <w:szCs w:val="12"/>
                <w:b w:val="1"/>
                <w:bCs w:val="1"/>
                <w:color w:val="auto"/>
                <w:w w:val="94"/>
              </w:rPr>
              <w:t>NestGSV, Inc. (d/b/a GSV Labs, Inc.)</w:t>
            </w: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San Mateo, CA</w:t>
            </w: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Derivative Security, Expiration Date 8/23/2024</w:t>
            </w:r>
            <w:r>
              <w:rPr>
                <w:rFonts w:ascii="Arial" w:cs="Arial" w:eastAsia="Arial" w:hAnsi="Arial"/>
                <w:sz w:val="7"/>
                <w:szCs w:val="7"/>
                <w:color w:val="auto"/>
              </w:rPr>
              <w:t>(9)</w:t>
            </w:r>
          </w:p>
        </w:tc>
        <w:tc>
          <w:tcPr>
            <w:tcW w:w="120" w:type="dxa"/>
            <w:vAlign w:val="bottom"/>
          </w:tcPr>
          <w:p>
            <w:pPr>
              <w:spacing w:after="0"/>
              <w:rPr>
                <w:sz w:val="19"/>
                <w:szCs w:val="19"/>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Global Innovation Platform</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8/23/2019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8,555,124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3,880,621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Convertible Promissory Note 8% Due 8/23/2024***</w:t>
            </w:r>
            <w:r>
              <w:rPr>
                <w:rFonts w:ascii="Arial" w:cs="Arial" w:eastAsia="Arial" w:hAnsi="Arial"/>
                <w:sz w:val="7"/>
                <w:szCs w:val="7"/>
                <w:color w:val="auto"/>
              </w:rPr>
              <w:t>(9)</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2/17/2016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1,010,198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1,030,176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1,010,198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7"/>
          </w:tcPr>
          <w:p>
            <w:pPr>
              <w:spacing w:after="0" w:line="136" w:lineRule="exact"/>
              <w:rPr>
                <w:sz w:val="20"/>
                <w:szCs w:val="20"/>
                <w:color w:val="auto"/>
              </w:rPr>
            </w:pPr>
            <w:r>
              <w:rPr>
                <w:rFonts w:ascii="Arial" w:cs="Arial" w:eastAsia="Arial" w:hAnsi="Arial"/>
                <w:sz w:val="12"/>
                <w:szCs w:val="12"/>
                <w:color w:val="auto"/>
              </w:rPr>
              <w:t>Preferred Warrants Series A-3, Strike Price $1.33,</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Expiration Date 4/4/2021</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4/4/2014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187,500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20,625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Preferred Warrants Series A-4, Strike Price $1.33,</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Expiration Date 10/6/2021</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10/6/2014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135,000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7"/>
          </w:tcPr>
          <w:p>
            <w:pPr>
              <w:spacing w:after="0" w:line="136" w:lineRule="exact"/>
              <w:rPr>
                <w:sz w:val="20"/>
                <w:szCs w:val="20"/>
                <w:color w:val="auto"/>
              </w:rPr>
            </w:pPr>
            <w:r>
              <w:rPr>
                <w:rFonts w:ascii="Arial" w:cs="Arial" w:eastAsia="Arial" w:hAnsi="Arial"/>
                <w:sz w:val="12"/>
                <w:szCs w:val="12"/>
                <w:color w:val="auto"/>
              </w:rPr>
              <w:t>Preferred Warrants Series A-4, Strike Price $1.33,</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Expiration Date 7/18/2021</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7/8/2016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74,380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62,500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0.03%</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w w:val="96"/>
              </w:rPr>
              <w:t>Preferred Warrants Series B, Strike Price $2.31, Expiration</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Date 11/29/2021</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11/29/2016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29,275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7"/>
          </w:tcPr>
          <w:p>
            <w:pPr>
              <w:spacing w:after="0" w:line="136" w:lineRule="exact"/>
              <w:rPr>
                <w:sz w:val="20"/>
                <w:szCs w:val="20"/>
                <w:color w:val="auto"/>
              </w:rPr>
            </w:pPr>
            <w:r>
              <w:rPr>
                <w:rFonts w:ascii="Arial" w:cs="Arial" w:eastAsia="Arial" w:hAnsi="Arial"/>
                <w:sz w:val="12"/>
                <w:szCs w:val="12"/>
                <w:color w:val="auto"/>
                <w:w w:val="97"/>
              </w:rPr>
              <w:t>Preferred Warrant Series B, Strike Price $2.31, Expiration</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Date 5/29/2022</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5/29/2017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70,379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w w:val="97"/>
              </w:rPr>
              <w:t>Preferred Warrant Series B, Strike Price $2.31, Expiration</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Date 12/31/2023</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12/31/2018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5,080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0.00%</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7"/>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9,764,414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5,111,444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b w:val="1"/>
                <w:bCs w:val="1"/>
                <w:color w:val="auto"/>
              </w:rPr>
              <w:t>CUX, Inc. (d/b/a CorpU)</w:t>
            </w:r>
          </w:p>
        </w:tc>
        <w:tc>
          <w:tcPr>
            <w:tcW w:w="1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Philadelphia, PA</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7"/>
          </w:tcPr>
          <w:p>
            <w:pPr>
              <w:spacing w:after="0" w:line="136" w:lineRule="exact"/>
              <w:rPr>
                <w:sz w:val="20"/>
                <w:szCs w:val="20"/>
                <w:color w:val="auto"/>
              </w:rPr>
            </w:pPr>
            <w:r>
              <w:rPr>
                <w:rFonts w:ascii="Arial" w:cs="Arial" w:eastAsia="Arial" w:hAnsi="Arial"/>
                <w:sz w:val="12"/>
                <w:szCs w:val="12"/>
                <w:color w:val="auto"/>
                <w:w w:val="96"/>
              </w:rPr>
              <w:t>Senior Subordinated Convertible Promissory Note 4% Due</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 w:type="dxa"/>
            <w:vAlign w:val="bottom"/>
            <w:gridSpan w:val="2"/>
          </w:tcPr>
          <w:p>
            <w:pPr>
              <w:ind w:left="20"/>
              <w:spacing w:after="0"/>
              <w:rPr>
                <w:sz w:val="20"/>
                <w:szCs w:val="20"/>
                <w:color w:val="auto"/>
              </w:rPr>
            </w:pPr>
            <w:r>
              <w:rPr>
                <w:rFonts w:ascii="Arial" w:cs="Arial" w:eastAsia="Arial" w:hAnsi="Arial"/>
                <w:sz w:val="12"/>
                <w:szCs w:val="12"/>
                <w:color w:val="auto"/>
              </w:rPr>
              <w:t>2/14/2023</w:t>
            </w:r>
            <w:r>
              <w:rPr>
                <w:rFonts w:ascii="Arial" w:cs="Arial" w:eastAsia="Arial" w:hAnsi="Arial"/>
                <w:sz w:val="7"/>
                <w:szCs w:val="7"/>
                <w:color w:val="auto"/>
              </w:rPr>
              <w:t>(4)(6)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Corporate Education</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11/26/2014</w:t>
            </w:r>
          </w:p>
        </w:tc>
        <w:tc>
          <w:tcPr>
            <w:tcW w:w="100" w:type="dxa"/>
            <w:vAlign w:val="bottom"/>
          </w:tcPr>
          <w:p>
            <w:pPr>
              <w:spacing w:after="0"/>
              <w:rPr>
                <w:sz w:val="14"/>
                <w:szCs w:val="14"/>
                <w:color w:val="auto"/>
              </w:rPr>
            </w:pPr>
          </w:p>
        </w:tc>
        <w:tc>
          <w:tcPr>
            <w:tcW w:w="1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1,251,158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1,256,191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312,789</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Convertible preferred shares, Series D 6%</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5/31/2013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169,033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778,607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34,980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Convertible preferred shares, Series C 8%</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3/29/2012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615,763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2,006,077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w w:val="95"/>
              </w:rPr>
              <w:t>Preferred Warrants Series D, Strike Price $4.59, Expiration</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Date 2/14/2020</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5/31/2013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16,903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7"/>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4,040,875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347,769</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0.17%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020" w:type="dxa"/>
            <w:vAlign w:val="bottom"/>
            <w:gridSpan w:val="7"/>
            <w:shd w:val="clear" w:color="auto" w:fill="CCEEFF"/>
          </w:tcPr>
          <w:p>
            <w:pPr>
              <w:spacing w:after="0"/>
              <w:rPr>
                <w:sz w:val="20"/>
                <w:szCs w:val="20"/>
                <w:color w:val="auto"/>
              </w:rPr>
            </w:pPr>
            <w:r>
              <w:rPr>
                <w:rFonts w:ascii="Arial" w:cs="Arial" w:eastAsia="Arial" w:hAnsi="Arial"/>
                <w:sz w:val="12"/>
                <w:szCs w:val="12"/>
                <w:b w:val="1"/>
                <w:bCs w:val="1"/>
                <w:color w:val="auto"/>
              </w:rPr>
              <w:t>Maven Research, Inc.</w:t>
            </w:r>
          </w:p>
        </w:tc>
        <w:tc>
          <w:tcPr>
            <w:tcW w:w="1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San Francisco, CA</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Preferred shares, Series C 8%</w:t>
            </w:r>
          </w:p>
        </w:tc>
        <w:tc>
          <w:tcPr>
            <w:tcW w:w="120" w:type="dxa"/>
            <w:vAlign w:val="bottom"/>
          </w:tcPr>
          <w:p>
            <w:pPr>
              <w:spacing w:after="0"/>
              <w:rPr>
                <w:sz w:val="19"/>
                <w:szCs w:val="19"/>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2"/>
                <w:szCs w:val="12"/>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7/2/2012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318,979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2,000,447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2"/>
                <w:szCs w:val="12"/>
                <w:color w:val="auto"/>
              </w:rPr>
              <w:t>Preferred shares, Series B 5%</w:t>
            </w:r>
          </w:p>
        </w:tc>
        <w:tc>
          <w:tcPr>
            <w:tcW w:w="120" w:type="dxa"/>
            <w:vAlign w:val="bottom"/>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2/28/2012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49,505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217,206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7"/>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2,217,653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w w:val="91"/>
              </w:rPr>
              <w:t>Curious.com, Inc.</w:t>
            </w:r>
          </w:p>
        </w:tc>
        <w:tc>
          <w:tcPr>
            <w:tcW w:w="208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7"/>
              </w:rPr>
              <w:t>Menlo Park, CA</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2"/>
                <w:szCs w:val="12"/>
                <w:color w:val="auto"/>
              </w:rPr>
              <w:t>Common shares</w:t>
            </w:r>
          </w:p>
        </w:tc>
        <w:tc>
          <w:tcPr>
            <w:tcW w:w="120" w:type="dxa"/>
            <w:vAlign w:val="bottom"/>
          </w:tcPr>
          <w:p>
            <w:pPr>
              <w:spacing w:after="0"/>
              <w:rPr>
                <w:sz w:val="19"/>
                <w:szCs w:val="19"/>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4"/>
              </w:rPr>
              <w:t>Online Education</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11/22/2013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1,135,944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12,000,006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7"/>
          </w:tcPr>
          <w:p>
            <w:pPr>
              <w:ind w:left="120"/>
              <w:spacing w:after="0"/>
              <w:rPr>
                <w:sz w:val="20"/>
                <w:szCs w:val="20"/>
                <w:color w:val="auto"/>
              </w:rPr>
            </w:pPr>
            <w:r>
              <w:rPr>
                <w:rFonts w:ascii="Arial" w:cs="Arial" w:eastAsia="Arial" w:hAnsi="Arial"/>
                <w:sz w:val="12"/>
                <w:szCs w:val="12"/>
                <w:b w:val="1"/>
                <w:bCs w:val="1"/>
                <w:color w:val="auto"/>
              </w:rPr>
              <w:t>Total Non-controlled/Affiliate</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b w:val="1"/>
                <w:bCs w:val="1"/>
                <w:color w:val="auto"/>
              </w:rPr>
              <w:t>52,857,243</w:t>
            </w:r>
          </w:p>
        </w:tc>
        <w:tc>
          <w:tcPr>
            <w:tcW w:w="100" w:type="dxa"/>
            <w:vAlign w:val="bottom"/>
          </w:tcPr>
          <w:p>
            <w:pPr>
              <w:spacing w:after="0"/>
              <w:rPr>
                <w:sz w:val="19"/>
                <w:szCs w:val="19"/>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auto"/>
              </w:rPr>
              <w:t>37,944,268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18.98%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-597535</wp:posOffset>
            </wp:positionV>
            <wp:extent cx="43795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795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-5441315</wp:posOffset>
            </wp:positionV>
            <wp:extent cx="35096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9645" cy="762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260"/>
          </w:cols>
          <w:pgMar w:left="320" w:top="124" w:right="319" w:bottom="1440" w:gutter="0" w:footer="0" w:header="0"/>
        </w:sectPr>
      </w:pPr>
    </w:p>
    <w:bookmarkStart w:id="83" w:name="page84"/>
    <w:bookmarkEnd w:id="83"/>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23" w:lineRule="exact"/>
        <w:rPr>
          <w:sz w:val="20"/>
          <w:szCs w:val="20"/>
          <w:color w:val="auto"/>
        </w:rPr>
      </w:pPr>
    </w:p>
    <w:tbl>
      <w:tblPr>
        <w:tblLayout w:type="fixed"/>
        <w:tblInd w:w="8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20" w:type="dxa"/>
            <w:vAlign w:val="bottom"/>
            <w:vMerge w:val="restart"/>
          </w:tcPr>
          <w:p>
            <w:pPr>
              <w:spacing w:after="0"/>
              <w:rPr>
                <w:sz w:val="12"/>
                <w:szCs w:val="12"/>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Headquarters/</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5"/>
              </w:rPr>
              <w:t>Date of Initial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880" w:type="dxa"/>
            <w:vAlign w:val="bottom"/>
            <w:vMerge w:val="restart"/>
          </w:tcPr>
          <w:p>
            <w:pPr>
              <w:jc w:val="right"/>
              <w:ind w:right="378"/>
              <w:spacing w:after="0"/>
              <w:rPr>
                <w:sz w:val="20"/>
                <w:szCs w:val="20"/>
                <w:color w:val="auto"/>
              </w:rPr>
            </w:pPr>
            <w:r>
              <w:rPr>
                <w:rFonts w:ascii="Arial" w:cs="Arial" w:eastAsia="Arial" w:hAnsi="Arial"/>
                <w:sz w:val="12"/>
                <w:szCs w:val="12"/>
                <w:b w:val="1"/>
                <w:bCs w:val="1"/>
                <w:color w:val="auto"/>
              </w:rPr>
              <w:t>Cost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auto"/>
              </w:rPr>
              <w:t>Fair Value</w:t>
            </w:r>
          </w:p>
        </w:tc>
        <w:tc>
          <w:tcPr>
            <w:tcW w:w="100" w:type="dxa"/>
            <w:vAlign w:val="bottom"/>
            <w:vMerge w:val="restart"/>
          </w:tcPr>
          <w:p>
            <w:pPr>
              <w:spacing w:after="0"/>
              <w:rPr>
                <w:sz w:val="12"/>
                <w:szCs w:val="12"/>
                <w:color w:val="auto"/>
              </w:rPr>
            </w:pPr>
          </w:p>
        </w:tc>
        <w:tc>
          <w:tcPr>
            <w:tcW w:w="920" w:type="dxa"/>
            <w:vAlign w:val="bottom"/>
          </w:tcPr>
          <w:p>
            <w:pPr>
              <w:jc w:val="right"/>
              <w:ind w:right="17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Industry</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Investment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Principal</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CONTROLLED</w:t>
            </w:r>
            <w:r>
              <w:rPr>
                <w:rFonts w:ascii="Arial" w:cs="Arial" w:eastAsia="Arial" w:hAnsi="Arial"/>
                <w:sz w:val="7"/>
                <w:szCs w:val="7"/>
                <w:b w:val="1"/>
                <w:bCs w:val="1"/>
                <w:color w:val="auto"/>
              </w:rPr>
              <w:t>(2)</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gridSpan w:val="4"/>
          </w:tcPr>
          <w:p>
            <w:pPr>
              <w:spacing w:after="0"/>
              <w:rPr>
                <w:sz w:val="20"/>
                <w:szCs w:val="20"/>
                <w:color w:val="auto"/>
              </w:rPr>
            </w:pPr>
            <w:r>
              <w:rPr>
                <w:rFonts w:ascii="Arial" w:cs="Arial" w:eastAsia="Arial" w:hAnsi="Arial"/>
                <w:sz w:val="12"/>
                <w:szCs w:val="12"/>
                <w:b w:val="1"/>
                <w:bCs w:val="1"/>
                <w:color w:val="auto"/>
              </w:rPr>
              <w:t>SPBRX, INC. (f/k/a GSV Sustainability Partners, Inc.)</w:t>
            </w:r>
          </w:p>
        </w:tc>
        <w:tc>
          <w:tcPr>
            <w:tcW w:w="2120" w:type="dxa"/>
            <w:vAlign w:val="bottom"/>
            <w:gridSpan w:val="2"/>
          </w:tcPr>
          <w:p>
            <w:pPr>
              <w:jc w:val="center"/>
              <w:ind w:right="140"/>
              <w:spacing w:after="0"/>
              <w:rPr>
                <w:sz w:val="20"/>
                <w:szCs w:val="20"/>
                <w:color w:val="auto"/>
              </w:rPr>
            </w:pPr>
            <w:r>
              <w:rPr>
                <w:rFonts w:ascii="Arial" w:cs="Arial" w:eastAsia="Arial" w:hAnsi="Arial"/>
                <w:sz w:val="12"/>
                <w:szCs w:val="12"/>
                <w:color w:val="auto"/>
                <w:w w:val="98"/>
              </w:rPr>
              <w:t>Cupertino, CA</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Preferred shares, Class A***</w:t>
            </w:r>
            <w:r>
              <w:rPr>
                <w:rFonts w:ascii="Arial" w:cs="Arial" w:eastAsia="Arial" w:hAnsi="Arial"/>
                <w:sz w:val="7"/>
                <w:szCs w:val="7"/>
                <w:color w:val="auto"/>
              </w:rPr>
              <w:t>(8)</w:t>
            </w:r>
          </w:p>
        </w:tc>
        <w:tc>
          <w:tcPr>
            <w:tcW w:w="220" w:type="dxa"/>
            <w:vAlign w:val="bottom"/>
            <w:gridSpan w:val="2"/>
            <w:shd w:val="clear" w:color="auto" w:fill="CCEEFF"/>
          </w:tcPr>
          <w:p>
            <w:pPr>
              <w:spacing w:after="0"/>
              <w:rPr>
                <w:sz w:val="20"/>
                <w:szCs w:val="20"/>
                <w:color w:val="auto"/>
              </w:rPr>
            </w:pP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3"/>
              </w:rPr>
              <w:t>Clean Technology</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4/15/2014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14,300,000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7,151,412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775,198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2"/>
                <w:szCs w:val="12"/>
                <w:color w:val="auto"/>
              </w:rPr>
              <w:t>Common shares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7"/>
              </w:rPr>
              <w:t>4/15/2014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98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7,161,412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775,198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00" w:type="dxa"/>
            <w:vAlign w:val="bottom"/>
            <w:gridSpan w:val="4"/>
            <w:shd w:val="clear" w:color="auto" w:fill="CCEEFF"/>
          </w:tcPr>
          <w:p>
            <w:pPr>
              <w:ind w:left="120"/>
              <w:spacing w:after="0"/>
              <w:rPr>
                <w:sz w:val="20"/>
                <w:szCs w:val="20"/>
                <w:color w:val="auto"/>
              </w:rPr>
            </w:pPr>
            <w:r>
              <w:rPr>
                <w:rFonts w:ascii="Arial" w:cs="Arial" w:eastAsia="Arial" w:hAnsi="Arial"/>
                <w:sz w:val="12"/>
                <w:szCs w:val="12"/>
                <w:b w:val="1"/>
                <w:bCs w:val="1"/>
                <w:color w:val="auto"/>
              </w:rPr>
              <w:t>Total Controlled</w:t>
            </w: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7,161,412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775,198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0.39%</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ind w:left="120"/>
              <w:spacing w:after="0"/>
              <w:rPr>
                <w:sz w:val="20"/>
                <w:szCs w:val="20"/>
                <w:color w:val="auto"/>
              </w:rPr>
            </w:pPr>
            <w:r>
              <w:rPr>
                <w:rFonts w:ascii="Arial" w:cs="Arial" w:eastAsia="Arial" w:hAnsi="Arial"/>
                <w:sz w:val="12"/>
                <w:szCs w:val="12"/>
                <w:b w:val="1"/>
                <w:bCs w:val="1"/>
                <w:color w:val="auto"/>
              </w:rPr>
              <w:t>Total Portfolio Investments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150,585,696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191,585,578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95.83%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3"/>
              </w:rPr>
              <w:t>U.S. Treasury</w:t>
            </w:r>
          </w:p>
        </w:tc>
        <w:tc>
          <w:tcPr>
            <w:tcW w:w="2360" w:type="dxa"/>
            <w:vAlign w:val="bottom"/>
            <w:tcBorders>
              <w:bottom w:val="single" w:sz="8" w:color="CCEEFF"/>
            </w:tcBorders>
            <w:gridSpan w:val="3"/>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2"/>
                <w:szCs w:val="12"/>
                <w:color w:val="auto"/>
              </w:rPr>
              <w:t>U.S. Treasury bill, 0%, due 1/2/2020***</w:t>
            </w:r>
            <w:r>
              <w:rPr>
                <w:rFonts w:ascii="Arial" w:cs="Arial" w:eastAsia="Arial" w:hAnsi="Arial"/>
                <w:sz w:val="7"/>
                <w:szCs w:val="7"/>
                <w:color w:val="auto"/>
              </w:rPr>
              <w:t>(3)</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12/30/2019</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50,000,000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49,996,667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2"/>
                <w:szCs w:val="12"/>
                <w:color w:val="auto"/>
              </w:rPr>
              <w:t>50,000,000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25.01%</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2"/>
                <w:szCs w:val="12"/>
                <w:b w:val="1"/>
                <w:bCs w:val="1"/>
                <w:color w:val="auto"/>
              </w:rPr>
              <w:t>TOTAL INVESTMENTS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200,582,363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241,585,578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-330835</wp:posOffset>
            </wp:positionV>
            <wp:extent cx="7816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1685" cy="762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-330835</wp:posOffset>
            </wp:positionV>
            <wp:extent cx="19024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02460" cy="762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-1555115</wp:posOffset>
            </wp:positionV>
            <wp:extent cx="48069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06950" cy="7620"/>
                    </a:xfrm>
                    <a:prstGeom prst="rect">
                      <a:avLst/>
                    </a:prstGeom>
                    <a:noFill/>
                  </pic:spPr>
                </pic:pic>
              </a:graphicData>
            </a:graphic>
          </wp:anchor>
        </w:drawing>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6" w:lineRule="exact"/>
        <w:rPr>
          <w:sz w:val="20"/>
          <w:szCs w:val="20"/>
          <w:color w:val="auto"/>
        </w:rPr>
      </w:pPr>
    </w:p>
    <w:p>
      <w:pPr>
        <w:ind w:left="7"/>
        <w:spacing w:after="0"/>
        <w:rPr>
          <w:sz w:val="20"/>
          <w:szCs w:val="20"/>
          <w:color w:val="auto"/>
        </w:rPr>
      </w:pPr>
      <w:r>
        <w:rPr>
          <w:rFonts w:ascii="Arial" w:cs="Arial" w:eastAsia="Arial" w:hAnsi="Arial"/>
          <w:sz w:val="9"/>
          <w:szCs w:val="9"/>
          <w:color w:val="auto"/>
        </w:rPr>
        <w:t>__________________________________________</w:t>
      </w:r>
    </w:p>
    <w:p>
      <w:pPr>
        <w:spacing w:after="0" w:line="6" w:lineRule="exact"/>
        <w:rPr>
          <w:sz w:val="20"/>
          <w:szCs w:val="20"/>
          <w:color w:val="auto"/>
        </w:rPr>
      </w:pPr>
    </w:p>
    <w:p>
      <w:pPr>
        <w:jc w:val="both"/>
        <w:ind w:left="427" w:hanging="427"/>
        <w:spacing w:after="0" w:line="317" w:lineRule="auto"/>
        <w:tabs>
          <w:tab w:leader="none" w:pos="427" w:val="left"/>
        </w:tabs>
        <w:numPr>
          <w:ilvl w:val="0"/>
          <w:numId w:val="45"/>
        </w:numPr>
        <w:rPr>
          <w:rFonts w:ascii="Arial" w:cs="Arial" w:eastAsia="Arial" w:hAnsi="Arial"/>
          <w:sz w:val="13"/>
          <w:szCs w:val="13"/>
          <w:color w:val="auto"/>
        </w:rPr>
      </w:pPr>
      <w:r>
        <w:rPr>
          <w:rFonts w:ascii="Arial" w:cs="Arial" w:eastAsia="Arial" w:hAnsi="Arial"/>
          <w:sz w:val="12"/>
          <w:szCs w:val="12"/>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2"/>
          <w:szCs w:val="12"/>
          <w:i w:val="1"/>
          <w:iCs w:val="1"/>
          <w:color w:val="auto"/>
        </w:rPr>
        <w:t>Investments at Fair</w:t>
      </w:r>
    </w:p>
    <w:p>
      <w:pPr>
        <w:spacing w:after="0" w:line="2" w:lineRule="exact"/>
        <w:rPr>
          <w:sz w:val="20"/>
          <w:szCs w:val="20"/>
          <w:color w:val="auto"/>
        </w:rPr>
      </w:pPr>
    </w:p>
    <w:p>
      <w:pPr>
        <w:ind w:left="427"/>
        <w:spacing w:after="0"/>
        <w:rPr>
          <w:sz w:val="20"/>
          <w:szCs w:val="20"/>
          <w:color w:val="auto"/>
        </w:rPr>
      </w:pPr>
      <w:r>
        <w:rPr>
          <w:rFonts w:ascii="Arial" w:cs="Arial" w:eastAsia="Arial" w:hAnsi="Arial"/>
          <w:sz w:val="14"/>
          <w:szCs w:val="14"/>
          <w:i w:val="1"/>
          <w:iCs w:val="1"/>
          <w:color w:val="auto"/>
        </w:rPr>
        <w:t>Value</w:t>
      </w:r>
      <w:r>
        <w:rPr>
          <w:rFonts w:ascii="Arial" w:cs="Arial" w:eastAsia="Arial" w:hAnsi="Arial"/>
          <w:sz w:val="14"/>
          <w:szCs w:val="14"/>
          <w:color w:val="auto"/>
        </w:rPr>
        <w:t>").</w:t>
      </w:r>
    </w:p>
    <w:p>
      <w:pPr>
        <w:spacing w:after="0" w:line="17" w:lineRule="exact"/>
        <w:rPr>
          <w:sz w:val="20"/>
          <w:szCs w:val="20"/>
          <w:color w:val="auto"/>
        </w:rPr>
      </w:pPr>
    </w:p>
    <w:p>
      <w:pPr>
        <w:ind w:left="427" w:right="20" w:hanging="427"/>
        <w:spacing w:after="0" w:line="248" w:lineRule="auto"/>
        <w:tabs>
          <w:tab w:leader="none" w:pos="4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Indicates assets that Sutter Rock Capital Corp. believes do not represent “qualifying assets” under Section 55(a) of the Investment Company Act of 1940, as amended (the “1940 Act”). Of the Company’s total investments as of December 31, 2019, 0.00% of its total investments are non-qualifying assets.</w:t>
      </w:r>
    </w:p>
    <w:p>
      <w:pPr>
        <w:ind w:left="427" w:hanging="427"/>
        <w:spacing w:after="0"/>
        <w:tabs>
          <w:tab w:leader="none" w:pos="4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Investment is income-producing.</w:t>
      </w:r>
    </w:p>
    <w:p>
      <w:pPr>
        <w:spacing w:after="0" w:line="152" w:lineRule="exact"/>
        <w:rPr>
          <w:sz w:val="20"/>
          <w:szCs w:val="20"/>
          <w:color w:val="auto"/>
        </w:rPr>
      </w:pPr>
    </w:p>
    <w:p>
      <w:pPr>
        <w:jc w:val="both"/>
        <w:ind w:left="427" w:hanging="427"/>
        <w:spacing w:after="0" w:line="255" w:lineRule="auto"/>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4"/>
          <w:szCs w:val="14"/>
          <w:i w:val="1"/>
          <w:iCs w:val="1"/>
          <w:color w:val="auto"/>
        </w:rPr>
        <w:t>i.e.</w:t>
      </w:r>
      <w:r>
        <w:rPr>
          <w:rFonts w:ascii="Arial" w:cs="Arial" w:eastAsia="Arial" w:hAnsi="Arial"/>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37" w:lineRule="exact"/>
        <w:rPr>
          <w:rFonts w:ascii="Arial" w:cs="Arial" w:eastAsia="Arial" w:hAnsi="Arial"/>
          <w:sz w:val="14"/>
          <w:szCs w:val="14"/>
          <w:color w:val="auto"/>
        </w:rPr>
      </w:pPr>
    </w:p>
    <w:p>
      <w:pPr>
        <w:jc w:val="both"/>
        <w:ind w:left="427" w:right="20" w:hanging="427"/>
        <w:spacing w:after="0" w:line="250" w:lineRule="auto"/>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1" w:lineRule="exact"/>
        <w:rPr>
          <w:rFonts w:ascii="Arial" w:cs="Arial" w:eastAsia="Arial" w:hAnsi="Arial"/>
          <w:sz w:val="14"/>
          <w:szCs w:val="14"/>
          <w:color w:val="auto"/>
        </w:rPr>
      </w:pPr>
    </w:p>
    <w:p>
      <w:pPr>
        <w:ind w:left="427" w:right="20" w:hanging="427"/>
        <w:spacing w:after="0" w:line="267" w:lineRule="auto"/>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Denotes an investment considered Level 1 or Level 2 and valued using observable inputs. As of December 31, 2019, no investments held by Sutter Rock Capital Corp. were considered Level 1 or Level 2. Refer to “Note 4—Investments at Fair Value”.</w:t>
      </w:r>
    </w:p>
    <w:p>
      <w:pPr>
        <w:spacing w:after="0" w:line="129" w:lineRule="exact"/>
        <w:rPr>
          <w:rFonts w:ascii="Arial" w:cs="Arial" w:eastAsia="Arial" w:hAnsi="Arial"/>
          <w:sz w:val="14"/>
          <w:szCs w:val="14"/>
          <w:color w:val="auto"/>
        </w:rPr>
      </w:pPr>
    </w:p>
    <w:p>
      <w:pPr>
        <w:ind w:left="427" w:hanging="427"/>
        <w:spacing w:after="0"/>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 of December 31, 2019, the investments noted had been placed on non-accrual status.</w:t>
      </w:r>
    </w:p>
    <w:p>
      <w:pPr>
        <w:spacing w:after="0" w:line="164" w:lineRule="exact"/>
        <w:rPr>
          <w:rFonts w:ascii="Arial" w:cs="Arial" w:eastAsia="Arial" w:hAnsi="Arial"/>
          <w:sz w:val="14"/>
          <w:szCs w:val="14"/>
          <w:color w:val="auto"/>
        </w:rPr>
      </w:pPr>
    </w:p>
    <w:p>
      <w:pPr>
        <w:ind w:left="427" w:hanging="427"/>
        <w:spacing w:after="0"/>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Sutter Rock Capital Corp.’s investments in StormWind, LLC are held through Sutter Rock Capital Corp.'s wholly owned subsidiary, GSVC SW Holdings, Inc.</w:t>
      </w:r>
    </w:p>
    <w:p>
      <w:pPr>
        <w:spacing w:after="0" w:line="164"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October 24, 2019, CUX, Inc. (d/b/a CorpU) completed a recapitalization, which amended Sutter Rock Capital Corp.'s investment in the Senior Subordinated Convertible Promissory Note. As a result of the recapitalization, the principal amount of Sutter Rock Capital Corp.'s Senior Subordinated Convertible Promissory Note was reduced by $109,331, the interest rate was reduced to 4%, and the maturity was extended to February 14, 2023.</w:t>
      </w:r>
    </w:p>
    <w:p>
      <w:pPr>
        <w:spacing w:after="0" w:line="137" w:lineRule="exact"/>
        <w:rPr>
          <w:rFonts w:ascii="Arial" w:cs="Arial" w:eastAsia="Arial" w:hAnsi="Arial"/>
          <w:sz w:val="14"/>
          <w:szCs w:val="14"/>
          <w:color w:val="auto"/>
        </w:rPr>
      </w:pPr>
    </w:p>
    <w:p>
      <w:pPr>
        <w:ind w:left="427" w:hanging="427"/>
        <w:spacing w:after="0" w:line="267" w:lineRule="auto"/>
        <w:tabs>
          <w:tab w:leader="none" w:pos="4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5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267"/>
          </w:cols>
          <w:pgMar w:left="313" w:top="124" w:right="319" w:bottom="1440" w:gutter="0" w:footer="0" w:header="0"/>
        </w:sectPr>
      </w:pPr>
    </w:p>
    <w:bookmarkStart w:id="84" w:name="page85"/>
    <w:bookmarkEnd w:id="84"/>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13"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330" w:lineRule="exact"/>
        <w:rPr>
          <w:sz w:val="20"/>
          <w:szCs w:val="20"/>
          <w:color w:val="auto"/>
        </w:rPr>
      </w:pPr>
    </w:p>
    <w:p>
      <w:pPr>
        <w:ind w:left="427" w:right="20" w:hanging="427"/>
        <w:spacing w:after="0" w:line="267" w:lineRule="auto"/>
        <w:tabs>
          <w:tab w:leader="none" w:pos="4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During the year ended December 31, 2019, SPBRX, INC. (f/k/a GSV Sustainability Partners, Inc.) declared, and Sutter Rock Capital Corp. received, an aggregate of $400,000 in dividend distributions.</w:t>
      </w:r>
    </w:p>
    <w:p>
      <w:pPr>
        <w:spacing w:after="0" w:line="129" w:lineRule="exact"/>
        <w:rPr>
          <w:rFonts w:ascii="Arial" w:cs="Arial" w:eastAsia="Arial" w:hAnsi="Arial"/>
          <w:sz w:val="14"/>
          <w:szCs w:val="14"/>
          <w:color w:val="auto"/>
        </w:rPr>
      </w:pPr>
    </w:p>
    <w:p>
      <w:pPr>
        <w:jc w:val="both"/>
        <w:ind w:left="427" w:hanging="427"/>
        <w:spacing w:after="0" w:line="246" w:lineRule="auto"/>
        <w:tabs>
          <w:tab w:leader="none" w:pos="4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August 23, 2019, Sutter Rock Capital Corp. amended the structure of its investment in NestGSV, Inc. (d/b/a GSV Labs, Inc.). As part of the agreement, Sutter Rock Capital Corp’s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Convertible Promissory Note, and the interest on the Convertible Promissory Note is reduced from 12% to 8%. The Convertible Promissory Note’s maturity was extended to August 23, 2024. Under the amended structure, Sutter Rock Capital Corp.’s fully diluted ownership of voting securities in the company decreased from 50.0% to 8.5%. As such, Sutter Rock Capital Corp.'s investments in NestGSV, Inc. (d/b/a GSV Labs, Inc.) have been recategorized from controlled investments to non-controlled/affiliated investments.</w:t>
      </w:r>
    </w:p>
    <w:p>
      <w:pPr>
        <w:spacing w:after="0" w:line="145"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w:t>
      </w:r>
    </w:p>
    <w:p>
      <w:pPr>
        <w:spacing w:after="0" w:line="137" w:lineRule="exact"/>
        <w:rPr>
          <w:rFonts w:ascii="Arial" w:cs="Arial" w:eastAsia="Arial" w:hAnsi="Arial"/>
          <w:sz w:val="14"/>
          <w:szCs w:val="14"/>
          <w:color w:val="auto"/>
        </w:rPr>
      </w:pPr>
    </w:p>
    <w:p>
      <w:pPr>
        <w:ind w:left="427" w:hanging="427"/>
        <w:spacing w:after="0"/>
        <w:tabs>
          <w:tab w:leader="none" w:pos="427" w:val="left"/>
        </w:tabs>
        <w:numPr>
          <w:ilvl w:val="0"/>
          <w:numId w:val="49"/>
        </w:numPr>
        <w:rPr>
          <w:rFonts w:ascii="Arial" w:cs="Arial" w:eastAsia="Arial" w:hAnsi="Arial"/>
          <w:sz w:val="13"/>
          <w:szCs w:val="13"/>
          <w:color w:val="auto"/>
        </w:rPr>
      </w:pPr>
      <w:r>
        <w:rPr>
          <w:rFonts w:ascii="Arial" w:cs="Arial" w:eastAsia="Arial" w:hAnsi="Arial"/>
          <w:sz w:val="13"/>
          <w:szCs w:val="13"/>
          <w:color w:val="auto"/>
        </w:rPr>
        <w:t>During year ended December 31, 2019, Treehouse Real Estate Investment Trust Inc. declared, and Sutter Rock Capital Corp. received an aggregate of $100,000 in dividend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267"/>
          </w:cols>
          <w:pgMar w:left="313" w:top="124" w:right="319" w:bottom="1440" w:gutter="0" w:footer="0" w:header="0"/>
        </w:sectPr>
      </w:pPr>
    </w:p>
    <w:bookmarkStart w:id="85" w:name="page86"/>
    <w:bookmarkEnd w:id="85"/>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20" w:type="dxa"/>
            <w:vAlign w:val="bottom"/>
            <w:gridSpan w:val="15"/>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Headquarters/</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Date of Initial</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Shares/</w:t>
            </w:r>
          </w:p>
        </w:tc>
        <w:tc>
          <w:tcPr>
            <w:tcW w:w="16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1040" w:type="dxa"/>
            <w:vAlign w:val="bottom"/>
          </w:tcPr>
          <w:p>
            <w:pPr>
              <w:jc w:val="right"/>
              <w:ind w:right="23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gridSpan w:val="15"/>
            <w:vMerge w:val="continue"/>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Industry</w:t>
            </w:r>
          </w:p>
        </w:tc>
        <w:tc>
          <w:tcPr>
            <w:tcW w:w="12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Investment</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Principal</w:t>
            </w: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tcPr>
          <w:p>
            <w:pPr>
              <w:jc w:val="right"/>
              <w:ind w:right="29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292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2"/>
                <w:szCs w:val="12"/>
                <w:b w:val="1"/>
                <w:bCs w:val="1"/>
                <w:color w:val="auto"/>
              </w:rPr>
              <w:t>NON-CONTROLLED/NON-AFFILIATE</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Palantir Technologies,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rPr>
              <w:t>Palo Alto,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400" w:type="dxa"/>
            <w:vAlign w:val="bottom"/>
            <w:tcBorders>
              <w:top w:val="single" w:sz="8" w:color="auto"/>
            </w:tcBorders>
            <w:gridSpan w:val="11"/>
            <w:shd w:val="clear" w:color="auto" w:fill="CCEEFF"/>
          </w:tcPr>
          <w:p>
            <w:pPr>
              <w:spacing w:after="0"/>
              <w:rPr>
                <w:sz w:val="20"/>
                <w:szCs w:val="20"/>
                <w:color w:val="auto"/>
              </w:rPr>
            </w:pPr>
            <w:r>
              <w:rPr>
                <w:rFonts w:ascii="Arial" w:cs="Arial" w:eastAsia="Arial" w:hAnsi="Arial"/>
                <w:sz w:val="12"/>
                <w:szCs w:val="12"/>
                <w:color w:val="auto"/>
              </w:rPr>
              <w:t>Common shares, Class A</w:t>
            </w:r>
          </w:p>
        </w:tc>
        <w:tc>
          <w:tcPr>
            <w:tcW w:w="1520" w:type="dxa"/>
            <w:vAlign w:val="bottom"/>
            <w:gridSpan w:val="4"/>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5"/>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5/7/2012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5,773,690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16,189,935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34,053,394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Spotify Technology S.A.</w:t>
            </w: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Stockholm, Sweden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260" w:type="dxa"/>
            <w:vAlign w:val="bottom"/>
            <w:tcBorders>
              <w:top w:val="single" w:sz="8" w:color="auto"/>
            </w:tcBorders>
            <w:gridSpan w:val="9"/>
            <w:shd w:val="clear" w:color="auto" w:fill="CCEEFF"/>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7"/>
                <w:szCs w:val="7"/>
                <w:color w:val="auto"/>
              </w:rPr>
              <w:t>(3)(7)</w:t>
            </w:r>
          </w:p>
        </w:tc>
        <w:tc>
          <w:tcPr>
            <w:tcW w:w="1660" w:type="dxa"/>
            <w:vAlign w:val="bottom"/>
            <w:gridSpan w:val="6"/>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On-Demand Music Streaming</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8/6/2012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235,360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10,002,084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26,713,360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2"/>
              </w:rPr>
              <w:t>Coursera, Inc.</w:t>
            </w:r>
          </w:p>
        </w:tc>
        <w:tc>
          <w:tcPr>
            <w:tcW w:w="216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6/9/2013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2,961,399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14,519,519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23,111,889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Dropbox, Inc.</w:t>
            </w: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San Francisco,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7"/>
                <w:szCs w:val="7"/>
                <w:color w:val="auto"/>
              </w:rPr>
              <w:t>(3)(8)</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4"/>
              </w:rPr>
              <w:t>Cloud Computing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11/15/2011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874,990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13,656,926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17,876,046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Lyft,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San Francisco,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On-Demand Transportation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3/11/2015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128,563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2,503,585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6,583,483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Preferred shares, Series D</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3/21/2014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176,266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1,792,749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9,026,269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4,296,334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15,609,752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Borders>
              <w:bottom w:val="single" w:sz="8" w:color="auto"/>
            </w:tcBorders>
            <w:gridSpan w:val="6"/>
          </w:tcPr>
          <w:p>
            <w:pPr>
              <w:spacing w:after="0"/>
              <w:rPr>
                <w:sz w:val="20"/>
                <w:szCs w:val="20"/>
                <w:color w:val="auto"/>
              </w:rPr>
            </w:pPr>
            <w:r>
              <w:rPr>
                <w:rFonts w:ascii="Arial" w:cs="Arial" w:eastAsia="Arial" w:hAnsi="Arial"/>
                <w:sz w:val="12"/>
                <w:szCs w:val="12"/>
                <w:b w:val="1"/>
                <w:bCs w:val="1"/>
                <w:color w:val="auto"/>
                <w:w w:val="92"/>
              </w:rPr>
              <w:t>Course Hero, Inc.</w:t>
            </w:r>
          </w:p>
        </w:tc>
        <w:tc>
          <w:tcPr>
            <w:tcW w:w="198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7"/>
              </w:rPr>
              <w:t>Redwood City,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9/18/2014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2,145,509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5,000,001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14,106,625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w w:val="90"/>
              </w:rPr>
              <w:t>Nextdoor.com, Inc.</w:t>
            </w:r>
          </w:p>
        </w:tc>
        <w:tc>
          <w:tcPr>
            <w:tcW w:w="192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San Francisco,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0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5"/>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9/27/2018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580,360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10,006,578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10,097,442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SharesPost,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San Francisco,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7/19/2011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1,771,653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2,259,716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5,943,577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7"/>
                <w:szCs w:val="7"/>
                <w:color w:val="auto"/>
              </w:rPr>
              <w:t>(13)</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7/20/2011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770,934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123,987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855,327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2,383,703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6,798,904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Parchment, Inc.</w:t>
            </w: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Scottsdale, AZ</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D 8%</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10/1/2012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3,200,512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4,000,982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6,151,161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Enjoy Technology,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Menlo Park,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7/29/2015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1,681,520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4,000,280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4,000,000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Preferred shares, Series A</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10/16/2014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879,198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1,002,440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2,091,436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5,002,720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6,091,436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A Place for Rover Inc. (f/k/a DogVacay,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Seattle, WA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340" w:type="dxa"/>
            <w:vAlign w:val="bottom"/>
            <w:tcBorders>
              <w:top w:val="single" w:sz="8" w:color="auto"/>
            </w:tcBorders>
            <w:gridSpan w:val="14"/>
            <w:shd w:val="clear" w:color="auto" w:fill="CCEEFF"/>
          </w:tcPr>
          <w:p>
            <w:pPr>
              <w:spacing w:after="0"/>
              <w:rPr>
                <w:sz w:val="20"/>
                <w:szCs w:val="20"/>
                <w:color w:val="auto"/>
              </w:rPr>
            </w:pPr>
            <w:r>
              <w:rPr>
                <w:rFonts w:ascii="Arial" w:cs="Arial" w:eastAsia="Arial" w:hAnsi="Arial"/>
                <w:sz w:val="12"/>
                <w:szCs w:val="12"/>
                <w:color w:val="auto"/>
              </w:rPr>
              <w:t>Common shares</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11/3/2014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707,991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2,506,119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3,511,661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Knewton,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rPr>
              <w:t>New York, NY</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E</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6"/>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12/16/2013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375,985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4,999,999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2,021,690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Convertible Promissory Note 8% Due 12/31/2019</w:t>
            </w:r>
            <w:r>
              <w:rPr>
                <w:rFonts w:ascii="Arial" w:cs="Arial" w:eastAsia="Arial" w:hAnsi="Arial"/>
                <w:sz w:val="7"/>
                <w:szCs w:val="7"/>
                <w:color w:val="auto"/>
              </w:rPr>
              <w:t>(12)</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7/23/2018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134,405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135,213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134,405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5,135,212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2,156,095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Clever, Inc.</w:t>
            </w: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San Francisco, CA</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4"/>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12/5/2014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1,799,047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2,000,601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2,000,001</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Aspiration Partners, Inc.</w:t>
            </w:r>
          </w:p>
        </w:tc>
        <w:tc>
          <w:tcPr>
            <w:tcW w:w="100" w:type="dxa"/>
            <w:vAlign w:val="bottom"/>
          </w:tcPr>
          <w:p>
            <w:pPr>
              <w:spacing w:after="0"/>
              <w:rPr>
                <w:sz w:val="17"/>
                <w:szCs w:val="17"/>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Marina Del Rey,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8/11/2015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540,270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1,001,815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999,975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Tynker (f/k/a Neuron Fuel, Inc.)</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68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2"/>
                <w:szCs w:val="12"/>
                <w:color w:val="auto"/>
              </w:rPr>
              <w:t>Preferred shares, Series A 8%</w:t>
            </w:r>
          </w:p>
        </w:tc>
        <w:tc>
          <w:tcPr>
            <w:tcW w:w="1240" w:type="dxa"/>
            <w:vAlign w:val="bottom"/>
            <w:gridSpan w:val="3"/>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8/8/2012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534,162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309,310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789,492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gridSpan w:val="15"/>
          </w:tcPr>
          <w:p>
            <w:pPr>
              <w:spacing w:after="0"/>
              <w:rPr>
                <w:sz w:val="20"/>
                <w:szCs w:val="20"/>
                <w:color w:val="auto"/>
              </w:rPr>
            </w:pPr>
            <w:r>
              <w:rPr>
                <w:rFonts w:ascii="Arial" w:cs="Arial" w:eastAsia="Arial" w:hAnsi="Arial"/>
                <w:sz w:val="12"/>
                <w:szCs w:val="12"/>
                <w:b w:val="1"/>
                <w:bCs w:val="1"/>
                <w:color w:val="auto"/>
              </w:rPr>
              <w:t>4C Insights (f/k/a The Echo Systems Corp.)</w:t>
            </w: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8"/>
              </w:rPr>
              <w:t>Chicago, IL</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228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2"/>
                <w:szCs w:val="12"/>
                <w:color w:val="auto"/>
              </w:rPr>
              <w:t>Common shares</w:t>
            </w:r>
          </w:p>
        </w:tc>
        <w:tc>
          <w:tcPr>
            <w:tcW w:w="64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5"/>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3/30/2012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436,219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1,436,404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93"/>
              </w:rPr>
              <w:t>Fullbridge, Inc.</w:t>
            </w:r>
          </w:p>
        </w:tc>
        <w:tc>
          <w:tcPr>
            <w:tcW w:w="208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Cambridge, MA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2920" w:type="dxa"/>
            <w:vAlign w:val="bottom"/>
            <w:gridSpan w:val="1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00" w:type="dxa"/>
            <w:vAlign w:val="bottom"/>
            <w:shd w:val="clear" w:color="auto" w:fill="CCEEFF"/>
          </w:tcPr>
          <w:p>
            <w:pPr>
              <w:spacing w:after="0"/>
              <w:rPr>
                <w:sz w:val="21"/>
                <w:szCs w:val="21"/>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5/13/2012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517,917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6,150,506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gridSpan w:val="15"/>
          </w:tcPr>
          <w:p>
            <w:pPr>
              <w:spacing w:after="0"/>
              <w:rPr>
                <w:sz w:val="20"/>
                <w:szCs w:val="20"/>
                <w:color w:val="auto"/>
              </w:rPr>
            </w:pPr>
            <w:r>
              <w:rPr>
                <w:rFonts w:ascii="Arial" w:cs="Arial" w:eastAsia="Arial" w:hAnsi="Arial"/>
                <w:sz w:val="12"/>
                <w:szCs w:val="12"/>
                <w:color w:val="auto"/>
              </w:rPr>
              <w:t>Promissory Note 1.49% Due 11/9/2021</w:t>
            </w:r>
            <w:r>
              <w:rPr>
                <w:rFonts w:ascii="Arial" w:cs="Arial" w:eastAsia="Arial" w:hAnsi="Arial"/>
                <w:sz w:val="7"/>
                <w:szCs w:val="7"/>
                <w:color w:val="auto"/>
              </w:rPr>
              <w:t>(4)</w:t>
            </w:r>
          </w:p>
        </w:tc>
        <w:tc>
          <w:tcPr>
            <w:tcW w:w="1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4"/>
              </w:rPr>
              <w:t>3/3/2016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CCEEFF"/>
            </w:tcBorders>
          </w:tcPr>
          <w:p>
            <w:pPr>
              <w:jc w:val="right"/>
              <w:ind w:right="38"/>
              <w:spacing w:after="0"/>
              <w:rPr>
                <w:sz w:val="20"/>
                <w:szCs w:val="20"/>
                <w:color w:val="auto"/>
              </w:rPr>
            </w:pPr>
            <w:r>
              <w:rPr>
                <w:rFonts w:ascii="Arial" w:cs="Arial" w:eastAsia="Arial" w:hAnsi="Arial"/>
                <w:sz w:val="12"/>
                <w:szCs w:val="12"/>
                <w:color w:val="auto"/>
              </w:rPr>
              <w:t>2,270,458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2,270,858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920" w:type="dxa"/>
            <w:vAlign w:val="bottom"/>
            <w:gridSpan w:val="15"/>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8,421,364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920" w:type="dxa"/>
            <w:vAlign w:val="bottom"/>
            <w:gridSpan w:val="15"/>
            <w:shd w:val="clear" w:color="auto" w:fill="CCEEFF"/>
          </w:tcPr>
          <w:p>
            <w:pPr>
              <w:ind w:left="120"/>
              <w:spacing w:after="0"/>
              <w:rPr>
                <w:sz w:val="20"/>
                <w:szCs w:val="20"/>
                <w:color w:val="auto"/>
              </w:rPr>
            </w:pPr>
            <w:r>
              <w:rPr>
                <w:rFonts w:ascii="Arial" w:cs="Arial" w:eastAsia="Arial" w:hAnsi="Arial"/>
                <w:sz w:val="12"/>
                <w:szCs w:val="12"/>
                <w:b w:val="1"/>
                <w:bCs w:val="1"/>
                <w:color w:val="auto"/>
              </w:rPr>
              <w:t>Total Non-controlled/Non-affiliate</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105,869,607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170,067,233</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49618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61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-2211070</wp:posOffset>
            </wp:positionV>
            <wp:extent cx="49618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61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-3110865</wp:posOffset>
            </wp:positionV>
            <wp:extent cx="49618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61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-4010025</wp:posOffset>
            </wp:positionV>
            <wp:extent cx="49618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61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-5219065</wp:posOffset>
            </wp:positionV>
            <wp:extent cx="49618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6189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260"/>
          </w:cols>
          <w:pgMar w:left="320" w:top="124" w:right="319" w:bottom="1440" w:gutter="0" w:footer="0" w:header="0"/>
        </w:sectPr>
      </w:pPr>
    </w:p>
    <w:bookmarkStart w:id="86" w:name="page87"/>
    <w:bookmarkEnd w:id="8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SCHEDULE OF INVESTMENTS –continued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00" w:type="dxa"/>
            <w:vAlign w:val="bottom"/>
          </w:tcPr>
          <w:p>
            <w:pPr>
              <w:spacing w:after="0"/>
              <w:rPr>
                <w:sz w:val="12"/>
                <w:szCs w:val="12"/>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Headquarters/</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Date of Initial</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Shares/</w:t>
            </w:r>
          </w:p>
        </w:tc>
        <w:tc>
          <w:tcPr>
            <w:tcW w:w="20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Fair Value</w:t>
            </w:r>
          </w:p>
        </w:tc>
        <w:tc>
          <w:tcPr>
            <w:tcW w:w="1040" w:type="dxa"/>
            <w:vAlign w:val="bottom"/>
          </w:tcPr>
          <w:p>
            <w:pPr>
              <w:jc w:val="right"/>
              <w:ind w:right="23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Industry</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Investment</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Principal</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tcPr>
          <w:p>
            <w:pPr>
              <w:jc w:val="right"/>
              <w:ind w:right="29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314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2"/>
                <w:szCs w:val="12"/>
                <w:b w:val="1"/>
                <w:bCs w:val="1"/>
                <w:color w:val="auto"/>
              </w:rPr>
              <w:t>NON-CONTROLLED/AFFILIATE</w:t>
            </w:r>
            <w:r>
              <w:rPr>
                <w:rFonts w:ascii="Arial" w:cs="Arial" w:eastAsia="Arial" w:hAnsi="Arial"/>
                <w:sz w:val="7"/>
                <w:szCs w:val="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gridSpan w:val="6"/>
          </w:tcPr>
          <w:p>
            <w:pPr>
              <w:spacing w:after="0"/>
              <w:rPr>
                <w:sz w:val="20"/>
                <w:szCs w:val="20"/>
                <w:color w:val="auto"/>
              </w:rPr>
            </w:pPr>
            <w:r>
              <w:rPr>
                <w:rFonts w:ascii="Arial" w:cs="Arial" w:eastAsia="Arial" w:hAnsi="Arial"/>
                <w:sz w:val="12"/>
                <w:szCs w:val="12"/>
                <w:b w:val="1"/>
                <w:bCs w:val="1"/>
                <w:color w:val="auto"/>
              </w:rPr>
              <w:t>Ozy Media, Inc.</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Mountain View, CA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Convertible Promissory Note 5% Due 12/31/2018</w:t>
            </w:r>
            <w:r>
              <w:rPr>
                <w:rFonts w:ascii="Arial" w:cs="Arial" w:eastAsia="Arial" w:hAnsi="Arial"/>
                <w:sz w:val="7"/>
                <w:szCs w:val="7"/>
                <w:color w:val="auto"/>
              </w:rPr>
              <w:t>(11)</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8"/>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8/31/2016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2,102,384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2,102,384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3,153,575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Preferred shares, Series B 6%</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10/3/2014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922,509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4,999,999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Preferred shares, Series A 6%</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12/11/2013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1,090,909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3,000,200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Preferred shares, Series Seed 6%</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11/2/2012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Common Warrants, Strike Price $0.01, Expiration Date</w:t>
            </w:r>
          </w:p>
        </w:tc>
        <w:tc>
          <w:tcPr>
            <w:tcW w:w="10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4/9/2028</w:t>
            </w:r>
            <w:r>
              <w:rPr>
                <w:rFonts w:ascii="Arial" w:cs="Arial" w:eastAsia="Arial" w:hAnsi="Arial"/>
                <w:sz w:val="7"/>
                <w:szCs w:val="7"/>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4/9/2018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295,565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30,647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gridSpan w:val="6"/>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10,633,230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3,153,575</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b w:val="1"/>
                <w:bCs w:val="1"/>
                <w:color w:val="auto"/>
              </w:rPr>
              <w:t>CUX, Inc. (d/b/a CorpU)</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Philadelphia, PA</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gridSpan w:val="6"/>
          </w:tcPr>
          <w:p>
            <w:pPr>
              <w:spacing w:after="0" w:line="136" w:lineRule="exact"/>
              <w:rPr>
                <w:sz w:val="20"/>
                <w:szCs w:val="20"/>
                <w:color w:val="auto"/>
              </w:rPr>
            </w:pPr>
            <w:r>
              <w:rPr>
                <w:rFonts w:ascii="Arial" w:cs="Arial" w:eastAsia="Arial" w:hAnsi="Arial"/>
                <w:sz w:val="12"/>
                <w:szCs w:val="12"/>
                <w:color w:val="auto"/>
                <w:w w:val="98"/>
              </w:rPr>
              <w:t>Senior Subordinated Convertible Promissory Note 10% Due</w:t>
            </w: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ind w:left="20"/>
              <w:spacing w:after="0"/>
              <w:rPr>
                <w:sz w:val="20"/>
                <w:szCs w:val="20"/>
                <w:color w:val="auto"/>
              </w:rPr>
            </w:pPr>
            <w:r>
              <w:rPr>
                <w:rFonts w:ascii="Arial" w:cs="Arial" w:eastAsia="Arial" w:hAnsi="Arial"/>
                <w:sz w:val="12"/>
                <w:szCs w:val="12"/>
                <w:color w:val="auto"/>
              </w:rPr>
              <w:t>2/14/2020***</w:t>
            </w:r>
            <w:r>
              <w:rPr>
                <w:rFonts w:ascii="Arial" w:cs="Arial" w:eastAsia="Arial" w:hAnsi="Arial"/>
                <w:sz w:val="7"/>
                <w:szCs w:val="7"/>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Corporate Education</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11/26/2014</w:t>
            </w:r>
          </w:p>
        </w:tc>
        <w:tc>
          <w:tcPr>
            <w:tcW w:w="12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1,360,489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1,361,969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1,360,489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Convertible preferred shares, Series D 6%</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5/31/2013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169,033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778,607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878,005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Convertible preferred shares, Series C 8%</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3/29/2012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615,763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2,006,077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9"/>
              </w:rPr>
              <w:t>Preferred Warrants Series D, Strike Price $4.59, Expiration</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Date 2/14/2020</w:t>
            </w:r>
            <w:r>
              <w:rPr>
                <w:rFonts w:ascii="Arial" w:cs="Arial" w:eastAsia="Arial" w:hAnsi="Arial"/>
                <w:sz w:val="7"/>
                <w:szCs w:val="7"/>
                <w:color w:val="auto"/>
              </w:rPr>
              <w:t>(9)</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5/31/2013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16,903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19,946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gridSpan w:val="6"/>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4,146,653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2,258,440</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b w:val="1"/>
                <w:bCs w:val="1"/>
                <w:color w:val="auto"/>
              </w:rPr>
              <w:t>EdSurge, Inc.</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7"/>
              </w:rPr>
              <w:t>Burlingame, CA</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Preferred shares, Series A-1</w:t>
            </w:r>
          </w:p>
        </w:tc>
        <w:tc>
          <w:tcPr>
            <w:tcW w:w="10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Education Media Platform</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11/12/2015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378,788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501,360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Preferred shares, Series A</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2/28/2014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494,365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500,801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269,848</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gridSpan w:val="6"/>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1,002,161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519,848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b w:val="1"/>
                <w:bCs w:val="1"/>
                <w:color w:val="auto"/>
              </w:rPr>
              <w:t>Maven Research, Inc.</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San Francisco, CA</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shd w:val="clear" w:color="auto" w:fill="CCEEFF"/>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Preferred shares, Series C</w:t>
            </w:r>
          </w:p>
        </w:tc>
        <w:tc>
          <w:tcPr>
            <w:tcW w:w="10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2"/>
                <w:szCs w:val="12"/>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7/2/2012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318,979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2,000,447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2"/>
                <w:szCs w:val="12"/>
                <w:color w:val="auto"/>
              </w:rPr>
              <w:t>Preferred shares, Series B</w:t>
            </w:r>
          </w:p>
        </w:tc>
        <w:tc>
          <w:tcPr>
            <w:tcW w:w="100" w:type="dxa"/>
            <w:vAlign w:val="bottom"/>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2/28/2012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49,505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217,206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gridSpan w:val="6"/>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2,217,653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auto"/>
            </w:tcBorders>
            <w:gridSpan w:val="3"/>
            <w:shd w:val="clear" w:color="auto" w:fill="CCEEFF"/>
          </w:tcPr>
          <w:p>
            <w:pPr>
              <w:spacing w:after="0"/>
              <w:rPr>
                <w:sz w:val="20"/>
                <w:szCs w:val="20"/>
                <w:color w:val="auto"/>
              </w:rPr>
            </w:pPr>
            <w:r>
              <w:rPr>
                <w:rFonts w:ascii="Arial" w:cs="Arial" w:eastAsia="Arial" w:hAnsi="Arial"/>
                <w:sz w:val="12"/>
                <w:szCs w:val="12"/>
                <w:b w:val="1"/>
                <w:bCs w:val="1"/>
                <w:color w:val="auto"/>
                <w:w w:val="91"/>
              </w:rPr>
              <w:t>Curious.com, Inc.</w:t>
            </w:r>
          </w:p>
        </w:tc>
        <w:tc>
          <w:tcPr>
            <w:tcW w:w="2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7"/>
              </w:rPr>
              <w:t>Menlo Park, CA</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Common shares</w:t>
            </w:r>
            <w:r>
              <w:rPr>
                <w:rFonts w:ascii="Arial" w:cs="Arial" w:eastAsia="Arial" w:hAnsi="Arial"/>
                <w:sz w:val="7"/>
                <w:szCs w:val="7"/>
                <w:color w:val="auto"/>
              </w:rPr>
              <w:t>(15)</w:t>
            </w: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Online Education</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11/22/2013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1,135,944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12,000,006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w w:val="96"/>
              </w:rPr>
              <w:t>Declara, Inc.</w:t>
            </w:r>
          </w:p>
        </w:tc>
        <w:tc>
          <w:tcPr>
            <w:tcW w:w="2420" w:type="dxa"/>
            <w:vAlign w:val="bottom"/>
            <w:tcBorders>
              <w:bottom w:val="single" w:sz="8" w:color="CCEEFF"/>
            </w:tcBorders>
            <w:gridSpan w:val="5"/>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8"/>
              </w:rPr>
              <w:t>Palo Alto, CA</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Convertible Promissory Note 12% Due 4/30/2018</w:t>
            </w:r>
            <w:r>
              <w:rPr>
                <w:rFonts w:ascii="Arial" w:cs="Arial" w:eastAsia="Arial" w:hAnsi="Arial"/>
                <w:sz w:val="7"/>
                <w:szCs w:val="7"/>
                <w:color w:val="auto"/>
              </w:rPr>
              <w:t>(4)(10)</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Social Cognitive Learning</w:t>
            </w:r>
          </w:p>
        </w:tc>
        <w:tc>
          <w:tcPr>
            <w:tcW w:w="1140" w:type="dxa"/>
            <w:vAlign w:val="bottom"/>
          </w:tcPr>
          <w:p>
            <w:pPr>
              <w:jc w:val="center"/>
              <w:spacing w:after="0"/>
              <w:rPr>
                <w:sz w:val="20"/>
                <w:szCs w:val="20"/>
                <w:color w:val="auto"/>
              </w:rPr>
            </w:pPr>
            <w:r>
              <w:rPr>
                <w:rFonts w:ascii="Arial" w:cs="Arial" w:eastAsia="Arial" w:hAnsi="Arial"/>
                <w:sz w:val="12"/>
                <w:szCs w:val="12"/>
                <w:color w:val="auto"/>
                <w:w w:val="93"/>
              </w:rPr>
              <w:t>12/30/2015</w:t>
            </w:r>
          </w:p>
        </w:tc>
        <w:tc>
          <w:tcPr>
            <w:tcW w:w="120" w:type="dxa"/>
            <w:vAlign w:val="bottom"/>
          </w:tcPr>
          <w:p>
            <w:pPr>
              <w:spacing w:after="0"/>
              <w:rPr>
                <w:sz w:val="17"/>
                <w:szCs w:val="17"/>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2,327,727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2,334,152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Preferred shares, Series A 8%</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4/17/2014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10,716,390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9,999,999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gridSpan w:val="6"/>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12,334,151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9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40" w:type="dxa"/>
            <w:vAlign w:val="bottom"/>
            <w:gridSpan w:val="6"/>
          </w:tcPr>
          <w:p>
            <w:pPr>
              <w:ind w:left="120"/>
              <w:spacing w:after="0"/>
              <w:rPr>
                <w:sz w:val="20"/>
                <w:szCs w:val="20"/>
                <w:color w:val="auto"/>
              </w:rPr>
            </w:pPr>
            <w:r>
              <w:rPr>
                <w:rFonts w:ascii="Arial" w:cs="Arial" w:eastAsia="Arial" w:hAnsi="Arial"/>
                <w:sz w:val="12"/>
                <w:szCs w:val="12"/>
                <w:b w:val="1"/>
                <w:bCs w:val="1"/>
                <w:color w:val="auto"/>
              </w:rPr>
              <w:t>Total Non-controlled/Affiliate</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38"/>
              <w:spacing w:after="0"/>
              <w:rPr>
                <w:sz w:val="20"/>
                <w:szCs w:val="20"/>
                <w:color w:val="auto"/>
              </w:rPr>
            </w:pPr>
            <w:r>
              <w:rPr>
                <w:rFonts w:ascii="Arial" w:cs="Arial" w:eastAsia="Arial" w:hAnsi="Arial"/>
                <w:sz w:val="12"/>
                <w:szCs w:val="12"/>
                <w:b w:val="1"/>
                <w:bCs w:val="1"/>
                <w:color w:val="auto"/>
              </w:rPr>
              <w:t>42,333,854</w:t>
            </w:r>
          </w:p>
        </w:tc>
        <w:tc>
          <w:tcPr>
            <w:tcW w:w="100" w:type="dxa"/>
            <w:vAlign w:val="bottom"/>
          </w:tcPr>
          <w:p>
            <w:pPr>
              <w:spacing w:after="0"/>
              <w:rPr>
                <w:sz w:val="19"/>
                <w:szCs w:val="19"/>
                <w:color w:val="auto"/>
              </w:rPr>
            </w:pPr>
          </w:p>
        </w:tc>
        <w:tc>
          <w:tcPr>
            <w:tcW w:w="22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ind w:right="38"/>
              <w:spacing w:after="0"/>
              <w:rPr>
                <w:sz w:val="20"/>
                <w:szCs w:val="20"/>
                <w:color w:val="auto"/>
              </w:rPr>
            </w:pPr>
            <w:r>
              <w:rPr>
                <w:rFonts w:ascii="Arial" w:cs="Arial" w:eastAsia="Arial" w:hAnsi="Arial"/>
                <w:sz w:val="12"/>
                <w:szCs w:val="12"/>
                <w:b w:val="1"/>
                <w:bCs w:val="1"/>
                <w:color w:val="auto"/>
              </w:rPr>
              <w:t>5,931,863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3.04%</w:t>
            </w: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40" w:type="dxa"/>
            <w:vAlign w:val="bottom"/>
            <w:gridSpan w:val="6"/>
          </w:tcPr>
          <w:p>
            <w:pPr>
              <w:spacing w:after="0"/>
              <w:rPr>
                <w:sz w:val="20"/>
                <w:szCs w:val="20"/>
                <w:color w:val="auto"/>
              </w:rPr>
            </w:pPr>
            <w:r>
              <w:rPr>
                <w:rFonts w:ascii="Arial" w:cs="Arial" w:eastAsia="Arial" w:hAnsi="Arial"/>
                <w:sz w:val="12"/>
                <w:szCs w:val="12"/>
                <w:b w:val="1"/>
                <w:bCs w:val="1"/>
                <w:color w:val="auto"/>
              </w:rPr>
              <w:t>CONTROLLED</w:t>
            </w:r>
            <w:r>
              <w:rPr>
                <w:rFonts w:ascii="Arial" w:cs="Arial" w:eastAsia="Arial" w:hAnsi="Arial"/>
                <w:sz w:val="7"/>
                <w:szCs w:val="7"/>
                <w:color w:val="auto"/>
              </w:rPr>
              <w:t>(2)</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b w:val="1"/>
                <w:bCs w:val="1"/>
                <w:color w:val="auto"/>
              </w:rPr>
              <w:t>StormWind, LLC</w:t>
            </w:r>
            <w:r>
              <w:rPr>
                <w:rFonts w:ascii="Arial" w:cs="Arial" w:eastAsia="Arial" w:hAnsi="Arial"/>
                <w:sz w:val="7"/>
                <w:szCs w:val="7"/>
                <w:color w:val="auto"/>
              </w:rPr>
              <w:t>(5)</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Scottsdale, AZ</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6"/>
          </w:tcPr>
          <w:p>
            <w:pPr>
              <w:spacing w:after="0"/>
              <w:rPr>
                <w:sz w:val="20"/>
                <w:szCs w:val="20"/>
                <w:color w:val="auto"/>
              </w:rPr>
            </w:pPr>
            <w:r>
              <w:rPr>
                <w:rFonts w:ascii="Arial" w:cs="Arial" w:eastAsia="Arial" w:hAnsi="Arial"/>
                <w:sz w:val="12"/>
                <w:szCs w:val="12"/>
                <w:color w:val="auto"/>
              </w:rPr>
              <w:t>Preferred shares, Series C 8%</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Interactive Learning</w:t>
            </w:r>
          </w:p>
        </w:tc>
        <w:tc>
          <w:tcPr>
            <w:tcW w:w="1140" w:type="dxa"/>
            <w:vAlign w:val="bottom"/>
          </w:tcPr>
          <w:p>
            <w:pPr>
              <w:jc w:val="center"/>
              <w:spacing w:after="0"/>
              <w:rPr>
                <w:sz w:val="20"/>
                <w:szCs w:val="20"/>
                <w:color w:val="auto"/>
              </w:rPr>
            </w:pPr>
            <w:r>
              <w:rPr>
                <w:rFonts w:ascii="Arial" w:cs="Arial" w:eastAsia="Arial" w:hAnsi="Arial"/>
                <w:sz w:val="12"/>
                <w:szCs w:val="12"/>
                <w:color w:val="auto"/>
                <w:w w:val="94"/>
              </w:rPr>
              <w:t>1/7/2014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2,779,134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2"/>
                <w:szCs w:val="12"/>
                <w:color w:val="auto"/>
              </w:rPr>
              <w:t>4,000,787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7,194,971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Preferred shares, Series B 8%</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12/16/2011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3,279,629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2,019,687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5,770,328</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Preferred shares, Series A 8%</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3"/>
              </w:rPr>
              <w:t>2/25/2014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58"/>
              <w:spacing w:after="0"/>
              <w:rPr>
                <w:sz w:val="20"/>
                <w:szCs w:val="20"/>
                <w:color w:val="auto"/>
              </w:rPr>
            </w:pPr>
            <w:r>
              <w:rPr>
                <w:rFonts w:ascii="Arial" w:cs="Arial" w:eastAsia="Arial" w:hAnsi="Arial"/>
                <w:sz w:val="12"/>
                <w:szCs w:val="12"/>
                <w:color w:val="auto"/>
              </w:rPr>
              <w:t>366,666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110,000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421,525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0.22%</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6"/>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6,130,474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13,386,824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41656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656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-758825</wp:posOffset>
            </wp:positionV>
            <wp:extent cx="40919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919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-2299335</wp:posOffset>
            </wp:positionV>
            <wp:extent cx="48882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8823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-4850765</wp:posOffset>
            </wp:positionV>
            <wp:extent cx="329565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95650" cy="762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260"/>
          </w:cols>
          <w:pgMar w:left="320" w:top="124" w:right="319" w:bottom="1440" w:gutter="0" w:footer="0" w:header="0"/>
        </w:sectPr>
      </w:pPr>
    </w:p>
    <w:bookmarkStart w:id="87" w:name="page88"/>
    <w:bookmarkEnd w:id="87"/>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SCHEDULE OF INVESTMENTS –continued</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2018</w:t>
      </w:r>
    </w:p>
    <w:p>
      <w:pPr>
        <w:spacing w:after="0" w:line="12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Portfolio Investments*</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Headquarters/</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8"/>
              </w:rPr>
              <w:t>Date of Initial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auto"/>
              </w:rPr>
              <w:t>Shares/</w:t>
            </w:r>
          </w:p>
        </w:tc>
        <w:tc>
          <w:tcPr>
            <w:tcW w:w="920" w:type="dxa"/>
            <w:vAlign w:val="bottom"/>
            <w:vMerge w:val="restart"/>
          </w:tcPr>
          <w:p>
            <w:pPr>
              <w:jc w:val="right"/>
              <w:ind w:right="418"/>
              <w:spacing w:after="0"/>
              <w:rPr>
                <w:sz w:val="20"/>
                <w:szCs w:val="20"/>
                <w:color w:val="auto"/>
              </w:rPr>
            </w:pPr>
            <w:r>
              <w:rPr>
                <w:rFonts w:ascii="Arial" w:cs="Arial" w:eastAsia="Arial" w:hAnsi="Arial"/>
                <w:sz w:val="12"/>
                <w:szCs w:val="12"/>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278"/>
              <w:spacing w:after="0"/>
              <w:rPr>
                <w:sz w:val="20"/>
                <w:szCs w:val="20"/>
                <w:color w:val="auto"/>
              </w:rPr>
            </w:pPr>
            <w:r>
              <w:rPr>
                <w:rFonts w:ascii="Arial" w:cs="Arial" w:eastAsia="Arial" w:hAnsi="Arial"/>
                <w:sz w:val="12"/>
                <w:szCs w:val="12"/>
                <w:b w:val="1"/>
                <w:bCs w:val="1"/>
                <w:color w:val="auto"/>
              </w:rPr>
              <w:t>Fair Value</w:t>
            </w:r>
          </w:p>
        </w:tc>
        <w:tc>
          <w:tcPr>
            <w:tcW w:w="100" w:type="dxa"/>
            <w:vAlign w:val="bottom"/>
            <w:vMerge w:val="restart"/>
          </w:tcPr>
          <w:p>
            <w:pPr>
              <w:spacing w:after="0"/>
              <w:rPr>
                <w:sz w:val="12"/>
                <w:szCs w:val="12"/>
                <w:color w:val="auto"/>
              </w:rPr>
            </w:pPr>
          </w:p>
        </w:tc>
        <w:tc>
          <w:tcPr>
            <w:tcW w:w="1080" w:type="dxa"/>
            <w:vAlign w:val="bottom"/>
          </w:tcPr>
          <w:p>
            <w:pPr>
              <w:jc w:val="right"/>
              <w:ind w:right="238"/>
              <w:spacing w:after="0"/>
              <w:rPr>
                <w:sz w:val="20"/>
                <w:szCs w:val="20"/>
                <w:color w:val="auto"/>
              </w:rPr>
            </w:pPr>
            <w:r>
              <w:rPr>
                <w:rFonts w:ascii="Arial" w:cs="Arial" w:eastAsia="Arial" w:hAnsi="Arial"/>
                <w:sz w:val="12"/>
                <w:szCs w:val="12"/>
                <w:b w:val="1"/>
                <w:bCs w:val="1"/>
                <w:color w:val="auto"/>
              </w:rPr>
              <w:t>% of Net</w:t>
            </w:r>
          </w:p>
        </w:tc>
        <w:tc>
          <w:tcPr>
            <w:tcW w:w="0" w:type="dxa"/>
            <w:vAlign w:val="bottom"/>
          </w:tcPr>
          <w:p>
            <w:pPr>
              <w:spacing w:after="0"/>
              <w:rPr>
                <w:sz w:val="1"/>
                <w:szCs w:val="1"/>
                <w:color w:val="auto"/>
              </w:rPr>
            </w:pPr>
          </w:p>
        </w:tc>
      </w:tr>
      <w:tr>
        <w:trPr>
          <w:trHeight w:val="165"/>
        </w:trPr>
        <w:tc>
          <w:tcPr>
            <w:tcW w:w="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Industry</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Investment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Principal</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w w:val="94"/>
              </w:rPr>
              <w:t>NestGSV, Inc. (d/b/a GSV Labs, Inc.)</w:t>
            </w:r>
          </w:p>
        </w:tc>
        <w:tc>
          <w:tcPr>
            <w:tcW w:w="1400" w:type="dxa"/>
            <w:vAlign w:val="bottom"/>
            <w:tcBorders>
              <w:bottom w:val="single" w:sz="8" w:color="CCEEFF"/>
            </w:tcBorders>
            <w:gridSpan w:val="3"/>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San Mateo, CA</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Convertible Promissory Note 12% Due 12/31/2019***</w:t>
            </w:r>
            <w:r>
              <w:rPr>
                <w:rFonts w:ascii="Arial" w:cs="Arial" w:eastAsia="Arial" w:hAnsi="Arial"/>
                <w:sz w:val="7"/>
                <w:szCs w:val="7"/>
                <w:color w:val="auto"/>
              </w:rPr>
              <w:t>(14)</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Global Innovation Platform</w:t>
            </w: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2/17/2016</w:t>
            </w: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936,525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951,436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936,525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0.48 %</w:t>
            </w: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Preferred shares, Series A-4</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10/6/2014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3,720,424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4,904,498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4,960,553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Preferred shares, Series A-3</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4"/>
              </w:rPr>
              <w:t>4/4/2014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1,561,625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2,005,730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1,735,134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0.89 %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Preferred shares, Series A-2</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7/15/2013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450,001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605,500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300,000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Preferred shares, Series A-1</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5/25/2012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1,021,778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499,999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0.26 %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7/1/2014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5"/>
          </w:tcPr>
          <w:p>
            <w:pPr>
              <w:spacing w:after="0" w:line="136" w:lineRule="exact"/>
              <w:rPr>
                <w:sz w:val="20"/>
                <w:szCs w:val="20"/>
                <w:color w:val="auto"/>
              </w:rPr>
            </w:pPr>
            <w:r>
              <w:rPr>
                <w:rFonts w:ascii="Arial" w:cs="Arial" w:eastAsia="Arial" w:hAnsi="Arial"/>
                <w:sz w:val="12"/>
                <w:szCs w:val="12"/>
                <w:color w:val="auto"/>
              </w:rPr>
              <w:t>Preferred Warrants Series A-3, Strike Price $1.33, Expiration</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Date 4/4/2021</w:t>
            </w:r>
            <w:r>
              <w:rPr>
                <w:rFonts w:ascii="Arial" w:cs="Arial" w:eastAsia="Arial" w:hAnsi="Arial"/>
                <w:sz w:val="7"/>
                <w:szCs w:val="7"/>
                <w:color w:val="auto"/>
              </w:rPr>
              <w:t>(14)</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4"/>
              </w:rPr>
              <w:t>4/4/2014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187,500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26,250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0.01 %</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Preferred Warrants Series A-4, Strike Price $1.33, Expiration</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Date 10/6/2021</w:t>
            </w:r>
            <w:r>
              <w:rPr>
                <w:rFonts w:ascii="Arial" w:cs="Arial" w:eastAsia="Arial" w:hAnsi="Arial"/>
                <w:sz w:val="7"/>
                <w:szCs w:val="7"/>
                <w:color w:val="auto"/>
              </w:rPr>
              <w:t>(14)</w:t>
            </w: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10/6/2014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145,000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0.07 %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5"/>
          </w:tcPr>
          <w:p>
            <w:pPr>
              <w:spacing w:after="0" w:line="136" w:lineRule="exact"/>
              <w:rPr>
                <w:sz w:val="20"/>
                <w:szCs w:val="20"/>
                <w:color w:val="auto"/>
              </w:rPr>
            </w:pPr>
            <w:r>
              <w:rPr>
                <w:rFonts w:ascii="Arial" w:cs="Arial" w:eastAsia="Arial" w:hAnsi="Arial"/>
                <w:sz w:val="12"/>
                <w:szCs w:val="12"/>
                <w:color w:val="auto"/>
              </w:rPr>
              <w:t>Preferred Warrants Series A-4, Strike Price $1.33, Expiration</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Date 7/18/2021</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4"/>
              </w:rPr>
              <w:t>7/8/2016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250,000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74,380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70,000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0.04 %</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7"/>
              </w:rPr>
              <w:t>Preferred Warrants Series B, Strike Price $2.31, Expiration Date</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11/29/2021</w:t>
            </w:r>
          </w:p>
        </w:tc>
        <w:tc>
          <w:tcPr>
            <w:tcW w:w="1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11/29/2016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29,275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556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gridSpan w:val="5"/>
          </w:tcPr>
          <w:p>
            <w:pPr>
              <w:spacing w:after="0" w:line="136" w:lineRule="exact"/>
              <w:rPr>
                <w:sz w:val="20"/>
                <w:szCs w:val="20"/>
                <w:color w:val="auto"/>
              </w:rPr>
            </w:pPr>
            <w:r>
              <w:rPr>
                <w:rFonts w:ascii="Arial" w:cs="Arial" w:eastAsia="Arial" w:hAnsi="Arial"/>
                <w:sz w:val="12"/>
                <w:szCs w:val="12"/>
                <w:color w:val="auto"/>
                <w:w w:val="99"/>
              </w:rPr>
              <w:t>Preferred Warrant Series B, Strike Price $2.31, Expiration Date</w:t>
            </w: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 w:type="dxa"/>
            <w:vAlign w:val="bottom"/>
            <w:gridSpan w:val="2"/>
          </w:tcPr>
          <w:p>
            <w:pPr>
              <w:ind w:left="20"/>
              <w:spacing w:after="0"/>
              <w:rPr>
                <w:sz w:val="20"/>
                <w:szCs w:val="20"/>
                <w:color w:val="auto"/>
              </w:rPr>
            </w:pPr>
            <w:r>
              <w:rPr>
                <w:rFonts w:ascii="Arial" w:cs="Arial" w:eastAsia="Arial" w:hAnsi="Arial"/>
                <w:sz w:val="12"/>
                <w:szCs w:val="12"/>
                <w:color w:val="auto"/>
              </w:rPr>
              <w:t>5/29/2022</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5/29/2017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125,000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70,379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694</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0.00 %</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9"/>
              </w:rPr>
              <w:t>Preferred Warrant Series B–Strike Price $2.31, Expiration Date</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6"/>
              </w:rPr>
              <w:t>12/31/2023</w:t>
            </w:r>
            <w:r>
              <w:rPr>
                <w:rFonts w:ascii="Arial" w:cs="Arial" w:eastAsia="Arial" w:hAnsi="Arial"/>
                <w:sz w:val="7"/>
                <w:szCs w:val="7"/>
                <w:color w:val="auto"/>
                <w:w w:val="96"/>
              </w:rPr>
              <w:t>(14)</w:t>
            </w:r>
          </w:p>
        </w:tc>
        <w:tc>
          <w:tcPr>
            <w:tcW w:w="1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12/31/2018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5,080</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0.00 %</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gridSpan w:val="5"/>
          </w:tcPr>
          <w:p>
            <w:pPr>
              <w:ind w:left="120"/>
              <w:spacing w:after="0"/>
              <w:rPr>
                <w:sz w:val="20"/>
                <w:szCs w:val="20"/>
                <w:color w:val="auto"/>
              </w:rPr>
            </w:pPr>
            <w:r>
              <w:rPr>
                <w:rFonts w:ascii="Arial" w:cs="Arial" w:eastAsia="Arial" w:hAnsi="Arial"/>
                <w:sz w:val="12"/>
                <w:szCs w:val="12"/>
                <w:color w:val="auto"/>
              </w:rPr>
              <w:t>Total</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9,669,056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8,679,711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4.44 %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2"/>
                <w:szCs w:val="12"/>
                <w:b w:val="1"/>
                <w:bCs w:val="1"/>
                <w:color w:val="auto"/>
                <w:w w:val="96"/>
              </w:rPr>
              <w:t>SPBRX, INC. (f/k/a GSV Sustainability Partners, Inc.)</w:t>
            </w:r>
          </w:p>
        </w:tc>
        <w:tc>
          <w:tcPr>
            <w:tcW w:w="480" w:type="dxa"/>
            <w:vAlign w:val="bottom"/>
            <w:tcBorders>
              <w:bottom w:val="single" w:sz="8" w:color="CCEEFF"/>
            </w:tcBorders>
            <w:gridSpan w:val="2"/>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3"/>
              </w:rPr>
              <w:t>Woodside, CA</w:t>
            </w: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gridSpan w:val="5"/>
          </w:tcPr>
          <w:p>
            <w:pPr>
              <w:spacing w:after="0"/>
              <w:rPr>
                <w:sz w:val="20"/>
                <w:szCs w:val="20"/>
                <w:color w:val="auto"/>
              </w:rPr>
            </w:pPr>
            <w:r>
              <w:rPr>
                <w:rFonts w:ascii="Arial" w:cs="Arial" w:eastAsia="Arial" w:hAnsi="Arial"/>
                <w:sz w:val="12"/>
                <w:szCs w:val="12"/>
                <w:color w:val="auto"/>
              </w:rPr>
              <w:t>Preferred shares, Class A***</w:t>
            </w:r>
            <w:r>
              <w:rPr>
                <w:rFonts w:ascii="Arial" w:cs="Arial" w:eastAsia="Arial" w:hAnsi="Arial"/>
                <w:sz w:val="7"/>
                <w:szCs w:val="7"/>
                <w:color w:val="auto"/>
              </w:rPr>
              <w:t>(16)</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5"/>
              </w:rPr>
              <w:t>Clean Technology</w:t>
            </w:r>
          </w:p>
        </w:tc>
        <w:tc>
          <w:tcPr>
            <w:tcW w:w="1240" w:type="dxa"/>
            <w:vAlign w:val="bottom"/>
          </w:tcPr>
          <w:p>
            <w:pPr>
              <w:jc w:val="center"/>
              <w:spacing w:after="0"/>
              <w:rPr>
                <w:sz w:val="20"/>
                <w:szCs w:val="20"/>
                <w:color w:val="auto"/>
              </w:rPr>
            </w:pPr>
            <w:r>
              <w:rPr>
                <w:rFonts w:ascii="Arial" w:cs="Arial" w:eastAsia="Arial" w:hAnsi="Arial"/>
                <w:sz w:val="12"/>
                <w:szCs w:val="12"/>
                <w:color w:val="auto"/>
                <w:w w:val="93"/>
              </w:rPr>
              <w:t>4/15/2014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14,300,000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2"/>
                <w:szCs w:val="12"/>
                <w:color w:val="auto"/>
              </w:rPr>
              <w:t>7,151,412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8"/>
              <w:spacing w:after="0"/>
              <w:rPr>
                <w:sz w:val="20"/>
                <w:szCs w:val="20"/>
                <w:color w:val="auto"/>
              </w:rPr>
            </w:pPr>
            <w:r>
              <w:rPr>
                <w:rFonts w:ascii="Arial" w:cs="Arial" w:eastAsia="Arial" w:hAnsi="Arial"/>
                <w:sz w:val="12"/>
                <w:szCs w:val="12"/>
                <w:color w:val="auto"/>
              </w:rPr>
              <w:t>750,198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0.38 %</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Common shares</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4/15/2014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gridSpan w:val="5"/>
          </w:tcPr>
          <w:p>
            <w:pPr>
              <w:ind w:left="120"/>
              <w:spacing w:after="0"/>
              <w:rPr>
                <w:sz w:val="20"/>
                <w:szCs w:val="20"/>
                <w:color w:val="auto"/>
              </w:rPr>
            </w:pPr>
            <w:r>
              <w:rPr>
                <w:rFonts w:ascii="Arial" w:cs="Arial" w:eastAsia="Arial" w:hAnsi="Arial"/>
                <w:sz w:val="12"/>
                <w:szCs w:val="12"/>
                <w:color w:val="auto"/>
              </w:rPr>
              <w:t>Total</w:t>
            </w: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7,161,412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750,198</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0.38 %</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60" w:type="dxa"/>
            <w:vAlign w:val="bottom"/>
            <w:gridSpan w:val="5"/>
          </w:tcPr>
          <w:p>
            <w:pPr>
              <w:ind w:left="120"/>
              <w:spacing w:after="0"/>
              <w:rPr>
                <w:sz w:val="20"/>
                <w:szCs w:val="20"/>
                <w:color w:val="auto"/>
              </w:rPr>
            </w:pPr>
            <w:r>
              <w:rPr>
                <w:rFonts w:ascii="Arial" w:cs="Arial" w:eastAsia="Arial" w:hAnsi="Arial"/>
                <w:sz w:val="12"/>
                <w:szCs w:val="12"/>
                <w:b w:val="1"/>
                <w:bCs w:val="1"/>
                <w:color w:val="auto"/>
              </w:rPr>
              <w:t>Total Controlled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auto"/>
              </w:rPr>
              <w:t>22,960,942</w:t>
            </w:r>
          </w:p>
        </w:tc>
        <w:tc>
          <w:tcPr>
            <w:tcW w:w="120" w:type="dxa"/>
            <w:vAlign w:val="bottom"/>
          </w:tcPr>
          <w:p>
            <w:pPr>
              <w:spacing w:after="0"/>
              <w:rPr>
                <w:sz w:val="19"/>
                <w:szCs w:val="19"/>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Pr>
          <w:p>
            <w:pPr>
              <w:jc w:val="right"/>
              <w:ind w:right="58"/>
              <w:spacing w:after="0"/>
              <w:rPr>
                <w:sz w:val="20"/>
                <w:szCs w:val="20"/>
                <w:color w:val="auto"/>
              </w:rPr>
            </w:pPr>
            <w:r>
              <w:rPr>
                <w:rFonts w:ascii="Arial" w:cs="Arial" w:eastAsia="Arial" w:hAnsi="Arial"/>
                <w:sz w:val="12"/>
                <w:szCs w:val="12"/>
                <w:b w:val="1"/>
                <w:bCs w:val="1"/>
                <w:color w:val="auto"/>
              </w:rPr>
              <w:t>22,816,733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11.68 %</w:t>
            </w:r>
          </w:p>
        </w:tc>
        <w:tc>
          <w:tcPr>
            <w:tcW w:w="0" w:type="dxa"/>
            <w:vAlign w:val="bottom"/>
          </w:tcPr>
          <w:p>
            <w:pPr>
              <w:spacing w:after="0"/>
              <w:rPr>
                <w:sz w:val="1"/>
                <w:szCs w:val="1"/>
                <w:color w:val="auto"/>
              </w:rPr>
            </w:pPr>
          </w:p>
        </w:tc>
      </w:tr>
      <w:tr>
        <w:trPr>
          <w:trHeight w:val="295"/>
        </w:trPr>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gridSpan w:val="5"/>
          </w:tcPr>
          <w:p>
            <w:pPr>
              <w:ind w:left="120"/>
              <w:spacing w:after="0"/>
              <w:rPr>
                <w:sz w:val="20"/>
                <w:szCs w:val="20"/>
                <w:color w:val="auto"/>
              </w:rPr>
            </w:pPr>
            <w:r>
              <w:rPr>
                <w:rFonts w:ascii="Arial" w:cs="Arial" w:eastAsia="Arial" w:hAnsi="Arial"/>
                <w:sz w:val="12"/>
                <w:szCs w:val="12"/>
                <w:b w:val="1"/>
                <w:bCs w:val="1"/>
                <w:color w:val="auto"/>
              </w:rPr>
              <w:t>Total Portfolio Investments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ind w:right="38"/>
              <w:spacing w:after="0"/>
              <w:rPr>
                <w:sz w:val="20"/>
                <w:szCs w:val="20"/>
                <w:color w:val="auto"/>
              </w:rPr>
            </w:pPr>
            <w:r>
              <w:rPr>
                <w:rFonts w:ascii="Arial" w:cs="Arial" w:eastAsia="Arial" w:hAnsi="Arial"/>
                <w:sz w:val="12"/>
                <w:szCs w:val="12"/>
                <w:b w:val="1"/>
                <w:bCs w:val="1"/>
                <w:color w:val="auto"/>
              </w:rPr>
              <w:t>171,164,403</w:t>
            </w:r>
          </w:p>
        </w:tc>
        <w:tc>
          <w:tcPr>
            <w:tcW w:w="120" w:type="dxa"/>
            <w:vAlign w:val="bottom"/>
          </w:tcPr>
          <w:p>
            <w:pPr>
              <w:spacing w:after="0"/>
              <w:rPr>
                <w:sz w:val="18"/>
                <w:szCs w:val="18"/>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Pr>
          <w:p>
            <w:pPr>
              <w:jc w:val="right"/>
              <w:ind w:right="58"/>
              <w:spacing w:after="0"/>
              <w:rPr>
                <w:sz w:val="20"/>
                <w:szCs w:val="20"/>
                <w:color w:val="auto"/>
              </w:rPr>
            </w:pPr>
            <w:r>
              <w:rPr>
                <w:rFonts w:ascii="Arial" w:cs="Arial" w:eastAsia="Arial" w:hAnsi="Arial"/>
                <w:sz w:val="12"/>
                <w:szCs w:val="12"/>
                <w:b w:val="1"/>
                <w:bCs w:val="1"/>
                <w:color w:val="auto"/>
              </w:rPr>
              <w:t>198,815,829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101.76 %</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gridSpan w:val="5"/>
          </w:tcPr>
          <w:p>
            <w:pPr>
              <w:spacing w:after="0"/>
              <w:rPr>
                <w:sz w:val="20"/>
                <w:szCs w:val="20"/>
                <w:color w:val="auto"/>
              </w:rPr>
            </w:pPr>
            <w:r>
              <w:rPr>
                <w:rFonts w:ascii="Arial" w:cs="Arial" w:eastAsia="Arial" w:hAnsi="Arial"/>
                <w:sz w:val="12"/>
                <w:szCs w:val="12"/>
                <w:b w:val="1"/>
                <w:bCs w:val="1"/>
                <w:color w:val="auto"/>
              </w:rPr>
              <w:t>U.S. Treasury</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U.S. Treasury bills, 0%, due 1/3/2019***</w:t>
            </w:r>
            <w:r>
              <w:rPr>
                <w:rFonts w:ascii="Arial" w:cs="Arial" w:eastAsia="Arial" w:hAnsi="Arial"/>
                <w:sz w:val="7"/>
                <w:szCs w:val="7"/>
                <w:color w:val="auto"/>
              </w:rPr>
              <w:t>(3)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12/27/2018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100,000,000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99,982,067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99,994,000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51.18 %</w:t>
            </w:r>
          </w:p>
        </w:tc>
        <w:tc>
          <w:tcPr>
            <w:tcW w:w="0" w:type="dxa"/>
            <w:vAlign w:val="bottom"/>
          </w:tcPr>
          <w:p>
            <w:pPr>
              <w:spacing w:after="0"/>
              <w:rPr>
                <w:sz w:val="1"/>
                <w:szCs w:val="1"/>
                <w:color w:val="auto"/>
              </w:rPr>
            </w:pPr>
          </w:p>
        </w:tc>
      </w:tr>
      <w:tr>
        <w:trPr>
          <w:trHeight w:val="279"/>
        </w:trPr>
        <w:tc>
          <w:tcPr>
            <w:tcW w:w="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360" w:type="dxa"/>
            <w:vAlign w:val="bottom"/>
            <w:gridSpan w:val="5"/>
            <w:shd w:val="clear" w:color="auto" w:fill="CCEEFF"/>
          </w:tcPr>
          <w:p>
            <w:pPr>
              <w:spacing w:after="0"/>
              <w:rPr>
                <w:sz w:val="20"/>
                <w:szCs w:val="20"/>
                <w:color w:val="auto"/>
              </w:rPr>
            </w:pPr>
            <w:r>
              <w:rPr>
                <w:rFonts w:ascii="Arial" w:cs="Arial" w:eastAsia="Arial" w:hAnsi="Arial"/>
                <w:sz w:val="12"/>
                <w:szCs w:val="12"/>
                <w:b w:val="1"/>
                <w:bCs w:val="1"/>
                <w:color w:val="auto"/>
              </w:rPr>
              <w:t>TOTAL INVESTMENTS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271,146,470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w w:val="89"/>
              </w:rPr>
              <w:t>$</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298,809,829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152.94 %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-1156970</wp:posOffset>
            </wp:positionV>
            <wp:extent cx="20789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78990" cy="7620"/>
                    </a:xfrm>
                    <a:prstGeom prst="rect">
                      <a:avLst/>
                    </a:prstGeom>
                    <a:noFill/>
                  </pic:spPr>
                </pic:pic>
              </a:graphicData>
            </a:graphic>
          </wp:anchor>
        </w:drawing>
      </w:r>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color w:val="auto"/>
        </w:rPr>
        <w:t>_________________</w:t>
      </w:r>
    </w:p>
    <w:p>
      <w:pPr>
        <w:spacing w:after="0" w:line="27" w:lineRule="exact"/>
        <w:rPr>
          <w:sz w:val="20"/>
          <w:szCs w:val="20"/>
          <w:color w:val="auto"/>
        </w:rPr>
      </w:pPr>
    </w:p>
    <w:p>
      <w:pPr>
        <w:jc w:val="both"/>
        <w:ind w:left="427" w:hanging="427"/>
        <w:spacing w:after="0" w:line="333" w:lineRule="auto"/>
        <w:tabs>
          <w:tab w:leader="none" w:pos="427" w:val="left"/>
        </w:tabs>
        <w:numPr>
          <w:ilvl w:val="0"/>
          <w:numId w:val="50"/>
        </w:numPr>
        <w:rPr>
          <w:rFonts w:ascii="Arial" w:cs="Arial" w:eastAsia="Arial" w:hAnsi="Arial"/>
          <w:sz w:val="13"/>
          <w:szCs w:val="13"/>
          <w:color w:val="auto"/>
        </w:rPr>
      </w:pPr>
      <w:r>
        <w:rPr>
          <w:rFonts w:ascii="Arial" w:cs="Arial" w:eastAsia="Arial" w:hAnsi="Arial"/>
          <w:sz w:val="12"/>
          <w:szCs w:val="12"/>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2"/>
          <w:szCs w:val="12"/>
          <w:i w:val="1"/>
          <w:iCs w:val="1"/>
          <w:color w:val="auto"/>
        </w:rPr>
        <w:t>Investments</w:t>
      </w:r>
    </w:p>
    <w:p>
      <w:pPr>
        <w:spacing w:after="0" w:line="130" w:lineRule="exact"/>
        <w:rPr>
          <w:sz w:val="20"/>
          <w:szCs w:val="20"/>
          <w:color w:val="auto"/>
        </w:rPr>
      </w:pPr>
    </w:p>
    <w:p>
      <w:pPr>
        <w:ind w:left="427" w:right="20" w:hanging="427"/>
        <w:spacing w:after="0" w:line="251" w:lineRule="auto"/>
        <w:tabs>
          <w:tab w:leader="none" w:pos="4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Indicates assets that GSV Capital Corp. believes do not represent “qualifying assets” under Section 55(a) of the Investment Company Act of 1940, as amended (the “1940 Act”). Of GSV Capital Corp.’s total investments as of December 31, 2018, 14.92% of its total investments are non-qualifying assets.</w:t>
      </w:r>
    </w:p>
    <w:p>
      <w:pPr>
        <w:ind w:left="427" w:hanging="427"/>
        <w:spacing w:after="0"/>
        <w:tabs>
          <w:tab w:leader="none" w:pos="4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Investment is income-producing.</w:t>
      </w: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267"/>
          </w:cols>
          <w:pgMar w:left="313" w:top="124" w:right="319" w:bottom="1440" w:gutter="0" w:footer="0" w:header="0"/>
        </w:sectPr>
      </w:pPr>
    </w:p>
    <w:bookmarkStart w:id="88" w:name="page89"/>
    <w:bookmarkEnd w:id="88"/>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SCHEDULE OF INVESTMENTS –continued</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2018</w:t>
      </w:r>
    </w:p>
    <w:p>
      <w:pPr>
        <w:spacing w:after="0" w:line="191" w:lineRule="exact"/>
        <w:rPr>
          <w:sz w:val="20"/>
          <w:szCs w:val="20"/>
          <w:color w:val="auto"/>
        </w:rPr>
      </w:pPr>
    </w:p>
    <w:p>
      <w:pPr>
        <w:jc w:val="both"/>
        <w:ind w:left="427" w:hanging="427"/>
        <w:spacing w:after="0" w:line="255"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4"/>
          <w:szCs w:val="14"/>
          <w:i w:val="1"/>
          <w:iCs w:val="1"/>
          <w:color w:val="auto"/>
        </w:rPr>
        <w:t>i.e.</w:t>
      </w:r>
      <w:r>
        <w:rPr>
          <w:rFonts w:ascii="Arial" w:cs="Arial" w:eastAsia="Arial" w:hAnsi="Arial"/>
          <w:sz w:val="14"/>
          <w:szCs w:val="14"/>
          <w:color w:val="auto"/>
        </w:rPr>
        <w:t>, securities with the right to elect directors) of such company. For the Schedule of Investments In, and Advances To, Affiliates, as required by SEC Regulation S-X, Rule 12-14, refer to “Note 4—Investments at Fair Value”.</w:t>
      </w:r>
    </w:p>
    <w:p>
      <w:pPr>
        <w:spacing w:after="0" w:line="137" w:lineRule="exact"/>
        <w:rPr>
          <w:rFonts w:ascii="Arial" w:cs="Arial" w:eastAsia="Arial" w:hAnsi="Arial"/>
          <w:sz w:val="14"/>
          <w:szCs w:val="14"/>
          <w:color w:val="auto"/>
        </w:rPr>
      </w:pPr>
    </w:p>
    <w:p>
      <w:pPr>
        <w:jc w:val="both"/>
        <w:ind w:left="427" w:hanging="427"/>
        <w:spacing w:after="0" w:line="250"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4"/>
          <w:szCs w:val="14"/>
          <w:i w:val="1"/>
          <w:iCs w:val="1"/>
          <w:color w:val="auto"/>
        </w:rPr>
        <w:t>i.e.</w:t>
      </w:r>
      <w:r>
        <w:rPr>
          <w:rFonts w:ascii="Arial" w:cs="Arial" w:eastAsia="Arial" w:hAnsi="Arial"/>
          <w:sz w:val="14"/>
          <w:szCs w:val="14"/>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1" w:lineRule="exact"/>
        <w:rPr>
          <w:rFonts w:ascii="Arial" w:cs="Arial" w:eastAsia="Arial" w:hAnsi="Arial"/>
          <w:sz w:val="14"/>
          <w:szCs w:val="14"/>
          <w:color w:val="auto"/>
        </w:rPr>
      </w:pPr>
    </w:p>
    <w:p>
      <w:pPr>
        <w:ind w:left="427" w:hanging="427"/>
        <w:spacing w:after="0"/>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Denotes an investment considered Level 1 or Level 2 and valued using observable inputs.</w:t>
      </w:r>
    </w:p>
    <w:p>
      <w:pPr>
        <w:spacing w:after="0" w:line="164" w:lineRule="exact"/>
        <w:rPr>
          <w:rFonts w:ascii="Arial" w:cs="Arial" w:eastAsia="Arial" w:hAnsi="Arial"/>
          <w:sz w:val="14"/>
          <w:szCs w:val="14"/>
          <w:color w:val="auto"/>
        </w:rPr>
      </w:pPr>
    </w:p>
    <w:p>
      <w:pPr>
        <w:ind w:left="427" w:hanging="427"/>
        <w:spacing w:after="0"/>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of December 31, 2018, the investments noted had been placed on non-accrual status.</w:t>
      </w:r>
    </w:p>
    <w:p>
      <w:pPr>
        <w:spacing w:after="0" w:line="164" w:lineRule="exact"/>
        <w:rPr>
          <w:rFonts w:ascii="Arial" w:cs="Arial" w:eastAsia="Arial" w:hAnsi="Arial"/>
          <w:sz w:val="14"/>
          <w:szCs w:val="14"/>
          <w:color w:val="auto"/>
        </w:rPr>
      </w:pPr>
    </w:p>
    <w:p>
      <w:pPr>
        <w:ind w:left="427" w:hanging="427"/>
        <w:spacing w:after="0"/>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GSV Capital Corp.’s investments in StormWind, LLC are held through GSV Capital Corp.'s wholly owned subsidiary, GSVC SW Holdings, Inc.</w:t>
      </w:r>
    </w:p>
    <w:p>
      <w:pPr>
        <w:spacing w:after="0" w:line="164" w:lineRule="exact"/>
        <w:rPr>
          <w:rFonts w:ascii="Arial" w:cs="Arial" w:eastAsia="Arial" w:hAnsi="Arial"/>
          <w:sz w:val="14"/>
          <w:szCs w:val="14"/>
          <w:color w:val="auto"/>
        </w:rPr>
      </w:pPr>
    </w:p>
    <w:p>
      <w:pPr>
        <w:jc w:val="both"/>
        <w:ind w:left="427" w:right="20" w:hanging="427"/>
        <w:spacing w:after="0" w:line="250"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1" w:lineRule="exact"/>
        <w:rPr>
          <w:rFonts w:ascii="Arial" w:cs="Arial" w:eastAsia="Arial" w:hAnsi="Arial"/>
          <w:sz w:val="14"/>
          <w:szCs w:val="14"/>
          <w:color w:val="auto"/>
        </w:rPr>
      </w:pPr>
    </w:p>
    <w:p>
      <w:pPr>
        <w:jc w:val="both"/>
        <w:ind w:left="427" w:hanging="427"/>
        <w:spacing w:after="0" w:line="276" w:lineRule="auto"/>
        <w:tabs>
          <w:tab w:leader="none" w:pos="427"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December 31, 2018, GSV Capital Corp. valued its common shares of Spotify Technology S.A. based on its December 31, 2018 closing price.</w:t>
      </w:r>
    </w:p>
    <w:p>
      <w:pPr>
        <w:spacing w:after="0" w:line="125" w:lineRule="exact"/>
        <w:rPr>
          <w:rFonts w:ascii="Arial" w:cs="Arial" w:eastAsia="Arial" w:hAnsi="Arial"/>
          <w:sz w:val="13"/>
          <w:szCs w:val="13"/>
          <w:color w:val="auto"/>
        </w:rPr>
      </w:pPr>
    </w:p>
    <w:p>
      <w:pPr>
        <w:jc w:val="both"/>
        <w:ind w:left="427" w:hanging="427"/>
        <w:spacing w:after="0" w:line="276" w:lineRule="auto"/>
        <w:tabs>
          <w:tab w:leader="none" w:pos="427"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December 31, 2018, GSV Capital Corp. valued its common shares of Dropbox, Inc. based on its December 31, 2018 closing price.</w:t>
      </w:r>
    </w:p>
    <w:p>
      <w:pPr>
        <w:spacing w:after="0" w:line="125" w:lineRule="exact"/>
        <w:rPr>
          <w:rFonts w:ascii="Arial" w:cs="Arial" w:eastAsia="Arial" w:hAnsi="Arial"/>
          <w:sz w:val="13"/>
          <w:szCs w:val="13"/>
          <w:color w:val="auto"/>
        </w:rPr>
      </w:pPr>
    </w:p>
    <w:p>
      <w:pPr>
        <w:jc w:val="both"/>
        <w:ind w:left="427" w:right="20" w:hanging="427"/>
        <w:spacing w:after="0" w:line="283" w:lineRule="auto"/>
        <w:tabs>
          <w:tab w:leader="none" w:pos="427" w:val="left"/>
        </w:tabs>
        <w:numPr>
          <w:ilvl w:val="0"/>
          <w:numId w:val="53"/>
        </w:numPr>
        <w:rPr>
          <w:rFonts w:ascii="Arial" w:cs="Arial" w:eastAsia="Arial" w:hAnsi="Arial"/>
          <w:sz w:val="13"/>
          <w:szCs w:val="13"/>
          <w:color w:val="auto"/>
        </w:rPr>
      </w:pPr>
      <w:r>
        <w:rPr>
          <w:rFonts w:ascii="Arial" w:cs="Arial" w:eastAsia="Arial" w:hAnsi="Arial"/>
          <w:sz w:val="13"/>
          <w:szCs w:val="13"/>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21" w:lineRule="exact"/>
        <w:rPr>
          <w:rFonts w:ascii="Arial" w:cs="Arial" w:eastAsia="Arial" w:hAnsi="Arial"/>
          <w:sz w:val="13"/>
          <w:szCs w:val="13"/>
          <w:color w:val="auto"/>
        </w:rPr>
      </w:pPr>
    </w:p>
    <w:p>
      <w:pPr>
        <w:jc w:val="both"/>
        <w:ind w:left="427" w:hanging="427"/>
        <w:spacing w:after="0" w:line="255"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34" w:lineRule="exact"/>
        <w:rPr>
          <w:rFonts w:ascii="Arial" w:cs="Arial" w:eastAsia="Arial" w:hAnsi="Arial"/>
          <w:sz w:val="14"/>
          <w:szCs w:val="14"/>
          <w:color w:val="auto"/>
        </w:rPr>
      </w:pPr>
    </w:p>
    <w:p>
      <w:pPr>
        <w:jc w:val="both"/>
        <w:ind w:left="427" w:hanging="427"/>
        <w:spacing w:after="0" w:line="291"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5"/>
          <w:szCs w:val="15"/>
          <w:color w:val="auto"/>
        </w:rPr>
        <w:t>Effe</w:t>
      </w:r>
      <w:r>
        <w:rPr>
          <w:rFonts w:ascii="Arial" w:cs="Arial" w:eastAsia="Arial" w:hAnsi="Arial"/>
          <w:sz w:val="13"/>
          <w:szCs w:val="13"/>
          <w:color w:val="auto"/>
        </w:rPr>
        <w:t>ctive April 9, 2018, the term of Ozy Media Inc.'s notes were extended through the issuance of a new convertible promissory note, which extended the maturity date of the existing notes to</w:t>
      </w:r>
      <w:r>
        <w:rPr>
          <w:rFonts w:ascii="Arial" w:cs="Arial" w:eastAsia="Arial" w:hAnsi="Arial"/>
          <w:sz w:val="15"/>
          <w:szCs w:val="15"/>
          <w:color w:val="auto"/>
        </w:rPr>
        <w:t xml:space="preserve"> </w:t>
      </w:r>
      <w:r>
        <w:rPr>
          <w:rFonts w:ascii="Arial" w:cs="Arial" w:eastAsia="Arial" w:hAnsi="Arial"/>
          <w:sz w:val="13"/>
          <w:szCs w:val="13"/>
          <w:color w:val="auto"/>
        </w:rPr>
        <w:t>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spacing w:after="0" w:line="126" w:lineRule="exact"/>
        <w:rPr>
          <w:rFonts w:ascii="Arial" w:cs="Arial" w:eastAsia="Arial" w:hAnsi="Arial"/>
          <w:sz w:val="14"/>
          <w:szCs w:val="14"/>
          <w:color w:val="auto"/>
        </w:rPr>
      </w:pPr>
    </w:p>
    <w:p>
      <w:pPr>
        <w:ind w:left="427" w:hanging="427"/>
        <w:spacing w:after="0"/>
        <w:tabs>
          <w:tab w:leader="none" w:pos="427" w:val="left"/>
        </w:tabs>
        <w:numPr>
          <w:ilvl w:val="0"/>
          <w:numId w:val="53"/>
        </w:numPr>
        <w:rPr>
          <w:rFonts w:ascii="Arial" w:cs="Arial" w:eastAsia="Arial" w:hAnsi="Arial"/>
          <w:sz w:val="12"/>
          <w:szCs w:val="12"/>
          <w:color w:val="auto"/>
        </w:rPr>
      </w:pPr>
      <w:r>
        <w:rPr>
          <w:rFonts w:ascii="Arial" w:cs="Arial" w:eastAsia="Arial" w:hAnsi="Arial"/>
          <w:sz w:val="12"/>
          <w:szCs w:val="12"/>
          <w:color w:val="auto"/>
        </w:rPr>
        <w:t>On July 23, 2018, Knewton, Inc. issued an 8% unsecured convertible promissory amount with a principal amount of $134,405 and a maturity date of December 31, 2019 to GSV Capital Corp.</w:t>
      </w:r>
    </w:p>
    <w:p>
      <w:pPr>
        <w:spacing w:after="0" w:line="187" w:lineRule="exact"/>
        <w:rPr>
          <w:rFonts w:ascii="Arial" w:cs="Arial" w:eastAsia="Arial" w:hAnsi="Arial"/>
          <w:sz w:val="12"/>
          <w:szCs w:val="12"/>
          <w:color w:val="auto"/>
        </w:rPr>
      </w:pPr>
    </w:p>
    <w:p>
      <w:pPr>
        <w:ind w:left="427" w:hanging="427"/>
        <w:spacing w:after="0"/>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June 15, 2018 GSV Capital Corp. exercised its 770,934 warrants to purchase shares of SharesPost, Inc.'s common stock, with a $0.13 strike price.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267"/>
          </w:cols>
          <w:pgMar w:left="313" w:top="124" w:right="319" w:bottom="1440" w:gutter="0" w:footer="0" w:header="0"/>
        </w:sectPr>
      </w:pPr>
    </w:p>
    <w:bookmarkStart w:id="89" w:name="page90"/>
    <w:bookmarkEnd w:id="89"/>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CONSOLIDATED SCHEDULE OF INVESTMENTS –continued</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2018</w:t>
      </w:r>
    </w:p>
    <w:p>
      <w:pPr>
        <w:spacing w:after="0" w:line="168" w:lineRule="exact"/>
        <w:rPr>
          <w:sz w:val="20"/>
          <w:szCs w:val="20"/>
          <w:color w:val="auto"/>
        </w:rPr>
      </w:pPr>
    </w:p>
    <w:p>
      <w:pPr>
        <w:jc w:val="both"/>
        <w:ind w:left="427" w:hanging="427"/>
        <w:spacing w:after="0" w:line="300" w:lineRule="auto"/>
        <w:tabs>
          <w:tab w:leader="none" w:pos="427" w:val="left"/>
        </w:tabs>
        <w:numPr>
          <w:ilvl w:val="0"/>
          <w:numId w:val="54"/>
        </w:numPr>
        <w:rPr>
          <w:rFonts w:ascii="Arial" w:cs="Arial" w:eastAsia="Arial" w:hAnsi="Arial"/>
          <w:sz w:val="12"/>
          <w:szCs w:val="12"/>
          <w:color w:val="auto"/>
        </w:rPr>
      </w:pPr>
      <w:r>
        <w:rPr>
          <w:rFonts w:ascii="Arial" w:cs="Arial" w:eastAsia="Arial" w:hAnsi="Arial"/>
          <w:sz w:val="12"/>
          <w:szCs w:val="12"/>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12" w:lineRule="exact"/>
        <w:rPr>
          <w:rFonts w:ascii="Arial" w:cs="Arial" w:eastAsia="Arial" w:hAnsi="Arial"/>
          <w:sz w:val="12"/>
          <w:szCs w:val="12"/>
          <w:color w:val="auto"/>
        </w:rPr>
      </w:pPr>
    </w:p>
    <w:p>
      <w:pPr>
        <w:ind w:left="427" w:right="20" w:hanging="427"/>
        <w:spacing w:after="0" w:line="267" w:lineRule="auto"/>
        <w:tabs>
          <w:tab w:leader="none" w:pos="4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9"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0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267"/>
          </w:cols>
          <w:pgMar w:left="313" w:top="124" w:right="31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1—NATURE OF OPERATIONS</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Sutter Rock Capital Corp. ("we", "us", "our", “Company” or “Sutter Rock Capital”), formerly known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56"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4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3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The table below displays the Company’s subsidiaries as of December 31, 2019,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5"/>
          <w:szCs w:val="15"/>
          <w:i w:val="1"/>
          <w:iCs w:val="1"/>
          <w:color w:val="auto"/>
        </w:rPr>
        <w:t>Basis of</w:t>
      </w:r>
      <w:r>
        <w:rPr>
          <w:rFonts w:ascii="Arial" w:cs="Arial" w:eastAsia="Arial" w:hAnsi="Arial"/>
          <w:sz w:val="15"/>
          <w:szCs w:val="15"/>
          <w:color w:val="auto"/>
        </w:rPr>
        <w:t xml:space="preserve"> </w:t>
      </w:r>
      <w:r>
        <w:rPr>
          <w:rFonts w:ascii="Arial" w:cs="Arial" w:eastAsia="Arial" w:hAnsi="Arial"/>
          <w:sz w:val="15"/>
          <w:szCs w:val="15"/>
          <w:i w:val="1"/>
          <w:iCs w:val="1"/>
          <w:color w:val="auto"/>
        </w:rPr>
        <w:t>Consolidation</w:t>
      </w:r>
      <w:r>
        <w:rPr>
          <w:rFonts w:ascii="Arial" w:cs="Arial" w:eastAsia="Arial" w:hAnsi="Arial"/>
          <w:sz w:val="15"/>
          <w:szCs w:val="15"/>
          <w:color w:val="auto"/>
        </w:rPr>
        <w:t>” below for further detail.</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Subsidiary</w:t>
            </w:r>
          </w:p>
        </w:tc>
        <w:tc>
          <w:tcPr>
            <w:tcW w:w="100" w:type="dxa"/>
            <w:vAlign w:val="bottom"/>
            <w:vMerge w:val="restart"/>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Jurisdiction of</w:t>
            </w:r>
          </w:p>
        </w:tc>
        <w:tc>
          <w:tcPr>
            <w:tcW w:w="2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Formation</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2"/>
              </w:rPr>
              <w:t>Percentage</w:t>
            </w:r>
          </w:p>
        </w:tc>
        <w:tc>
          <w:tcPr>
            <w:tcW w:w="0" w:type="dxa"/>
            <w:vAlign w:val="bottom"/>
          </w:tcPr>
          <w:p>
            <w:pPr>
              <w:spacing w:after="0"/>
              <w:rPr>
                <w:sz w:val="1"/>
                <w:szCs w:val="1"/>
                <w:color w:val="auto"/>
              </w:rPr>
            </w:pPr>
          </w:p>
        </w:tc>
      </w:tr>
      <w:tr>
        <w:trPr>
          <w:trHeight w:val="165"/>
        </w:trPr>
        <w:tc>
          <w:tcPr>
            <w:tcW w:w="6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Incorporation</w:t>
            </w:r>
          </w:p>
        </w:tc>
        <w:tc>
          <w:tcPr>
            <w:tcW w:w="12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GCL</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9"/>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 below are referred to collectively, as the “</w:t>
            </w:r>
            <w:r>
              <w:rPr>
                <w:rFonts w:ascii="Arial" w:cs="Arial" w:eastAsia="Arial" w:hAnsi="Arial"/>
                <w:sz w:val="15"/>
                <w:szCs w:val="15"/>
                <w:b w:val="1"/>
                <w:bCs w:val="1"/>
                <w:color w:val="auto"/>
              </w:rPr>
              <w:t>Taxable Subsidiaries</w:t>
            </w:r>
            <w:r>
              <w:rPr>
                <w:rFonts w:ascii="Arial" w:cs="Arial" w:eastAsia="Arial" w:hAnsi="Arial"/>
                <w:sz w:val="14"/>
                <w:szCs w:val="14"/>
                <w:b w:val="1"/>
                <w:bCs w:val="1"/>
                <w:color w:val="auto"/>
              </w:rPr>
              <w: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GSVC AE Holdings, Inc. (“GAE”)</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9"/>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GSVC AV Holdings, Inc. (“GAV”)</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November 28, 2012</w:t>
            </w:r>
          </w:p>
        </w:tc>
        <w:tc>
          <w:tcPr>
            <w:tcW w:w="124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GSVC NG Holdings, Inc. (“GNG”)</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9"/>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GSVC SW Holdings, Inc. (“GSW”)</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2"/>
              </w:rPr>
              <w:t>November 28, 2012</w:t>
            </w:r>
          </w:p>
        </w:tc>
        <w:tc>
          <w:tcPr>
            <w:tcW w:w="124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GSVC WS Holdings, Inc. (“GWS”)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9"/>
        </w:trPr>
        <w:tc>
          <w:tcPr>
            <w:tcW w:w="6300" w:type="dxa"/>
            <w:vAlign w:val="bottom"/>
            <w:gridSpan w:val="2"/>
          </w:tcPr>
          <w:p>
            <w:pPr>
              <w:ind w:left="20"/>
              <w:spacing w:after="0"/>
              <w:rPr>
                <w:sz w:val="20"/>
                <w:szCs w:val="20"/>
                <w:color w:val="auto"/>
              </w:rPr>
            </w:pPr>
            <w:r>
              <w:rPr>
                <w:rFonts w:ascii="Arial" w:cs="Arial" w:eastAsia="Arial" w:hAnsi="Arial"/>
                <w:sz w:val="15"/>
                <w:szCs w:val="15"/>
                <w:color w:val="auto"/>
              </w:rPr>
              <w:t>GSVC SVDS Holdings, Inc. (“SVDS”)</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color w:val="auto"/>
                <w:w w:val="94"/>
              </w:rPr>
              <w:t>Delaware</w:t>
            </w:r>
          </w:p>
        </w:tc>
        <w:tc>
          <w:tcPr>
            <w:tcW w:w="2120" w:type="dxa"/>
            <w:vAlign w:val="bottom"/>
            <w:gridSpan w:val="2"/>
          </w:tcPr>
          <w:p>
            <w:pPr>
              <w:jc w:val="center"/>
              <w:ind w:right="100"/>
              <w:spacing w:after="0"/>
              <w:rPr>
                <w:sz w:val="20"/>
                <w:szCs w:val="20"/>
                <w:color w:val="auto"/>
              </w:rPr>
            </w:pPr>
            <w:r>
              <w:rPr>
                <w:rFonts w:ascii="Arial" w:cs="Arial" w:eastAsia="Arial" w:hAnsi="Arial"/>
                <w:sz w:val="15"/>
                <w:szCs w:val="15"/>
                <w:color w:val="auto"/>
                <w:w w:val="93"/>
              </w:rPr>
              <w:t>August 13, 2013</w:t>
            </w:r>
          </w:p>
        </w:tc>
        <w:tc>
          <w:tcPr>
            <w:tcW w:w="124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260"/>
          </w:cols>
          <w:pgMar w:left="320" w:top="124" w:right="31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2—SIGNIFICANT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20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period have been included.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Consolidation</w:t>
      </w:r>
    </w:p>
    <w:p>
      <w:pPr>
        <w:spacing w:after="0" w:line="20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and GCL, its wholly-owned subsidiaries. All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Uncertainties and Risk Factors</w:t>
      </w:r>
    </w:p>
    <w:p>
      <w:pPr>
        <w:spacing w:after="0" w:line="205"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Investments at Fair Value</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Level 1</w:t>
      </w:r>
      <w:r>
        <w:rPr>
          <w:rFonts w:ascii="Arial" w:cs="Arial" w:eastAsia="Arial" w:hAnsi="Arial"/>
          <w:sz w:val="14"/>
          <w:szCs w:val="14"/>
          <w:color w:val="auto"/>
        </w:rPr>
        <w:t>—Valuations based on unadjusted quoted prices for identical assets or liabilities in an active market that the Company has the ability to access at the measurement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60"/>
          </w:cols>
          <w:pgMar w:left="320" w:top="124" w:right="31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jc w:val="both"/>
        <w:ind w:right="20" w:firstLine="302"/>
        <w:spacing w:after="0" w:line="337" w:lineRule="auto"/>
        <w:rPr>
          <w:sz w:val="20"/>
          <w:szCs w:val="20"/>
          <w:color w:val="auto"/>
        </w:rPr>
      </w:pPr>
      <w:r>
        <w:rPr>
          <w:rFonts w:ascii="Arial" w:cs="Arial" w:eastAsia="Arial" w:hAnsi="Arial"/>
          <w:sz w:val="14"/>
          <w:szCs w:val="14"/>
          <w:b w:val="1"/>
          <w:bCs w:val="1"/>
          <w:color w:val="auto"/>
        </w:rPr>
        <w:t>Level 2</w:t>
      </w:r>
      <w:r>
        <w:rPr>
          <w:rFonts w:ascii="Arial" w:cs="Arial" w:eastAsia="Arial" w:hAnsi="Arial"/>
          <w:sz w:val="14"/>
          <w:szCs w:val="14"/>
          <w:color w:val="auto"/>
        </w:rPr>
        <w:t>—Valuations based on observable inputs other than Level 1 prices, such as quoted prices for similar assets or liabilities; quoted prices in markets that are not active;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inputs that are observable or can be corroborated by observable market data at the measurement date for substantially the full term of the assets or liabilities.</w:t>
      </w:r>
    </w:p>
    <w:p>
      <w:pPr>
        <w:spacing w:after="0" w:line="105" w:lineRule="exact"/>
        <w:rPr>
          <w:sz w:val="20"/>
          <w:szCs w:val="20"/>
          <w:color w:val="auto"/>
        </w:rPr>
      </w:pPr>
    </w:p>
    <w:p>
      <w:pPr>
        <w:jc w:val="both"/>
        <w:ind w:firstLine="302"/>
        <w:spacing w:after="0" w:line="278" w:lineRule="auto"/>
        <w:rPr>
          <w:sz w:val="20"/>
          <w:szCs w:val="20"/>
          <w:color w:val="auto"/>
        </w:rPr>
      </w:pPr>
      <w:r>
        <w:rPr>
          <w:rFonts w:ascii="Arial" w:cs="Arial" w:eastAsia="Arial" w:hAnsi="Arial"/>
          <w:sz w:val="15"/>
          <w:szCs w:val="15"/>
          <w:b w:val="1"/>
          <w:bCs w:val="1"/>
          <w:color w:val="auto"/>
        </w:rPr>
        <w:t>Level 3</w:t>
      </w:r>
      <w:r>
        <w:rPr>
          <w:rFonts w:ascii="Arial" w:cs="Arial" w:eastAsia="Arial" w:hAnsi="Arial"/>
          <w:sz w:val="15"/>
          <w:szCs w:val="15"/>
          <w:color w:val="auto"/>
        </w:rPr>
        <w:t>—Valuations based on unobservable inputs that reflect management’s best estimate of what market participants would use in pricing the asset or liability at the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0"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56"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6"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5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52" w:lineRule="exact"/>
        <w:rPr>
          <w:sz w:val="20"/>
          <w:szCs w:val="20"/>
          <w:color w:val="auto"/>
        </w:rPr>
      </w:pPr>
    </w:p>
    <w:p>
      <w:pPr>
        <w:ind w:left="560" w:hanging="288"/>
        <w:spacing w:after="0" w:line="291" w:lineRule="auto"/>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quarterly valuation process begins with each portfolio company or investment being initially valued by the investment professionals responsible for the portfolio investment;</w:t>
      </w:r>
    </w:p>
    <w:p>
      <w:pPr>
        <w:spacing w:after="0" w:line="173" w:lineRule="exact"/>
        <w:rPr>
          <w:rFonts w:ascii="Arial" w:cs="Arial" w:eastAsia="Arial" w:hAnsi="Arial"/>
          <w:sz w:val="15"/>
          <w:szCs w:val="15"/>
          <w:color w:val="auto"/>
        </w:rPr>
      </w:pPr>
    </w:p>
    <w:p>
      <w:pPr>
        <w:ind w:left="560" w:hanging="288"/>
        <w:spacing w:after="0"/>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Preliminary valuation conclusions are then documented and discussed with senior management;</w:t>
      </w:r>
    </w:p>
    <w:p>
      <w:pPr>
        <w:spacing w:after="0" w:line="233"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73" w:lineRule="exact"/>
        <w:rPr>
          <w:rFonts w:ascii="Arial" w:cs="Arial" w:eastAsia="Arial" w:hAnsi="Arial"/>
          <w:sz w:val="15"/>
          <w:szCs w:val="15"/>
          <w:color w:val="auto"/>
        </w:rPr>
      </w:pPr>
    </w:p>
    <w:p>
      <w:pPr>
        <w:ind w:left="560" w:hanging="288"/>
        <w:spacing w:after="0" w:line="291" w:lineRule="auto"/>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173"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Company’s Board of Directors then discusses the valuations recommended by the Valuation Committee and determines in good faith the fair value of each investment in the portfolio.</w:t>
      </w:r>
    </w:p>
    <w:p>
      <w:pPr>
        <w:spacing w:after="0" w:line="174"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In making a good faith determination of the fair value of investments, the Company considers valuation methodologies consistent with industry practice. Valuation methods utilized include, but are not limited to the following: comparisons to prices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260"/>
          </w:cols>
          <w:pgMar w:left="320" w:top="124" w:right="31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56"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56"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52"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Investments</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58"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45"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260"/>
          </w:cols>
          <w:pgMar w:left="320" w:top="124" w:right="31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Debt Investments</w:t>
      </w:r>
    </w:p>
    <w:p>
      <w:pPr>
        <w:spacing w:after="0" w:line="19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Options</w:t>
      </w:r>
    </w:p>
    <w:p>
      <w:pPr>
        <w:spacing w:after="0" w:line="199"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Portfolio Company Investment Classification</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2019 and December 31, 2018, for details regarding the nature and composition of the Company’s investment portfolio.</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Levelling Policy</w:t>
      </w:r>
    </w:p>
    <w:p>
      <w:pPr>
        <w:spacing w:after="0" w:line="199"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Transactions</w:t>
      </w:r>
    </w:p>
    <w:p>
      <w:pPr>
        <w:spacing w:after="0" w:line="205"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Securities transactions are accounted for on the date the transaction for the purchase or sale of the securities is entered into by the Company (</w:t>
      </w:r>
      <w:r>
        <w:rPr>
          <w:rFonts w:ascii="Arial" w:cs="Arial" w:eastAsia="Arial" w:hAnsi="Arial"/>
          <w:sz w:val="15"/>
          <w:szCs w:val="15"/>
          <w:i w:val="1"/>
          <w:iCs w:val="1"/>
          <w:color w:val="auto"/>
        </w:rPr>
        <w:t>i.e.</w:t>
      </w:r>
      <w:r>
        <w:rPr>
          <w:rFonts w:ascii="Arial" w:cs="Arial" w:eastAsia="Arial" w:hAnsi="Arial"/>
          <w:sz w:val="15"/>
          <w:szCs w:val="15"/>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Valuation of Other Financial Instruments</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carrying amounts of the Company’s other, non-investment financial instruments, consisting of cash, receivables, accounts payable, and accrued expenses, approximate fair value due to their short-term nature.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260"/>
          </w:cols>
          <w:pgMar w:left="320" w:top="124" w:right="31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w:t>
      </w:r>
    </w:p>
    <w:p>
      <w:pPr>
        <w:spacing w:after="0" w:line="19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Escrow Proceeds Receivable</w:t>
      </w:r>
    </w:p>
    <w:p>
      <w:pPr>
        <w:spacing w:after="0" w:line="199"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During the year ended December 31, 2019, the Company completed the sale of its investment in Knewton, Inc. During the year ended December 31, 2018, the Company completed the sale of its investments in General Assembly Space, Inc., Lytro, Inc., SugarCRM, Inc., and DreamBox Learning, Inc. A portion of the proceeds from the sale of these portfolio investments and those sold in prior years are held in escrow as a recourse for indemnity claims that may arise under the sale agreement. Amounts held in escrow are held at estimated realizable value and included in net realized gains (losses) on investments in the Consolidated Statements of Operations for the period in which they occurred. Any remaining escrow proceeds balances from these transactions reasonably expected to be received are reflected on the Consolidated Statement of Assets and Liabilities as escrow proceeds receivable. As of December 31, 2019 and December 31, 2018, the Company had $265,303 and $2,494,582, respectively, in escrow proceeds receivable. During the year ended December 31, 2019, the Company received escrow proceeds from the prior year sales of SugarCRM, Inc., DreamBox Learning, Inc., Gilt Groupe Holdings, Inc., Lytro, Inc., General Assembly Space, Inc., and JAMF Holdings, Inc.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Deferred Financing Costs</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December 31, 2019 and December 31, 2018, the Company had deferred financing costs of $11,382 and $267,541, respectively, on the Consolidated Statements of Assets and Liabilities.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1220" w:type="dxa"/>
            <w:vAlign w:val="bottom"/>
          </w:tcPr>
          <w:p>
            <w:pPr>
              <w:jc w:val="right"/>
              <w:ind w:right="309"/>
              <w:spacing w:after="0"/>
              <w:rPr>
                <w:sz w:val="20"/>
                <w:szCs w:val="20"/>
                <w:color w:val="auto"/>
              </w:rPr>
            </w:pPr>
            <w:r>
              <w:rPr>
                <w:rFonts w:ascii="Arial" w:cs="Arial" w:eastAsia="Arial" w:hAnsi="Arial"/>
                <w:sz w:val="12"/>
                <w:szCs w:val="12"/>
                <w:b w:val="1"/>
                <w:bCs w:val="1"/>
                <w:color w:val="auto"/>
              </w:rPr>
              <w:t>December 31,</w:t>
            </w:r>
          </w:p>
        </w:tc>
      </w:tr>
      <w:tr>
        <w:trPr>
          <w:trHeight w:val="165"/>
        </w:trPr>
        <w:tc>
          <w:tcPr>
            <w:tcW w:w="8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2018</w:t>
            </w: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credit facility costs</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11,382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r>
      <w:tr>
        <w:trPr>
          <w:trHeight w:val="209"/>
        </w:trPr>
        <w:tc>
          <w:tcPr>
            <w:tcW w:w="8200" w:type="dxa"/>
            <w:vAlign w:val="bottom"/>
          </w:tcPr>
          <w:p>
            <w:pPr>
              <w:ind w:left="20"/>
              <w:spacing w:after="0"/>
              <w:rPr>
                <w:sz w:val="20"/>
                <w:szCs w:val="20"/>
                <w:color w:val="auto"/>
              </w:rPr>
            </w:pPr>
            <w:r>
              <w:rPr>
                <w:rFonts w:ascii="Arial" w:cs="Arial" w:eastAsia="Arial" w:hAnsi="Arial"/>
                <w:sz w:val="15"/>
                <w:szCs w:val="15"/>
                <w:color w:val="auto"/>
              </w:rPr>
              <w:t>Deferred offering costs</w:t>
            </w:r>
          </w:p>
        </w:tc>
        <w:tc>
          <w:tcPr>
            <w:tcW w:w="2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5"/>
                <w:szCs w:val="15"/>
                <w:color w:val="auto"/>
              </w:rPr>
              <w:t>267,541</w:t>
            </w:r>
          </w:p>
        </w:tc>
      </w:tr>
      <w:tr>
        <w:trPr>
          <w:trHeight w:val="24"/>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Deferred Financing Costs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11,382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267,541</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521271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 &amp; Related Deposits</w:t>
      </w:r>
    </w:p>
    <w:p>
      <w:pPr>
        <w:spacing w:after="0" w:line="199"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5"/>
          <w:szCs w:val="15"/>
          <w:color w:val="auto"/>
        </w:rPr>
        <w:t xml:space="preserve">The Company accounts for its operating leases as prescribed by ASC 842, </w:t>
      </w:r>
      <w:r>
        <w:rPr>
          <w:rFonts w:ascii="Arial" w:cs="Arial" w:eastAsia="Arial" w:hAnsi="Arial"/>
          <w:sz w:val="15"/>
          <w:szCs w:val="15"/>
          <w:i w:val="1"/>
          <w:iCs w:val="1"/>
          <w:color w:val="auto"/>
        </w:rPr>
        <w:t>Leases</w:t>
      </w:r>
      <w:r>
        <w:rPr>
          <w:rFonts w:ascii="Arial" w:cs="Arial" w:eastAsia="Arial" w:hAnsi="Arial"/>
          <w:sz w:val="15"/>
          <w:szCs w:val="15"/>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5"/>
          <w:szCs w:val="15"/>
          <w:i w:val="1"/>
          <w:iCs w:val="1"/>
          <w:color w:val="auto"/>
        </w:rPr>
        <w:t>Operating</w:t>
      </w:r>
      <w:r>
        <w:rPr>
          <w:rFonts w:ascii="Arial" w:cs="Arial" w:eastAsia="Arial" w:hAnsi="Arial"/>
          <w:sz w:val="15"/>
          <w:szCs w:val="15"/>
          <w:color w:val="auto"/>
        </w:rPr>
        <w:t xml:space="preserve"> </w:t>
      </w:r>
      <w:r>
        <w:rPr>
          <w:rFonts w:ascii="Arial" w:cs="Arial" w:eastAsia="Arial" w:hAnsi="Arial"/>
          <w:sz w:val="15"/>
          <w:szCs w:val="15"/>
          <w:i w:val="1"/>
          <w:iCs w:val="1"/>
          <w:color w:val="auto"/>
        </w:rPr>
        <w:t>Leases and Related Deposits</w:t>
      </w:r>
      <w:r>
        <w:rPr>
          <w:rFonts w:ascii="Arial" w:cs="Arial" w:eastAsia="Arial" w:hAnsi="Arial"/>
          <w:sz w:val="15"/>
          <w:szCs w:val="15"/>
          <w:color w:val="auto"/>
        </w:rPr>
        <w:t>” for further detail.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260"/>
          </w:cols>
          <w:pgMar w:left="320" w:top="124" w:right="31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9"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4"/>
          <w:szCs w:val="14"/>
          <w:color w:val="auto"/>
        </w:rPr>
        <w:t xml:space="preserve">Using the fair value recognition provisions as prescribed by ASC 718, </w:t>
      </w:r>
      <w:r>
        <w:rPr>
          <w:rFonts w:ascii="Arial" w:cs="Arial" w:eastAsia="Arial" w:hAnsi="Arial"/>
          <w:sz w:val="14"/>
          <w:szCs w:val="14"/>
          <w:i w:val="1"/>
          <w:iCs w:val="1"/>
          <w:color w:val="auto"/>
        </w:rPr>
        <w:t>Stock Compensation</w:t>
      </w:r>
      <w:r>
        <w:rPr>
          <w:rFonts w:ascii="Arial" w:cs="Arial" w:eastAsia="Arial" w:hAnsi="Arial"/>
          <w:sz w:val="14"/>
          <w:szCs w:val="14"/>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Transaction Costs and Escrow Deposits</w:t>
      </w:r>
    </w:p>
    <w:p>
      <w:pPr>
        <w:spacing w:after="0" w:line="205" w:lineRule="exact"/>
        <w:rPr>
          <w:sz w:val="20"/>
          <w:szCs w:val="20"/>
          <w:color w:val="auto"/>
        </w:rPr>
      </w:pPr>
    </w:p>
    <w:p>
      <w:pPr>
        <w:jc w:val="both"/>
        <w:ind w:right="20" w:firstLine="302"/>
        <w:spacing w:after="0" w:line="289" w:lineRule="auto"/>
        <w:rPr>
          <w:sz w:val="20"/>
          <w:szCs w:val="20"/>
          <w:color w:val="auto"/>
        </w:rPr>
      </w:pPr>
      <w:r>
        <w:rPr>
          <w:rFonts w:ascii="Arial" w:cs="Arial" w:eastAsia="Arial" w:hAnsi="Arial"/>
          <w:sz w:val="14"/>
          <w:szCs w:val="14"/>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2019 and December 31, 2018, the Company had no material escrow deposits.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Unrealized Appreciation or Depreciation of Investments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Unrealized appreciation or depreciation is calculated as the difference between the fair value of the investment and the cost basis of such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Federal and State Income Taxes</w:t>
      </w:r>
    </w:p>
    <w:p>
      <w:pPr>
        <w:spacing w:after="0" w:line="205"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48" w:lineRule="exact"/>
        <w:rPr>
          <w:sz w:val="20"/>
          <w:szCs w:val="20"/>
          <w:color w:val="auto"/>
        </w:rPr>
      </w:pPr>
    </w:p>
    <w:p>
      <w:pPr>
        <w:jc w:val="both"/>
        <w:ind w:firstLine="302"/>
        <w:spacing w:after="0" w:line="313" w:lineRule="auto"/>
        <w:rPr>
          <w:sz w:val="20"/>
          <w:szCs w:val="20"/>
          <w:color w:val="auto"/>
        </w:rPr>
      </w:pPr>
      <w:r>
        <w:rPr>
          <w:rFonts w:ascii="Arial" w:cs="Arial" w:eastAsia="Arial" w:hAnsi="Arial"/>
          <w:sz w:val="13"/>
          <w:szCs w:val="13"/>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260"/>
          </w:cols>
          <w:pgMar w:left="320" w:top="124" w:right="31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58" w:lineRule="exact"/>
        <w:rPr>
          <w:sz w:val="20"/>
          <w:szCs w:val="20"/>
          <w:color w:val="auto"/>
        </w:rPr>
      </w:pPr>
    </w:p>
    <w:p>
      <w:pPr>
        <w:jc w:val="both"/>
        <w:ind w:firstLine="302"/>
        <w:spacing w:after="0" w:line="281" w:lineRule="auto"/>
        <w:rPr>
          <w:sz w:val="20"/>
          <w:szCs w:val="20"/>
          <w:color w:val="auto"/>
        </w:rPr>
      </w:pPr>
      <w:r>
        <w:rPr>
          <w:rFonts w:ascii="Arial" w:cs="Arial" w:eastAsia="Arial" w:hAnsi="Arial"/>
          <w:sz w:val="14"/>
          <w:szCs w:val="14"/>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50"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 Share Information</w:t>
      </w:r>
    </w:p>
    <w:p>
      <w:pPr>
        <w:spacing w:after="0" w:line="205"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 xml:space="preserve">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5"/>
          <w:szCs w:val="15"/>
          <w:i w:val="1"/>
          <w:iCs w:val="1"/>
          <w:color w:val="auto"/>
        </w:rPr>
        <w:t>FASB ASC 260, Earnings Per Share</w:t>
      </w:r>
      <w:r>
        <w:rPr>
          <w:rFonts w:ascii="Arial" w:cs="Arial" w:eastAsia="Arial" w:hAnsi="Arial"/>
          <w:sz w:val="15"/>
          <w:szCs w:val="15"/>
          <w:color w:val="auto"/>
        </w:rPr>
        <w:t xml:space="preserve"> (“ASC 260”) to determine the number of potentially dilutive shares outstanding. Refer to “Note 6—Net Increase in Net Assets Resulting from Operations per Common Share—Basic and Diluted” for further detail.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260"/>
          </w:cols>
          <w:pgMar w:left="320" w:top="124" w:right="31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 xml:space="preserve">In February 2019, the FASB issued ASU 2019-07, </w:t>
      </w:r>
      <w:r>
        <w:rPr>
          <w:rFonts w:ascii="Arial" w:cs="Arial" w:eastAsia="Arial" w:hAnsi="Arial"/>
          <w:sz w:val="15"/>
          <w:szCs w:val="15"/>
          <w:i w:val="1"/>
          <w:iCs w:val="1"/>
          <w:color w:val="auto"/>
        </w:rPr>
        <w:t>Codification Updates to SEC Sections</w:t>
      </w:r>
      <w:r>
        <w:rPr>
          <w:rFonts w:ascii="Arial" w:cs="Arial" w:eastAsia="Arial" w:hAnsi="Arial"/>
          <w:sz w:val="15"/>
          <w:szCs w:val="15"/>
          <w:color w:val="auto"/>
        </w:rPr>
        <w:t>, which amends various SEC paragraphs pursuant to the issuance of recent SEC Final Rule Releases. The guidance requires interim financial statements to provide the information required by SEC for the current and comparative year-to-date periods, with subtotals for each interim period. The guidance in ASU 2019-07, and the related amendments, are effective upon issuance. The Company adopted ASU 2019-07 and amended the presentation of the Consolidated Statements of Changes in Net Assets beginning June 30, 2019.</w:t>
      </w:r>
    </w:p>
    <w:p>
      <w:pPr>
        <w:spacing w:after="0" w:line="156"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 xml:space="preserve">In June 2018, the FASB issued ASU 2018-07, </w:t>
      </w:r>
      <w:r>
        <w:rPr>
          <w:rFonts w:ascii="Arial" w:cs="Arial" w:eastAsia="Arial" w:hAnsi="Arial"/>
          <w:sz w:val="15"/>
          <w:szCs w:val="15"/>
          <w:i w:val="1"/>
          <w:iCs w:val="1"/>
          <w:color w:val="auto"/>
        </w:rPr>
        <w:t>Compensation - Stock Compensation (Topic 718): Improvements to Nonemployee Share-Based Payment Accounting</w:t>
      </w:r>
      <w:r>
        <w:rPr>
          <w:rFonts w:ascii="Arial" w:cs="Arial" w:eastAsia="Arial" w:hAnsi="Arial"/>
          <w:sz w:val="15"/>
          <w:szCs w:val="15"/>
          <w:color w:val="auto"/>
        </w:rPr>
        <w:t xml:space="preserve">. This amendment expands the scope of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(which only included share-based payments to employees) to include share-based payments issued to nonemployees for goods or services. Consequently, the accounting for share-based payments to nonemployees and employees will be substantially aligned. ASU 2018-07 supersedes Subtopic 505-50, </w:t>
      </w:r>
      <w:r>
        <w:rPr>
          <w:rFonts w:ascii="Arial" w:cs="Arial" w:eastAsia="Arial" w:hAnsi="Arial"/>
          <w:sz w:val="15"/>
          <w:szCs w:val="15"/>
          <w:i w:val="1"/>
          <w:iCs w:val="1"/>
          <w:color w:val="auto"/>
        </w:rPr>
        <w:t>Equity—Equity-Based Payments to Non-Employees</w:t>
      </w:r>
      <w:r>
        <w:rPr>
          <w:rFonts w:ascii="Arial" w:cs="Arial" w:eastAsia="Arial" w:hAnsi="Arial"/>
          <w:sz w:val="15"/>
          <w:szCs w:val="15"/>
          <w:color w:val="auto"/>
        </w:rPr>
        <w:t>, and is effective for annual reporting periods, and the interim periods within those periods, beginning after December 15, 2018. The Company adopted ASU 2018-07 in connection with the equity awards granted to our executive officers and employees beginning July 17, 2019.</w:t>
      </w:r>
    </w:p>
    <w:p>
      <w:pPr>
        <w:spacing w:after="0" w:line="158"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which requires lessees to recognize on the balance sheet a right-of-use asset, representing its right to use the underlying asset for the lease term, and a lease liability for all leases with terms greater than 12 months. The guidance is effective for annual periods beginning after December 15, 2018, and interim periods therein. The Company adopted ASU 2016-02 in connection with its operating lease beginning June 3, 2019.</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0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 xml:space="preserve">In August 2018, the FASB issued ASU 2018-13, which changes the fair value measurement disclosure requirements of </w:t>
      </w:r>
      <w:r>
        <w:rPr>
          <w:rFonts w:ascii="Arial" w:cs="Arial" w:eastAsia="Arial" w:hAnsi="Arial"/>
          <w:sz w:val="15"/>
          <w:szCs w:val="15"/>
          <w:i w:val="1"/>
          <w:iCs w:val="1"/>
          <w:color w:val="auto"/>
        </w:rPr>
        <w:t>FASB ASC 820, Fair Value Measurement</w:t>
      </w:r>
      <w:r>
        <w:rPr>
          <w:rFonts w:ascii="Arial" w:cs="Arial" w:eastAsia="Arial" w:hAnsi="Arial"/>
          <w:sz w:val="15"/>
          <w:szCs w:val="15"/>
          <w:color w:val="auto"/>
        </w:rPr>
        <w:t>. The guidance is effective for all entities for interim and annual periods beginning after December 15, 2019. Early adoption is permitted for any eliminated or modified disclosure requirements upon issuance of the guidance. The Company did not early adopt the eliminated and modified disclosure requirements during the year ended December 31, 2019, but is evaluating the guidance for our adoption upon its effective date.</w:t>
      </w:r>
    </w:p>
    <w:p>
      <w:pPr>
        <w:spacing w:after="0" w:line="167" w:lineRule="exact"/>
        <w:rPr>
          <w:sz w:val="20"/>
          <w:szCs w:val="20"/>
          <w:color w:val="auto"/>
        </w:rPr>
      </w:pPr>
    </w:p>
    <w:p>
      <w:pPr>
        <w:jc w:val="both"/>
        <w:ind w:firstLine="279"/>
        <w:spacing w:after="0" w:line="282" w:lineRule="auto"/>
        <w:rPr>
          <w:sz w:val="20"/>
          <w:szCs w:val="20"/>
          <w:color w:val="auto"/>
        </w:rPr>
      </w:pPr>
      <w:r>
        <w:rPr>
          <w:rFonts w:ascii="Arial" w:cs="Arial" w:eastAsia="Arial" w:hAnsi="Arial"/>
          <w:sz w:val="15"/>
          <w:szCs w:val="15"/>
          <w:color w:val="auto"/>
        </w:rPr>
        <w:t xml:space="preserve">In August 2018, the SEC issued Final Rule Release No. 33-10532, </w:t>
      </w:r>
      <w:r>
        <w:rPr>
          <w:rFonts w:ascii="Arial" w:cs="Arial" w:eastAsia="Arial" w:hAnsi="Arial"/>
          <w:sz w:val="15"/>
          <w:szCs w:val="15"/>
          <w:i w:val="1"/>
          <w:iCs w:val="1"/>
          <w:color w:val="auto"/>
        </w:rPr>
        <w:t>Disclosure Update and Simplification,</w:t>
      </w:r>
      <w:r>
        <w:rPr>
          <w:rFonts w:ascii="Arial" w:cs="Arial" w:eastAsia="Arial" w:hAnsi="Arial"/>
          <w:sz w:val="15"/>
          <w:szCs w:val="15"/>
          <w:color w:val="auto"/>
        </w:rPr>
        <w:t xml:space="preserve"> amending certain disclosure requirements intended to eliminate redundant, duplicative, overlapping, outdated or superseded, in light of other SEC disclosure requirements, U.S. GAAP requirements, or changes in the information environment. In part, this final rule requires an investment company to present distributable earnings in total on the consolidated balance sheet, rather than showing the three components of distributable earnings as previously required. The Company decided not to adopt the changes as the current more detailed and expanded disclosure presentation was deemed to be most helpful, useful, and transparent for users of our consolidated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3—RELATED-PARTY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Internalization of Company’s Operating Structure</w:t>
      </w:r>
    </w:p>
    <w:p>
      <w:pPr>
        <w:spacing w:after="0" w:line="205"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accounting implications and related controls associated with the Internalization were analyzed and updated for fiscal year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260"/>
          </w:cols>
          <w:pgMar w:left="320" w:top="124" w:right="31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Termination of Investment Advisory Agreement</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On and effective March 12, 2019, the Investment Advisory Agreement was terminated by mutual agreement of GSV Asset Management and us in connection with our Internalization.</w:t>
      </w:r>
    </w:p>
    <w:p>
      <w:pPr>
        <w:spacing w:after="0" w:line="13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 Investment Advisory Agreement” below.</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the Investment Advisory Agreement has been terminated, there will be no base management fees or incentives fees payable to GSV Asset Management going forward.</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Termination of Administration Agreement</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On and effective March 12, 2019, the Administration Agreement was terminated by mutual agreement of GSV Capital Service Company and us in connection with our Internalization.</w:t>
      </w:r>
    </w:p>
    <w:p>
      <w:pPr>
        <w:spacing w:after="0" w:line="139"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56" w:lineRule="exact"/>
        <w:rPr>
          <w:sz w:val="20"/>
          <w:szCs w:val="20"/>
          <w:color w:val="auto"/>
        </w:rPr>
      </w:pPr>
    </w:p>
    <w:p>
      <w:pPr>
        <w:jc w:val="both"/>
        <w:ind w:firstLine="279"/>
        <w:spacing w:after="0" w:line="269" w:lineRule="auto"/>
        <w:rPr>
          <w:sz w:val="20"/>
          <w:szCs w:val="20"/>
          <w:color w:val="auto"/>
        </w:rPr>
      </w:pPr>
      <w:r>
        <w:rPr>
          <w:rFonts w:ascii="Arial" w:cs="Arial" w:eastAsia="Arial" w:hAnsi="Arial"/>
          <w:sz w:val="15"/>
          <w:szCs w:val="15"/>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the Administration Agreement has been terminated, there will be no costs incurred by GSV Capital Service Company going forward.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Departure of Director and Reduction of Number of Directors</w:t>
      </w:r>
    </w:p>
    <w:p>
      <w:pPr>
        <w:spacing w:after="0" w:line="199"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260"/>
          </w:cols>
          <w:pgMar w:left="320" w:top="124" w:right="31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Consulting Agreement</w:t>
      </w:r>
    </w:p>
    <w:p>
      <w:pPr>
        <w:spacing w:after="0" w:line="199"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63" w:lineRule="exact"/>
        <w:rPr>
          <w:sz w:val="20"/>
          <w:szCs w:val="20"/>
          <w:color w:val="auto"/>
        </w:rPr>
      </w:pPr>
    </w:p>
    <w:p>
      <w:pPr>
        <w:jc w:val="both"/>
        <w:ind w:firstLine="279"/>
        <w:spacing w:after="0" w:line="291" w:lineRule="auto"/>
        <w:rPr>
          <w:sz w:val="20"/>
          <w:szCs w:val="20"/>
          <w:color w:val="auto"/>
        </w:rPr>
      </w:pPr>
      <w:r>
        <w:rPr>
          <w:rFonts w:ascii="Arial" w:cs="Arial" w:eastAsia="Arial" w:hAnsi="Arial"/>
          <w:sz w:val="15"/>
          <w:szCs w:val="15"/>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39"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For the years ended December 31, 2019, 2018, and 2017, the Company incurred $667,563, $0, and $0 respectively, of consulting expense related to the Consulting Agreement, as included in "professional fees" on the Consolidated Statements of Operations. As of December 31, 2019 and 2018, the Company recorded $332,437 and $0 of prepaid expense related to the Consulting Agreement on the Consolidated Statements of Assets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Amended and Restated Trademark License Agreement</w:t>
      </w:r>
    </w:p>
    <w:p>
      <w:pPr>
        <w:spacing w:after="0" w:line="199" w:lineRule="exact"/>
        <w:rPr>
          <w:sz w:val="20"/>
          <w:szCs w:val="20"/>
          <w:color w:val="auto"/>
        </w:rPr>
      </w:pPr>
    </w:p>
    <w:p>
      <w:pPr>
        <w:jc w:val="both"/>
        <w:ind w:right="20" w:firstLine="279"/>
        <w:spacing w:after="0" w:line="291" w:lineRule="auto"/>
        <w:rPr>
          <w:sz w:val="20"/>
          <w:szCs w:val="20"/>
          <w:color w:val="auto"/>
        </w:rPr>
      </w:pPr>
      <w:r>
        <w:rPr>
          <w:rFonts w:ascii="Arial" w:cs="Arial" w:eastAsia="Arial" w:hAnsi="Arial"/>
          <w:sz w:val="15"/>
          <w:szCs w:val="15"/>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39"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52" w:lineRule="exact"/>
        <w:rPr>
          <w:sz w:val="20"/>
          <w:szCs w:val="20"/>
          <w:color w:val="auto"/>
        </w:rPr>
      </w:pPr>
    </w:p>
    <w:p>
      <w:pPr>
        <w:jc w:val="both"/>
        <w:ind w:right="20" w:firstLine="279"/>
        <w:spacing w:after="0" w:line="274" w:lineRule="auto"/>
        <w:rPr>
          <w:sz w:val="20"/>
          <w:szCs w:val="20"/>
          <w:color w:val="auto"/>
        </w:rPr>
      </w:pPr>
      <w:r>
        <w:rPr>
          <w:rFonts w:ascii="Arial" w:cs="Arial" w:eastAsia="Arial" w:hAnsi="Arial"/>
          <w:sz w:val="15"/>
          <w:szCs w:val="15"/>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52"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For the years ended December 31, 2019, 2018, and 2017, the Company incurred $667,563, $0, and $0, respectively, of licensing expense, as included in "other expenses" on the Consolidated Statements of Operations. As of December 31, 2019 and 2018, the Company recorded $332,437 and $0 of prepaid expense related to the Amended and Restated Trademark License Agreement on the Consolidated Statements of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Advisory Agreement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March 12, 2019, in connection with the Company's Internalization, the Investment Advisory Agreement was terminated in accordance with its terms.</w:t>
      </w:r>
    </w:p>
    <w:p>
      <w:pPr>
        <w:spacing w:after="0" w:line="199"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260"/>
          </w:cols>
          <w:pgMar w:left="320" w:top="124" w:right="31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52"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Fees</w:t>
      </w:r>
    </w:p>
    <w:p>
      <w:pPr>
        <w:spacing w:after="0" w:line="199"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Under the terms of the Investment Advisory Agreement, GSV Asset Management was paid a base management fee of 2.00% of gross assets, which is the Company’s total assets reflected on its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4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GSV Asset Management earned $848,723, $5,199,900, and $5,666,176 in management fees for the years ended December 31, 2019, 2018, and 2017, respectively, and waived $0, $892,421, and $708,272 in management fees for the years ended December 31, 2019, 2018, and 2017, respectively.</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the Investment Advisory Agreement has been terminated, there will be no base management fee payable to GSV Asset Management going forward.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Incentive Fees</w:t>
      </w:r>
    </w:p>
    <w:p>
      <w:pPr>
        <w:spacing w:after="0" w:line="199"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4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156"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For the year ended December 31, 2019, the Company reversed previously accrued incentive fees of $4,660,472 due to the termination of the Investment Advisory Agreement. For the year ended December 31, 2018, the Company accrued incentive fees of $382,387. Pursuant to the Waiver Agreement, on February 2, 2018, GSV Asset Management forfeited $5.0 million of the accrued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60"/>
          </w:cols>
          <w:pgMar w:left="320" w:top="124" w:right="31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incentive fees. For the year ended December 31, 2017, the Company accrued incentive fees of $7,151,641. As the Investment Advisory Agreement has been terminated, there will be no incentive fee payable to GSV Asset Management going forward.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 and Incentive Fee Waiver Agreement</w:t>
      </w:r>
    </w:p>
    <w:p>
      <w:pPr>
        <w:spacing w:after="0" w:line="199" w:lineRule="exact"/>
        <w:rPr>
          <w:sz w:val="20"/>
          <w:szCs w:val="20"/>
          <w:color w:val="auto"/>
        </w:rPr>
      </w:pPr>
    </w:p>
    <w:p>
      <w:pPr>
        <w:jc w:val="both"/>
        <w:ind w:firstLine="302"/>
        <w:spacing w:after="0" w:line="294" w:lineRule="auto"/>
        <w:rPr>
          <w:sz w:val="20"/>
          <w:szCs w:val="20"/>
          <w:color w:val="auto"/>
        </w:rPr>
      </w:pPr>
      <w:r>
        <w:rPr>
          <w:rFonts w:ascii="Arial" w:cs="Arial" w:eastAsia="Arial" w:hAnsi="Arial"/>
          <w:sz w:val="14"/>
          <w:szCs w:val="14"/>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 In addition to the changes to the fee structure, GSV Asset Management also agreed to a one-time forfeiture of $5.0 million of previously accrued but unpaid incentive fees.</w:t>
      </w:r>
    </w:p>
    <w:p>
      <w:pPr>
        <w:spacing w:after="0" w:line="140"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4"/>
          <w:szCs w:val="14"/>
          <w:color w:val="auto"/>
        </w:rPr>
        <w:t>Pursuant to the Waiver Agreement, effective February 1, 2018, the base management fee was reduced to 1.75% of the Company’s gross assets. The base management fee was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paid GSV Asset Management a 1.75% base management fee on its cash balances.</w:t>
      </w:r>
    </w:p>
    <w:p>
      <w:pPr>
        <w:spacing w:after="0" w:line="148" w:lineRule="exact"/>
        <w:rPr>
          <w:sz w:val="20"/>
          <w:szCs w:val="20"/>
          <w:color w:val="auto"/>
        </w:rPr>
      </w:pPr>
    </w:p>
    <w:p>
      <w:pPr>
        <w:jc w:val="both"/>
        <w:ind w:firstLine="302"/>
        <w:spacing w:after="0" w:line="263" w:lineRule="auto"/>
        <w:rPr>
          <w:sz w:val="20"/>
          <w:szCs w:val="20"/>
          <w:color w:val="auto"/>
        </w:rPr>
      </w:pPr>
      <w:r>
        <w:rPr>
          <w:rFonts w:ascii="Arial" w:cs="Arial" w:eastAsia="Arial" w:hAnsi="Arial"/>
          <w:sz w:val="15"/>
          <w:szCs w:val="15"/>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60"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3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As of each of December 31, 2019 and December 31, 2018, there were no receivables owed to the Company by GSV Asset Management. As the Investment Advisory Agreement has been terminated, there will be no receivables owed to the Company by GSV Asset Management going forward.</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 Agreement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March 12, 2019, in connection with the Company's Internalization, the Administration Agreement was terminated in accordance with its terms.</w:t>
      </w:r>
    </w:p>
    <w:p>
      <w:pPr>
        <w:spacing w:after="0" w:line="19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60"/>
          </w:cols>
          <w:pgMar w:left="320" w:top="124" w:right="31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 There were $306,084, $1,702,047, and $1,874,839 in such costs incurred under the Administration Agreement for the years ended December 31, 2019, 2018, and 2017, respectively. As the Administration Agreement has been terminated, there will be no costs incurred by GSV Capital Service Company on behalf of the Company going forward.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 Agreement</w:t>
      </w:r>
    </w:p>
    <w:p>
      <w:pPr>
        <w:spacing w:after="0" w:line="205"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w:t>
      </w:r>
    </w:p>
    <w:p>
      <w:pPr>
        <w:spacing w:after="0" w:line="152"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Arrangements</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Mark Moe, who is the brother of Michael Moe, the former Chairman of the Company’s Board of Directors, serves as Vice President of Business Development, Global Expansion for NestGSV, Inc. (d/b/a GSV Labs, Inc.), one of the Company’s portfolio companies.</w:t>
      </w:r>
    </w:p>
    <w:p>
      <w:pPr>
        <w:spacing w:after="0" w:line="139"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3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56"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60"/>
          </w:cols>
          <w:pgMar w:left="320" w:top="124" w:right="31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4—INVESTMENTS AT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Portfolio Composition</w:t>
      </w:r>
    </w:p>
    <w:p>
      <w:pPr>
        <w:spacing w:after="0" w:line="205"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December 31, 2019, the Company had 46 positions in 23 portfolio companies. As of December 31, 2018, the Company had 55 positions in 26 portfolio companies.</w:t>
      </w:r>
    </w:p>
    <w:p>
      <w:pPr>
        <w:spacing w:after="0" w:line="156"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following tables summarize the composition of the Company’s investment portfolio by security type at cost and fair value as of December 31, 2019 and December 31,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December 31, 2019</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December 31, 2018</w:t>
            </w: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1"/>
                <w:szCs w:val="11"/>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Fair Value</w:t>
            </w:r>
          </w:p>
        </w:tc>
        <w:tc>
          <w:tcPr>
            <w:tcW w:w="16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32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Cost</w:t>
            </w:r>
          </w:p>
        </w:tc>
        <w:tc>
          <w:tcPr>
            <w:tcW w:w="180" w:type="dxa"/>
            <w:vAlign w:val="bottom"/>
          </w:tcPr>
          <w:p>
            <w:pPr>
              <w:spacing w:after="0"/>
              <w:rPr>
                <w:sz w:val="11"/>
                <w:szCs w:val="11"/>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Fair Value</w:t>
            </w:r>
          </w:p>
        </w:tc>
        <w:tc>
          <w:tcPr>
            <w:tcW w:w="1520" w:type="dxa"/>
            <w:vAlign w:val="bottom"/>
          </w:tcPr>
          <w:p>
            <w:pPr>
              <w:jc w:val="right"/>
              <w:ind w:right="325"/>
              <w:spacing w:after="0" w:line="128" w:lineRule="exact"/>
              <w:rPr>
                <w:sz w:val="20"/>
                <w:szCs w:val="20"/>
                <w:color w:val="auto"/>
              </w:rPr>
            </w:pPr>
            <w:r>
              <w:rPr>
                <w:rFonts w:ascii="Arial" w:cs="Arial" w:eastAsia="Arial" w:hAnsi="Arial"/>
                <w:sz w:val="12"/>
                <w:szCs w:val="12"/>
                <w:b w:val="1"/>
                <w:bCs w:val="1"/>
                <w:color w:val="auto"/>
              </w:rPr>
              <w:t>Percentage of</w:t>
            </w: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Net Assets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20" w:type="dxa"/>
            <w:vAlign w:val="bottom"/>
          </w:tcPr>
          <w:p>
            <w:pPr>
              <w:jc w:val="right"/>
              <w:ind w:right="405"/>
              <w:spacing w:after="0"/>
              <w:rPr>
                <w:sz w:val="20"/>
                <w:szCs w:val="20"/>
                <w:color w:val="auto"/>
              </w:rPr>
            </w:pPr>
            <w:r>
              <w:rPr>
                <w:rFonts w:ascii="Arial" w:cs="Arial" w:eastAsia="Arial" w:hAnsi="Arial"/>
                <w:sz w:val="12"/>
                <w:szCs w:val="12"/>
                <w:b w:val="1"/>
                <w:bCs w:val="1"/>
                <w:color w:val="auto"/>
              </w:rPr>
              <w:t>Net Assets</w:t>
            </w:r>
          </w:p>
        </w:tc>
        <w:tc>
          <w:tcPr>
            <w:tcW w:w="0" w:type="dxa"/>
            <w:vAlign w:val="bottom"/>
          </w:tcPr>
          <w:p>
            <w:pPr>
              <w:spacing w:after="0"/>
              <w:rPr>
                <w:sz w:val="1"/>
                <w:szCs w:val="1"/>
                <w:color w:val="auto"/>
              </w:rPr>
            </w:pPr>
          </w:p>
        </w:tc>
      </w:tr>
      <w:tr>
        <w:trPr>
          <w:trHeight w:val="178"/>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w:t>
            </w: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Companies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63,425,065</w:t>
            </w:r>
          </w:p>
        </w:tc>
        <w:tc>
          <w:tcPr>
            <w:tcW w:w="12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59,209,559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48,424,535</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48,517,824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Preferred Stock</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73,557,331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125,448,358</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89,715,085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99,856,159</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5"/>
                <w:szCs w:val="15"/>
                <w:color w:val="auto"/>
              </w:rPr>
              <w:t>Debt Investments</w:t>
            </w:r>
          </w:p>
        </w:tc>
        <w:tc>
          <w:tcPr>
            <w:tcW w:w="360" w:type="dxa"/>
            <w:vAlign w:val="bottom"/>
          </w:tcPr>
          <w:p>
            <w:pPr>
              <w:spacing w:after="0"/>
              <w:rPr>
                <w:sz w:val="18"/>
                <w:szCs w:val="18"/>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4,838,415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1,644,155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9,156,012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5,584,994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Options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8,764,885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5,283,506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209,761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267,446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2"/>
        </w:trPr>
        <w:tc>
          <w:tcPr>
            <w:tcW w:w="1900" w:type="dxa"/>
            <w:vAlign w:val="bottom"/>
          </w:tcPr>
          <w:p>
            <w:pPr>
              <w:ind w:left="20"/>
              <w:spacing w:after="0"/>
              <w:rPr>
                <w:sz w:val="20"/>
                <w:szCs w:val="20"/>
                <w:color w:val="auto"/>
              </w:rPr>
            </w:pPr>
            <w:r>
              <w:rPr>
                <w:rFonts w:ascii="Arial" w:cs="Arial" w:eastAsia="Arial" w:hAnsi="Arial"/>
                <w:sz w:val="15"/>
                <w:szCs w:val="15"/>
                <w:b w:val="1"/>
                <w:bCs w:val="1"/>
                <w:color w:val="auto"/>
              </w:rPr>
              <w:t>Private Portfolio</w:t>
            </w: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160"/>
              <w:spacing w:after="0"/>
              <w:rPr>
                <w:sz w:val="20"/>
                <w:szCs w:val="20"/>
                <w:color w:val="auto"/>
              </w:rPr>
            </w:pPr>
            <w:r>
              <w:rPr>
                <w:rFonts w:ascii="Arial" w:cs="Arial" w:eastAsia="Arial" w:hAnsi="Arial"/>
                <w:sz w:val="15"/>
                <w:szCs w:val="15"/>
                <w:b w:val="1"/>
                <w:bCs w:val="1"/>
                <w:color w:val="auto"/>
              </w:rPr>
              <w:t>Companies</w:t>
            </w:r>
          </w:p>
        </w:tc>
        <w:tc>
          <w:tcPr>
            <w:tcW w:w="360" w:type="dxa"/>
            <w:vAlign w:val="bottom"/>
          </w:tcPr>
          <w:p>
            <w:pPr>
              <w:spacing w:after="0"/>
              <w:rPr>
                <w:sz w:val="17"/>
                <w:szCs w:val="17"/>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150,585,696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191,585,578</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147,505,393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154,226,423</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24"/>
        </w:trPr>
        <w:tc>
          <w:tcPr>
            <w:tcW w:w="1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Publicly Traded Portfolio</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Companies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00" w:type="dxa"/>
            <w:vAlign w:val="bottom"/>
          </w:tcPr>
          <w:p>
            <w:pPr>
              <w:ind w:left="140"/>
              <w:spacing w:after="0"/>
              <w:rPr>
                <w:sz w:val="20"/>
                <w:szCs w:val="20"/>
                <w:color w:val="auto"/>
              </w:rPr>
            </w:pPr>
            <w:r>
              <w:rPr>
                <w:rFonts w:ascii="Arial" w:cs="Arial" w:eastAsia="Arial" w:hAnsi="Arial"/>
                <w:sz w:val="15"/>
                <w:szCs w:val="15"/>
                <w:color w:val="auto"/>
              </w:rPr>
              <w:t>Common Stock</w:t>
            </w:r>
          </w:p>
        </w:tc>
        <w:tc>
          <w:tcPr>
            <w:tcW w:w="3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23,659,010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44,589,406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24"/>
        </w:trPr>
        <w:tc>
          <w:tcPr>
            <w:tcW w:w="1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6"/>
              </w:rPr>
              <w:t>Total Portfolio Investments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150,585,696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191,585,578</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171,164,403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198,815,829</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200"/>
        </w:trPr>
        <w:tc>
          <w:tcPr>
            <w:tcW w:w="1900" w:type="dxa"/>
            <w:vAlign w:val="bottom"/>
          </w:tcPr>
          <w:p>
            <w:pPr>
              <w:ind w:left="20"/>
              <w:spacing w:after="0"/>
              <w:rPr>
                <w:sz w:val="20"/>
                <w:szCs w:val="20"/>
                <w:color w:val="auto"/>
              </w:rPr>
            </w:pPr>
            <w:r>
              <w:rPr>
                <w:rFonts w:ascii="Arial" w:cs="Arial" w:eastAsia="Arial" w:hAnsi="Arial"/>
                <w:sz w:val="15"/>
                <w:szCs w:val="15"/>
                <w:b w:val="1"/>
                <w:bCs w:val="1"/>
                <w:color w:val="auto"/>
                <w:w w:val="99"/>
              </w:rPr>
              <w:t>Non-Portfolio Investments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U.S. Treasury bill</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49,996,667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99,982,067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99,994,000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18"/>
        </w:trPr>
        <w:tc>
          <w:tcPr>
            <w:tcW w:w="1900" w:type="dxa"/>
            <w:vAlign w:val="bottom"/>
          </w:tcPr>
          <w:p>
            <w:pPr>
              <w:ind w:left="20"/>
              <w:spacing w:after="0"/>
              <w:rPr>
                <w:sz w:val="20"/>
                <w:szCs w:val="20"/>
                <w:color w:val="auto"/>
              </w:rPr>
            </w:pPr>
            <w:r>
              <w:rPr>
                <w:rFonts w:ascii="Arial" w:cs="Arial" w:eastAsia="Arial" w:hAnsi="Arial"/>
                <w:sz w:val="15"/>
                <w:szCs w:val="15"/>
                <w:b w:val="1"/>
                <w:bCs w:val="1"/>
                <w:color w:val="auto"/>
              </w:rPr>
              <w:t>Total Investments</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200,582,363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241,585,578</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271,146,470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298,809,829</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745"/>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geographic and industrial compositions of the Company’s portfolio at fair value as of December 31, 2019 and December 31, 2018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8"/>
              </w:rPr>
              <w:t>As of December 31, 2019</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As of December 31, 2018</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5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15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26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Fair Value</w:t>
            </w:r>
          </w:p>
        </w:tc>
        <w:tc>
          <w:tcPr>
            <w:tcW w:w="154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8"/>
              </w:rPr>
              <w:t>Percentage of</w:t>
            </w:r>
          </w:p>
        </w:tc>
        <w:tc>
          <w:tcPr>
            <w:tcW w:w="1440" w:type="dxa"/>
            <w:vAlign w:val="bottom"/>
          </w:tcPr>
          <w:p>
            <w:pPr>
              <w:jc w:val="right"/>
              <w:ind w:right="287"/>
              <w:spacing w:after="0" w:line="128" w:lineRule="exact"/>
              <w:rPr>
                <w:sz w:val="20"/>
                <w:szCs w:val="20"/>
                <w:color w:val="auto"/>
              </w:rPr>
            </w:pPr>
            <w:r>
              <w:rPr>
                <w:rFonts w:ascii="Arial" w:cs="Arial" w:eastAsia="Arial" w:hAnsi="Arial"/>
                <w:sz w:val="12"/>
                <w:szCs w:val="12"/>
                <w:b w:val="1"/>
                <w:bCs w:val="1"/>
                <w:color w:val="auto"/>
              </w:rPr>
              <w:t>Percentage of</w:t>
            </w: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Portfolio</w:t>
            </w: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Net Assets</w:t>
            </w: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Portfolio</w:t>
            </w:r>
          </w:p>
        </w:tc>
        <w:tc>
          <w:tcPr>
            <w:tcW w:w="1440" w:type="dxa"/>
            <w:vAlign w:val="bottom"/>
          </w:tcPr>
          <w:p>
            <w:pPr>
              <w:jc w:val="right"/>
              <w:ind w:right="387"/>
              <w:spacing w:after="0"/>
              <w:rPr>
                <w:sz w:val="20"/>
                <w:szCs w:val="20"/>
                <w:color w:val="auto"/>
              </w:rPr>
            </w:pPr>
            <w:r>
              <w:rPr>
                <w:rFonts w:ascii="Arial" w:cs="Arial" w:eastAsia="Arial" w:hAnsi="Arial"/>
                <w:sz w:val="12"/>
                <w:szCs w:val="12"/>
                <w:b w:val="1"/>
                <w:bCs w:val="1"/>
                <w:color w:val="auto"/>
              </w:rPr>
              <w:t>Net Assets</w:t>
            </w:r>
          </w:p>
        </w:tc>
        <w:tc>
          <w:tcPr>
            <w:tcW w:w="0" w:type="dxa"/>
            <w:vAlign w:val="bottom"/>
          </w:tcPr>
          <w:p>
            <w:pPr>
              <w:spacing w:after="0"/>
              <w:rPr>
                <w:sz w:val="1"/>
                <w:szCs w:val="1"/>
                <w:color w:val="auto"/>
              </w:rPr>
            </w:pPr>
          </w:p>
        </w:tc>
      </w:tr>
      <w:tr>
        <w:trPr>
          <w:trHeight w:val="209"/>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Geographic Region</w:t>
            </w: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5"/>
                <w:szCs w:val="15"/>
                <w:color w:val="auto"/>
              </w:rPr>
              <w:t>West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176,331,572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88.2%</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167,687,933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84.4%</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85.8%</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Mid-west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7,406,237</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5"/>
                <w:szCs w:val="15"/>
                <w:color w:val="auto"/>
              </w:rPr>
              <w:t>Northeast</w:t>
            </w:r>
          </w:p>
        </w:tc>
        <w:tc>
          <w:tcPr>
            <w:tcW w:w="26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7,847,769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4,414,536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26,713,360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18"/>
        </w:trPr>
        <w:tc>
          <w:tcPr>
            <w:tcW w:w="178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191,585,578</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95.8%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198,815,829</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As of December 31, 2019</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As of December 31, 2018</w:t>
            </w: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Fair Value</w:t>
            </w:r>
          </w:p>
        </w:tc>
        <w:tc>
          <w:tcPr>
            <w:tcW w:w="16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16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26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Fair Value</w:t>
            </w:r>
          </w:p>
        </w:tc>
        <w:tc>
          <w:tcPr>
            <w:tcW w:w="160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0"/>
              </w:rPr>
              <w:t>Percentage of</w:t>
            </w:r>
          </w:p>
        </w:tc>
        <w:tc>
          <w:tcPr>
            <w:tcW w:w="1500" w:type="dxa"/>
            <w:vAlign w:val="bottom"/>
          </w:tcPr>
          <w:p>
            <w:pPr>
              <w:jc w:val="right"/>
              <w:ind w:right="326"/>
              <w:spacing w:after="0" w:line="128" w:lineRule="exact"/>
              <w:rPr>
                <w:sz w:val="20"/>
                <w:szCs w:val="20"/>
                <w:color w:val="auto"/>
              </w:rPr>
            </w:pPr>
            <w:r>
              <w:rPr>
                <w:rFonts w:ascii="Arial" w:cs="Arial" w:eastAsia="Arial" w:hAnsi="Arial"/>
                <w:sz w:val="12"/>
                <w:szCs w:val="12"/>
                <w:b w:val="1"/>
                <w:bCs w:val="1"/>
                <w:color w:val="auto"/>
              </w:rPr>
              <w:t>Percentage of</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Portfolio</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Net Assets</w:t>
            </w: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Portfolio</w:t>
            </w:r>
          </w:p>
        </w:tc>
        <w:tc>
          <w:tcPr>
            <w:tcW w:w="1500" w:type="dxa"/>
            <w:vAlign w:val="bottom"/>
          </w:tcPr>
          <w:p>
            <w:pPr>
              <w:jc w:val="right"/>
              <w:ind w:right="406"/>
              <w:spacing w:after="0"/>
              <w:rPr>
                <w:sz w:val="20"/>
                <w:szCs w:val="20"/>
                <w:color w:val="auto"/>
              </w:rPr>
            </w:pPr>
            <w:r>
              <w:rPr>
                <w:rFonts w:ascii="Arial" w:cs="Arial" w:eastAsia="Arial" w:hAnsi="Arial"/>
                <w:sz w:val="12"/>
                <w:szCs w:val="12"/>
                <w:b w:val="1"/>
                <w:bCs w:val="1"/>
                <w:color w:val="auto"/>
              </w:rPr>
              <w:t>Net Assets</w:t>
            </w:r>
          </w:p>
        </w:tc>
        <w:tc>
          <w:tcPr>
            <w:tcW w:w="0" w:type="dxa"/>
            <w:vAlign w:val="bottom"/>
          </w:tcPr>
          <w:p>
            <w:pPr>
              <w:spacing w:after="0"/>
              <w:rPr>
                <w:sz w:val="1"/>
                <w:szCs w:val="1"/>
                <w:color w:val="auto"/>
              </w:rPr>
            </w:pPr>
          </w:p>
        </w:tc>
      </w:tr>
      <w:tr>
        <w:trPr>
          <w:trHeight w:val="209"/>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Industry</w:t>
            </w: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Arial" w:cs="Arial" w:eastAsia="Arial" w:hAnsi="Arial"/>
                <w:sz w:val="15"/>
                <w:szCs w:val="15"/>
                <w:color w:val="auto"/>
              </w:rPr>
              <w:t>Education Technology</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82,578,640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41.3%</w:t>
            </w:r>
          </w:p>
        </w:tc>
        <w:tc>
          <w:tcPr>
            <w:tcW w:w="12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64,480,375</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8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Marketplaces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23,321,809</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33,892,561</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32"/>
        </w:trPr>
        <w:tc>
          <w:tcPr>
            <w:tcW w:w="1880" w:type="dxa"/>
            <w:vAlign w:val="bottom"/>
          </w:tcPr>
          <w:p>
            <w:pPr>
              <w:ind w:left="20"/>
              <w:spacing w:after="0" w:line="232" w:lineRule="exact"/>
              <w:rPr>
                <w:sz w:val="20"/>
                <w:szCs w:val="20"/>
                <w:color w:val="auto"/>
              </w:rPr>
            </w:pPr>
            <w:r>
              <w:rPr>
                <w:rFonts w:ascii="Arial" w:cs="Arial" w:eastAsia="Arial" w:hAnsi="Arial"/>
                <w:sz w:val="15"/>
                <w:szCs w:val="15"/>
                <w:color w:val="auto"/>
              </w:rPr>
              <w:t>Financial Technology</w:t>
            </w:r>
            <w:r>
              <w:rPr>
                <w:rFonts w:ascii="Arial" w:cs="Arial" w:eastAsia="Arial" w:hAnsi="Arial"/>
                <w:sz w:val="21"/>
                <w:szCs w:val="21"/>
                <w:color w:val="auto"/>
                <w:vertAlign w:val="superscript"/>
              </w:rPr>
              <w:t>(1)</w:t>
            </w:r>
          </w:p>
        </w:tc>
        <w:tc>
          <w:tcPr>
            <w:tcW w:w="260" w:type="dxa"/>
            <w:vAlign w:val="bottom"/>
          </w:tcPr>
          <w:p>
            <w:pPr>
              <w:spacing w:after="0"/>
              <w:rPr>
                <w:sz w:val="20"/>
                <w:szCs w:val="20"/>
                <w:color w:val="auto"/>
              </w:rPr>
            </w:pP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26,754,801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7,798,878</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Big Data/Cloud</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31,582,084</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51,929,440</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Arial" w:cs="Arial" w:eastAsia="Arial" w:hAnsi="Arial"/>
                <w:sz w:val="15"/>
                <w:szCs w:val="15"/>
                <w:color w:val="auto"/>
              </w:rPr>
              <w:t>Social/Mobile</w:t>
            </w:r>
          </w:p>
        </w:tc>
        <w:tc>
          <w:tcPr>
            <w:tcW w:w="260" w:type="dxa"/>
            <w:vAlign w:val="bottom"/>
          </w:tcPr>
          <w:p>
            <w:pPr>
              <w:spacing w:after="0"/>
              <w:rPr>
                <w:sz w:val="18"/>
                <w:szCs w:val="18"/>
                <w:color w:val="auto"/>
              </w:rPr>
            </w:pPr>
          </w:p>
        </w:tc>
        <w:tc>
          <w:tcPr>
            <w:tcW w:w="1160" w:type="dxa"/>
            <w:vAlign w:val="bottom"/>
          </w:tcPr>
          <w:p>
            <w:pPr>
              <w:jc w:val="right"/>
              <w:ind w:right="25"/>
              <w:spacing w:after="0"/>
              <w:rPr>
                <w:sz w:val="20"/>
                <w:szCs w:val="20"/>
                <w:color w:val="auto"/>
              </w:rPr>
            </w:pPr>
            <w:r>
              <w:rPr>
                <w:rFonts w:ascii="Arial" w:cs="Arial" w:eastAsia="Arial" w:hAnsi="Arial"/>
                <w:sz w:val="15"/>
                <w:szCs w:val="15"/>
                <w:color w:val="auto"/>
              </w:rPr>
              <w:t>26,573,046</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39,964,377</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Sustainability</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775,198</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750,198</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18"/>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191,585,578</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95.8%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198,815,829</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686"/>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6" w:name="page107"/>
    <w:bookmarkEnd w:id="10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table below details the composition of the Company’s industrial themes presented above:</w:t>
      </w:r>
    </w:p>
    <w:p>
      <w:pPr>
        <w:sectPr>
          <w:pgSz w:w="11900" w:h="16838" w:orient="portrait"/>
          <w:cols w:equalWidth="0" w:num="1">
            <w:col w:w="11267"/>
          </w:cols>
          <w:pgMar w:left="313" w:top="124" w:right="319" w:bottom="1440" w:gutter="0" w:footer="0" w:header="0"/>
        </w:sectPr>
      </w:pPr>
    </w:p>
    <w:p>
      <w:pPr>
        <w:spacing w:after="0" w:line="201" w:lineRule="exact"/>
        <w:rPr>
          <w:sz w:val="20"/>
          <w:szCs w:val="20"/>
          <w:color w:val="auto"/>
        </w:rPr>
      </w:pPr>
    </w:p>
    <w:p>
      <w:pPr>
        <w:ind w:left="27"/>
        <w:spacing w:after="0"/>
        <w:rPr>
          <w:sz w:val="20"/>
          <w:szCs w:val="20"/>
          <w:color w:val="auto"/>
        </w:rPr>
      </w:pPr>
      <w:r>
        <w:rPr>
          <w:rFonts w:ascii="Arial" w:cs="Arial" w:eastAsia="Arial" w:hAnsi="Arial"/>
          <w:sz w:val="12"/>
          <w:szCs w:val="12"/>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22929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37" w:lineRule="exact"/>
        <w:rPr>
          <w:sz w:val="20"/>
          <w:szCs w:val="20"/>
          <w:color w:val="auto"/>
        </w:rPr>
      </w:pPr>
    </w:p>
    <w:p>
      <w:pPr>
        <w:ind w:left="27"/>
        <w:spacing w:after="0"/>
        <w:rPr>
          <w:sz w:val="20"/>
          <w:szCs w:val="20"/>
          <w:color w:val="auto"/>
        </w:rPr>
      </w:pPr>
      <w:r>
        <w:rPr>
          <w:rFonts w:ascii="Arial" w:cs="Arial" w:eastAsia="Arial" w:hAnsi="Arial"/>
          <w:sz w:val="15"/>
          <w:szCs w:val="15"/>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1062355</wp:posOffset>
            </wp:positionV>
            <wp:extent cx="22929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
        <w:spacing w:after="0"/>
        <w:rPr>
          <w:sz w:val="20"/>
          <w:szCs w:val="20"/>
          <w:color w:val="auto"/>
        </w:rPr>
      </w:pPr>
      <w:r>
        <w:rPr>
          <w:rFonts w:ascii="Arial" w:cs="Arial" w:eastAsia="Arial" w:hAnsi="Arial"/>
          <w:sz w:val="15"/>
          <w:szCs w:val="15"/>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22929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7"/>
        <w:spacing w:after="0"/>
        <w:rPr>
          <w:sz w:val="20"/>
          <w:szCs w:val="20"/>
          <w:color w:val="auto"/>
        </w:rPr>
      </w:pPr>
      <w:r>
        <w:rPr>
          <w:rFonts w:ascii="Arial" w:cs="Arial" w:eastAsia="Arial" w:hAnsi="Arial"/>
          <w:sz w:val="15"/>
          <w:szCs w:val="15"/>
          <w:color w:val="auto"/>
        </w:rPr>
        <w:t>Marketplaces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723900</wp:posOffset>
            </wp:positionV>
            <wp:extent cx="22929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
        <w:spacing w:after="0"/>
        <w:rPr>
          <w:sz w:val="20"/>
          <w:szCs w:val="20"/>
          <w:color w:val="auto"/>
        </w:rPr>
      </w:pPr>
      <w:r>
        <w:rPr>
          <w:rFonts w:ascii="Arial" w:cs="Arial" w:eastAsia="Arial" w:hAnsi="Arial"/>
          <w:sz w:val="15"/>
          <w:szCs w:val="15"/>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22929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27"/>
        <w:spacing w:after="0"/>
        <w:rPr>
          <w:sz w:val="20"/>
          <w:szCs w:val="20"/>
          <w:color w:val="auto"/>
        </w:rPr>
      </w:pPr>
      <w:r>
        <w:rPr>
          <w:rFonts w:ascii="Arial" w:cs="Arial" w:eastAsia="Arial" w:hAnsi="Arial"/>
          <w:sz w:val="15"/>
          <w:szCs w:val="15"/>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472440</wp:posOffset>
            </wp:positionV>
            <wp:extent cx="22929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929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7"/>
        <w:spacing w:after="0"/>
        <w:rPr>
          <w:sz w:val="20"/>
          <w:szCs w:val="20"/>
          <w:color w:val="auto"/>
        </w:rPr>
      </w:pPr>
      <w:r>
        <w:rPr>
          <w:rFonts w:ascii="Arial" w:cs="Arial" w:eastAsia="Arial" w:hAnsi="Arial"/>
          <w:sz w:val="15"/>
          <w:szCs w:val="15"/>
          <w:color w:val="auto"/>
        </w:rPr>
        <w:t>Sustainability</w:t>
      </w:r>
    </w:p>
    <w:p>
      <w:pPr>
        <w:spacing w:after="0" w:line="37" w:lineRule="exact"/>
        <w:rPr>
          <w:sz w:val="20"/>
          <w:szCs w:val="20"/>
          <w:color w:val="auto"/>
        </w:rPr>
      </w:pPr>
    </w:p>
    <w:p>
      <w:pPr>
        <w:ind w:left="7"/>
        <w:spacing w:after="0"/>
        <w:rPr>
          <w:sz w:val="20"/>
          <w:szCs w:val="20"/>
          <w:color w:val="auto"/>
        </w:rPr>
      </w:pPr>
      <w:r>
        <w:rPr>
          <w:rFonts w:ascii="Arial" w:cs="Arial" w:eastAsia="Arial" w:hAnsi="Arial"/>
          <w:sz w:val="13"/>
          <w:szCs w:val="13"/>
          <w:color w:val="auto"/>
        </w:rPr>
        <w:t>________________________</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478472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Business Education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Computer Software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Corporate Education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Education Media Platform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Education Software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E-Transcript Exchange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Interactive Learning</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478472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Cloud Computing Services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Data Analysis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Social Cognitive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478472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Global Innovation Platform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Knowledge Networks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On-Demand Commerce</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On-Demand Transportation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Micromobility</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478472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Online Marketplace Finance</w:t>
      </w:r>
      <w:r>
        <w:rPr>
          <w:rFonts w:ascii="Arial" w:cs="Arial" w:eastAsia="Arial" w:hAnsi="Arial"/>
          <w:sz w:val="19"/>
          <w:szCs w:val="19"/>
          <w:color w:val="auto"/>
          <w:vertAlign w:val="superscript"/>
        </w:rPr>
        <w:t>(1)</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Financial Services</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5"/>
          <w:szCs w:val="15"/>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478472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Digital Media Platform</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Social Networking</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On-Demand Music Streaming</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47847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84725"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Clean Technology</w:t>
      </w:r>
    </w:p>
    <w:p>
      <w:pPr>
        <w:spacing w:after="0" w:line="317" w:lineRule="exact"/>
        <w:rPr>
          <w:sz w:val="20"/>
          <w:szCs w:val="20"/>
          <w:color w:val="auto"/>
        </w:rPr>
      </w:pPr>
    </w:p>
    <w:p>
      <w:pPr>
        <w:sectPr>
          <w:pgSz w:w="11900" w:h="16838" w:orient="portrait"/>
          <w:cols w:equalWidth="0" w:num="2">
            <w:col w:w="3027" w:space="720"/>
            <w:col w:w="7520"/>
          </w:cols>
          <w:pgMar w:left="313" w:top="124" w:right="319" w:bottom="1440" w:gutter="0" w:footer="0" w:header="0"/>
          <w:type w:val="continuous"/>
        </w:sectPr>
      </w:pPr>
    </w:p>
    <w:p>
      <w:pPr>
        <w:ind w:left="567" w:hanging="567"/>
        <w:spacing w:after="0" w:line="267" w:lineRule="auto"/>
        <w:tabs>
          <w:tab w:leader="none" w:pos="5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During the quarter ended June 30, 2019, the Company reclassified the industry theme for "Online Marketplace Finance" and "Financial Services" industries from "Marketplaces" to "Financial Technology". The industrial classifications as of December 31, 2018 were also updated to reflect this change.</w:t>
      </w:r>
    </w:p>
    <w:p>
      <w:pPr>
        <w:spacing w:after="0" w:line="15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67"/>
          </w:cols>
          <w:pgMar w:left="313" w:top="124" w:right="319" w:bottom="1440" w:gutter="0" w:footer="0" w:header="0"/>
          <w:type w:val="continuous"/>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Valuation Inputs</w:t>
      </w:r>
    </w:p>
    <w:p>
      <w:pPr>
        <w:spacing w:after="0" w:line="205" w:lineRule="exact"/>
        <w:rPr>
          <w:sz w:val="20"/>
          <w:szCs w:val="20"/>
          <w:color w:val="auto"/>
        </w:rPr>
      </w:pPr>
    </w:p>
    <w:p>
      <w:pPr>
        <w:ind w:firstLine="302"/>
        <w:spacing w:after="0" w:line="291" w:lineRule="auto"/>
        <w:rPr>
          <w:sz w:val="20"/>
          <w:szCs w:val="20"/>
          <w:color w:val="auto"/>
        </w:rPr>
      </w:pPr>
      <w:r>
        <w:rPr>
          <w:rFonts w:ascii="Arial" w:cs="Arial" w:eastAsia="Arial" w:hAnsi="Arial"/>
          <w:sz w:val="15"/>
          <w:szCs w:val="15"/>
          <w:color w:val="auto"/>
        </w:rPr>
        <w:t>The fair values of the Company’s investments disaggregated into the three levels of the fair value hierarchy based upon the lowest level of significant input used in the valuation as of December 31, 2019 and December 31, 2018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5"/>
          </w:tcPr>
          <w:p>
            <w:pPr>
              <w:ind w:left="820"/>
              <w:spacing w:after="0"/>
              <w:rPr>
                <w:sz w:val="20"/>
                <w:szCs w:val="20"/>
                <w:color w:val="auto"/>
              </w:rPr>
            </w:pPr>
            <w:r>
              <w:rPr>
                <w:rFonts w:ascii="Arial" w:cs="Arial" w:eastAsia="Arial" w:hAnsi="Arial"/>
                <w:sz w:val="12"/>
                <w:szCs w:val="12"/>
                <w:b w:val="1"/>
                <w:bCs w:val="1"/>
                <w:color w:val="auto"/>
              </w:rPr>
              <w:t>As of December 31, 2019</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2"/>
              </w:rPr>
              <w:t>Quoted Prices in</w:t>
            </w:r>
          </w:p>
        </w:tc>
        <w:tc>
          <w:tcPr>
            <w:tcW w:w="260" w:type="dxa"/>
            <w:vAlign w:val="bottom"/>
          </w:tcPr>
          <w:p>
            <w:pPr>
              <w:spacing w:after="0"/>
              <w:rPr>
                <w:sz w:val="11"/>
                <w:szCs w:val="11"/>
                <w:color w:val="auto"/>
              </w:rPr>
            </w:pPr>
          </w:p>
        </w:tc>
        <w:tc>
          <w:tcPr>
            <w:tcW w:w="156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5"/>
              </w:rPr>
              <w:t>Significant Other</w:t>
            </w:r>
          </w:p>
        </w:tc>
        <w:tc>
          <w:tcPr>
            <w:tcW w:w="300" w:type="dxa"/>
            <w:vAlign w:val="bottom"/>
          </w:tcPr>
          <w:p>
            <w:pPr>
              <w:spacing w:after="0"/>
              <w:rPr>
                <w:sz w:val="11"/>
                <w:szCs w:val="11"/>
                <w:color w:val="auto"/>
              </w:rPr>
            </w:pPr>
          </w:p>
        </w:tc>
        <w:tc>
          <w:tcPr>
            <w:tcW w:w="148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1"/>
              </w:rPr>
              <w:t>Significant</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6"/>
              </w:rPr>
              <w:t>Active Markets for</w:t>
            </w:r>
          </w:p>
        </w:tc>
        <w:tc>
          <w:tcPr>
            <w:tcW w:w="260" w:type="dxa"/>
            <w:vAlign w:val="bottom"/>
          </w:tcPr>
          <w:p>
            <w:pPr>
              <w:spacing w:after="0"/>
              <w:rPr>
                <w:sz w:val="11"/>
                <w:szCs w:val="11"/>
                <w:color w:val="auto"/>
              </w:rPr>
            </w:pPr>
          </w:p>
        </w:tc>
        <w:tc>
          <w:tcPr>
            <w:tcW w:w="156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1"/>
              </w:rPr>
              <w:t>Observable</w:t>
            </w:r>
          </w:p>
        </w:tc>
        <w:tc>
          <w:tcPr>
            <w:tcW w:w="300" w:type="dxa"/>
            <w:vAlign w:val="bottom"/>
          </w:tcPr>
          <w:p>
            <w:pPr>
              <w:spacing w:after="0"/>
              <w:rPr>
                <w:sz w:val="11"/>
                <w:szCs w:val="11"/>
                <w:color w:val="auto"/>
              </w:rPr>
            </w:pPr>
          </w:p>
        </w:tc>
        <w:tc>
          <w:tcPr>
            <w:tcW w:w="148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0"/>
              </w:rPr>
              <w:t>Unobservable</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3"/>
              </w:rPr>
              <w:t>Identical Securities</w:t>
            </w:r>
          </w:p>
        </w:tc>
        <w:tc>
          <w:tcPr>
            <w:tcW w:w="260" w:type="dxa"/>
            <w:vAlign w:val="bottom"/>
          </w:tcPr>
          <w:p>
            <w:pPr>
              <w:spacing w:after="0"/>
              <w:rPr>
                <w:sz w:val="11"/>
                <w:szCs w:val="11"/>
                <w:color w:val="auto"/>
              </w:rPr>
            </w:pPr>
          </w:p>
        </w:tc>
        <w:tc>
          <w:tcPr>
            <w:tcW w:w="156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4"/>
              </w:rPr>
              <w:t>Inputs</w:t>
            </w:r>
          </w:p>
        </w:tc>
        <w:tc>
          <w:tcPr>
            <w:tcW w:w="300" w:type="dxa"/>
            <w:vAlign w:val="bottom"/>
          </w:tcPr>
          <w:p>
            <w:pPr>
              <w:spacing w:after="0"/>
              <w:rPr>
                <w:sz w:val="11"/>
                <w:szCs w:val="11"/>
                <w:color w:val="auto"/>
              </w:rPr>
            </w:pPr>
          </w:p>
        </w:tc>
        <w:tc>
          <w:tcPr>
            <w:tcW w:w="148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4"/>
              </w:rPr>
              <w:t>Inputs</w:t>
            </w:r>
          </w:p>
        </w:tc>
        <w:tc>
          <w:tcPr>
            <w:tcW w:w="400" w:type="dxa"/>
            <w:vAlign w:val="bottom"/>
          </w:tcPr>
          <w:p>
            <w:pPr>
              <w:spacing w:after="0"/>
              <w:rPr>
                <w:sz w:val="11"/>
                <w:szCs w:val="11"/>
                <w:color w:val="auto"/>
              </w:rPr>
            </w:pPr>
          </w:p>
        </w:tc>
        <w:tc>
          <w:tcPr>
            <w:tcW w:w="1280" w:type="dxa"/>
            <w:vAlign w:val="bottom"/>
            <w:vMerge w:val="restart"/>
          </w:tcPr>
          <w:p>
            <w:pPr>
              <w:jc w:val="right"/>
              <w:ind w:right="62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(Level 1)</w:t>
            </w:r>
          </w:p>
        </w:tc>
        <w:tc>
          <w:tcPr>
            <w:tcW w:w="2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(Level 2)</w:t>
            </w:r>
          </w:p>
        </w:tc>
        <w:tc>
          <w:tcPr>
            <w:tcW w:w="30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(Level 3)</w:t>
            </w: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Investments at Fair Value</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59,209,559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59,209,559</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5"/>
                <w:szCs w:val="15"/>
                <w:color w:val="auto"/>
              </w:rPr>
              <w:t>Preferred Stock</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125,448,358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125,448,358</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Debt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1,644,155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1,644,155</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5"/>
                <w:szCs w:val="15"/>
                <w:color w:val="auto"/>
              </w:rPr>
              <w:t>Options</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5,283,506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5,283,506</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191,585,578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191,585,578</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Publicly Traded Portfolio Companies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191,585,578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191,585,578</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U.S. Treasury bills</w:t>
            </w:r>
          </w:p>
        </w:tc>
        <w:tc>
          <w:tcPr>
            <w:tcW w:w="220" w:type="dxa"/>
            <w:vAlign w:val="bottom"/>
          </w:tcPr>
          <w:p>
            <w:pPr>
              <w:spacing w:after="0"/>
              <w:rPr>
                <w:sz w:val="18"/>
                <w:szCs w:val="18"/>
                <w:color w:val="auto"/>
              </w:rPr>
            </w:pPr>
          </w:p>
        </w:tc>
        <w:tc>
          <w:tcPr>
            <w:tcW w:w="1480" w:type="dxa"/>
            <w:vAlign w:val="bottom"/>
          </w:tcPr>
          <w:p>
            <w:pPr>
              <w:jc w:val="right"/>
              <w:ind w:right="27"/>
              <w:spacing w:after="0"/>
              <w:rPr>
                <w:sz w:val="20"/>
                <w:szCs w:val="20"/>
                <w:color w:val="auto"/>
              </w:rPr>
            </w:pPr>
            <w:r>
              <w:rPr>
                <w:rFonts w:ascii="Arial" w:cs="Arial" w:eastAsia="Arial" w:hAnsi="Arial"/>
                <w:sz w:val="15"/>
                <w:szCs w:val="15"/>
                <w:color w:val="auto"/>
              </w:rPr>
              <w:t>50,000,000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50,000,000</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Investments at Fair Value</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50,000,000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191,585,578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241,585,578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4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820"/>
              <w:spacing w:after="0"/>
              <w:rPr>
                <w:sz w:val="20"/>
                <w:szCs w:val="20"/>
                <w:color w:val="auto"/>
              </w:rPr>
            </w:pPr>
            <w:r>
              <w:rPr>
                <w:rFonts w:ascii="Arial" w:cs="Arial" w:eastAsia="Arial" w:hAnsi="Arial"/>
                <w:sz w:val="12"/>
                <w:szCs w:val="12"/>
                <w:b w:val="1"/>
                <w:bCs w:val="1"/>
                <w:color w:val="auto"/>
              </w:rPr>
              <w:t>As of December 31, 2018</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2"/>
              </w:rPr>
              <w:t>Quoted Prices in</w:t>
            </w:r>
          </w:p>
        </w:tc>
        <w:tc>
          <w:tcPr>
            <w:tcW w:w="260" w:type="dxa"/>
            <w:vAlign w:val="bottom"/>
          </w:tcPr>
          <w:p>
            <w:pPr>
              <w:spacing w:after="0"/>
              <w:rPr>
                <w:sz w:val="11"/>
                <w:szCs w:val="11"/>
                <w:color w:val="auto"/>
              </w:rPr>
            </w:pPr>
          </w:p>
        </w:tc>
        <w:tc>
          <w:tcPr>
            <w:tcW w:w="156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5"/>
              </w:rPr>
              <w:t>Significant Other</w:t>
            </w:r>
          </w:p>
        </w:tc>
        <w:tc>
          <w:tcPr>
            <w:tcW w:w="300" w:type="dxa"/>
            <w:vAlign w:val="bottom"/>
          </w:tcPr>
          <w:p>
            <w:pPr>
              <w:spacing w:after="0"/>
              <w:rPr>
                <w:sz w:val="11"/>
                <w:szCs w:val="11"/>
                <w:color w:val="auto"/>
              </w:rPr>
            </w:pPr>
          </w:p>
        </w:tc>
        <w:tc>
          <w:tcPr>
            <w:tcW w:w="148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1"/>
              </w:rPr>
              <w:t>Significant</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6"/>
              </w:rPr>
              <w:t>Active Markets for</w:t>
            </w:r>
          </w:p>
        </w:tc>
        <w:tc>
          <w:tcPr>
            <w:tcW w:w="260" w:type="dxa"/>
            <w:vAlign w:val="bottom"/>
          </w:tcPr>
          <w:p>
            <w:pPr>
              <w:spacing w:after="0"/>
              <w:rPr>
                <w:sz w:val="11"/>
                <w:szCs w:val="11"/>
                <w:color w:val="auto"/>
              </w:rPr>
            </w:pPr>
          </w:p>
        </w:tc>
        <w:tc>
          <w:tcPr>
            <w:tcW w:w="156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1"/>
              </w:rPr>
              <w:t>Observable</w:t>
            </w:r>
          </w:p>
        </w:tc>
        <w:tc>
          <w:tcPr>
            <w:tcW w:w="300" w:type="dxa"/>
            <w:vAlign w:val="bottom"/>
          </w:tcPr>
          <w:p>
            <w:pPr>
              <w:spacing w:after="0"/>
              <w:rPr>
                <w:sz w:val="11"/>
                <w:szCs w:val="11"/>
                <w:color w:val="auto"/>
              </w:rPr>
            </w:pPr>
          </w:p>
        </w:tc>
        <w:tc>
          <w:tcPr>
            <w:tcW w:w="148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0"/>
              </w:rPr>
              <w:t>Unobservable</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3"/>
              </w:rPr>
              <w:t>Identical Securities</w:t>
            </w:r>
          </w:p>
        </w:tc>
        <w:tc>
          <w:tcPr>
            <w:tcW w:w="260" w:type="dxa"/>
            <w:vAlign w:val="bottom"/>
          </w:tcPr>
          <w:p>
            <w:pPr>
              <w:spacing w:after="0"/>
              <w:rPr>
                <w:sz w:val="11"/>
                <w:szCs w:val="11"/>
                <w:color w:val="auto"/>
              </w:rPr>
            </w:pPr>
          </w:p>
        </w:tc>
        <w:tc>
          <w:tcPr>
            <w:tcW w:w="156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4"/>
              </w:rPr>
              <w:t>Inputs</w:t>
            </w:r>
          </w:p>
        </w:tc>
        <w:tc>
          <w:tcPr>
            <w:tcW w:w="300" w:type="dxa"/>
            <w:vAlign w:val="bottom"/>
          </w:tcPr>
          <w:p>
            <w:pPr>
              <w:spacing w:after="0"/>
              <w:rPr>
                <w:sz w:val="11"/>
                <w:szCs w:val="11"/>
                <w:color w:val="auto"/>
              </w:rPr>
            </w:pPr>
          </w:p>
        </w:tc>
        <w:tc>
          <w:tcPr>
            <w:tcW w:w="148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4"/>
              </w:rPr>
              <w:t>Inputs</w:t>
            </w:r>
          </w:p>
        </w:tc>
        <w:tc>
          <w:tcPr>
            <w:tcW w:w="400" w:type="dxa"/>
            <w:vAlign w:val="bottom"/>
          </w:tcPr>
          <w:p>
            <w:pPr>
              <w:spacing w:after="0"/>
              <w:rPr>
                <w:sz w:val="11"/>
                <w:szCs w:val="11"/>
                <w:color w:val="auto"/>
              </w:rPr>
            </w:pPr>
          </w:p>
        </w:tc>
        <w:tc>
          <w:tcPr>
            <w:tcW w:w="1280" w:type="dxa"/>
            <w:vAlign w:val="bottom"/>
            <w:vMerge w:val="restart"/>
          </w:tcPr>
          <w:p>
            <w:pPr>
              <w:jc w:val="right"/>
              <w:ind w:right="62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(Level 1)</w:t>
            </w:r>
          </w:p>
        </w:tc>
        <w:tc>
          <w:tcPr>
            <w:tcW w:w="26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(Level 2)</w:t>
            </w:r>
          </w:p>
        </w:tc>
        <w:tc>
          <w:tcPr>
            <w:tcW w:w="30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4"/>
              </w:rPr>
              <w:t>(Level 3)</w:t>
            </w: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Investments at Fair Value</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48,517,824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48,517,824</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5"/>
                <w:szCs w:val="15"/>
                <w:color w:val="auto"/>
              </w:rPr>
              <w:t>Preferred Stock</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99,856,159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99,856,159</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Debt Investments</w:t>
            </w: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5,584,994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5,584,994</w:t>
            </w:r>
          </w:p>
        </w:tc>
        <w:tc>
          <w:tcPr>
            <w:tcW w:w="0" w:type="dxa"/>
            <w:vAlign w:val="bottom"/>
          </w:tcPr>
          <w:p>
            <w:pPr>
              <w:spacing w:after="0"/>
              <w:rPr>
                <w:sz w:val="1"/>
                <w:szCs w:val="1"/>
                <w:color w:val="auto"/>
              </w:rPr>
            </w:pPr>
          </w:p>
        </w:tc>
      </w:tr>
      <w:tr>
        <w:trPr>
          <w:trHeight w:val="209"/>
        </w:trPr>
        <w:tc>
          <w:tcPr>
            <w:tcW w:w="4160" w:type="dxa"/>
            <w:vAlign w:val="bottom"/>
          </w:tcPr>
          <w:p>
            <w:pPr>
              <w:ind w:left="140"/>
              <w:spacing w:after="0"/>
              <w:rPr>
                <w:sz w:val="20"/>
                <w:szCs w:val="20"/>
                <w:color w:val="auto"/>
              </w:rPr>
            </w:pPr>
            <w:r>
              <w:rPr>
                <w:rFonts w:ascii="Arial" w:cs="Arial" w:eastAsia="Arial" w:hAnsi="Arial"/>
                <w:sz w:val="15"/>
                <w:szCs w:val="15"/>
                <w:color w:val="auto"/>
              </w:rPr>
              <w:t>Options</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267,446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267,446</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Private Portfolio Companies</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154,226,423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154,226,423</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Publicly Traded Portfolio Companies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44,589,406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44,589,406</w:t>
            </w:r>
          </w:p>
        </w:tc>
        <w:tc>
          <w:tcPr>
            <w:tcW w:w="0" w:type="dxa"/>
            <w:vAlign w:val="bottom"/>
          </w:tcPr>
          <w:p>
            <w:pPr>
              <w:spacing w:after="0"/>
              <w:rPr>
                <w:sz w:val="1"/>
                <w:szCs w:val="1"/>
                <w:color w:val="auto"/>
              </w:rPr>
            </w:pPr>
          </w:p>
        </w:tc>
      </w:tr>
      <w:tr>
        <w:trPr>
          <w:trHeight w:val="200"/>
        </w:trPr>
        <w:tc>
          <w:tcPr>
            <w:tcW w:w="4160" w:type="dxa"/>
            <w:vAlign w:val="bottom"/>
          </w:tcPr>
          <w:p>
            <w:pPr>
              <w:ind w:left="20"/>
              <w:spacing w:after="0"/>
              <w:rPr>
                <w:sz w:val="20"/>
                <w:szCs w:val="20"/>
                <w:color w:val="auto"/>
              </w:rPr>
            </w:pPr>
            <w:r>
              <w:rPr>
                <w:rFonts w:ascii="Arial" w:cs="Arial" w:eastAsia="Arial" w:hAnsi="Arial"/>
                <w:sz w:val="15"/>
                <w:szCs w:val="15"/>
                <w:b w:val="1"/>
                <w:bCs w:val="1"/>
                <w:color w:val="auto"/>
              </w:rPr>
              <w:t>Total Portfolio Investments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44,589,406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154,226,423</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198,815,829</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Non-Portfolio Investments</w:t>
            </w: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5"/>
                <w:szCs w:val="15"/>
                <w:color w:val="auto"/>
              </w:rPr>
              <w:t>U.S. Treasury bills</w:t>
            </w:r>
          </w:p>
        </w:tc>
        <w:tc>
          <w:tcPr>
            <w:tcW w:w="220" w:type="dxa"/>
            <w:vAlign w:val="bottom"/>
          </w:tcPr>
          <w:p>
            <w:pPr>
              <w:spacing w:after="0"/>
              <w:rPr>
                <w:sz w:val="18"/>
                <w:szCs w:val="18"/>
                <w:color w:val="auto"/>
              </w:rPr>
            </w:pPr>
          </w:p>
        </w:tc>
        <w:tc>
          <w:tcPr>
            <w:tcW w:w="1480" w:type="dxa"/>
            <w:vAlign w:val="bottom"/>
          </w:tcPr>
          <w:p>
            <w:pPr>
              <w:jc w:val="right"/>
              <w:ind w:right="27"/>
              <w:spacing w:after="0"/>
              <w:rPr>
                <w:sz w:val="20"/>
                <w:szCs w:val="20"/>
                <w:color w:val="auto"/>
              </w:rPr>
            </w:pPr>
            <w:r>
              <w:rPr>
                <w:rFonts w:ascii="Arial" w:cs="Arial" w:eastAsia="Arial" w:hAnsi="Arial"/>
                <w:sz w:val="15"/>
                <w:szCs w:val="15"/>
                <w:color w:val="auto"/>
              </w:rPr>
              <w:t>99,994,000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99,994,000</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Investments at Fair Value</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144,583,406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154,226,423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298,809,829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47"/>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-3176905</wp:posOffset>
            </wp:positionV>
            <wp:extent cx="736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-3176905</wp:posOffset>
            </wp:positionV>
            <wp:extent cx="736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-3479165</wp:posOffset>
            </wp:positionV>
            <wp:extent cx="736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-3479165</wp:posOffset>
            </wp:positionV>
            <wp:extent cx="736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-4090670</wp:posOffset>
            </wp:positionV>
            <wp:extent cx="736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660" cy="7620"/>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-4090670</wp:posOffset>
            </wp:positionV>
            <wp:extent cx="736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660"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08" w:name="page109"/>
    <w:bookmarkEnd w:id="10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Significant Unobservable Inputs for Level 3 Assets and Liabilities</w:t>
      </w:r>
    </w:p>
    <w:p>
      <w:pPr>
        <w:spacing w:after="0" w:line="199" w:lineRule="exact"/>
        <w:rPr>
          <w:sz w:val="20"/>
          <w:szCs w:val="20"/>
          <w:color w:val="auto"/>
        </w:rPr>
      </w:pPr>
    </w:p>
    <w:p>
      <w:pPr>
        <w:jc w:val="both"/>
        <w:ind w:left="7" w:firstLine="302"/>
        <w:spacing w:after="0" w:line="263" w:lineRule="auto"/>
        <w:rPr>
          <w:sz w:val="20"/>
          <w:szCs w:val="20"/>
          <w:color w:val="auto"/>
        </w:rPr>
      </w:pPr>
      <w:r>
        <w:rPr>
          <w:rFonts w:ascii="Arial" w:cs="Arial" w:eastAsia="Arial" w:hAnsi="Arial"/>
          <w:sz w:val="15"/>
          <w:szCs w:val="15"/>
          <w:color w:val="auto"/>
        </w:rPr>
        <w:t>In accordance with FASB ASC 820, the tables below provide quantitative information about the Company’s fair value measurements of its Level 3 assets as of December 31, 2019 and December 31, 2018.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2019 and December 31, 2018. Significant changes in the inputs in isolation would result in a significant change in the fair value measurement, depending on the input and the materiality of the investment.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32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As of December 31, 2019</w:t>
      </w:r>
    </w:p>
    <w:p>
      <w:pPr>
        <w:spacing w:after="0" w:line="56" w:lineRule="exact"/>
        <w:rPr>
          <w:sz w:val="20"/>
          <w:szCs w:val="20"/>
          <w:color w:val="auto"/>
        </w:rPr>
      </w:pPr>
    </w:p>
    <w:tbl>
      <w:tblPr>
        <w:tblLayout w:type="fixed"/>
        <w:tblInd w:w="17" w:type="dxa"/>
        <w:tblCellMar>
          <w:top w:w="0" w:type="dxa"/>
          <w:left w:w="0" w:type="dxa"/>
          <w:bottom w:w="0" w:type="dxa"/>
          <w:right w:w="0" w:type="dxa"/>
        </w:tblCellMar>
      </w:tblPr>
      <w:tr>
        <w:trPr>
          <w:trHeight w:val="143"/>
        </w:trPr>
        <w:tc>
          <w:tcPr>
            <w:tcW w:w="3620" w:type="dxa"/>
            <w:vAlign w:val="bottom"/>
            <w:tcBorders>
              <w:top w:val="single" w:sz="8" w:color="auto"/>
              <w:left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Valuation</w:t>
            </w:r>
          </w:p>
        </w:tc>
        <w:tc>
          <w:tcPr>
            <w:tcW w:w="19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vMerge w:val="restart"/>
          </w:tcPr>
          <w:p>
            <w:pPr>
              <w:jc w:val="center"/>
              <w:ind w:right="604"/>
              <w:spacing w:after="0"/>
              <w:rPr>
                <w:sz w:val="20"/>
                <w:szCs w:val="20"/>
                <w:color w:val="auto"/>
              </w:rPr>
            </w:pPr>
            <w:r>
              <w:rPr>
                <w:rFonts w:ascii="Arial" w:cs="Arial" w:eastAsia="Arial" w:hAnsi="Arial"/>
                <w:sz w:val="12"/>
                <w:szCs w:val="12"/>
                <w:b w:val="1"/>
                <w:bCs w:val="1"/>
                <w:color w:val="auto"/>
                <w:w w:val="92"/>
              </w:rPr>
              <w:t>Range</w:t>
            </w:r>
          </w:p>
        </w:tc>
        <w:tc>
          <w:tcPr>
            <w:tcW w:w="0" w:type="dxa"/>
            <w:vAlign w:val="bottom"/>
          </w:tcPr>
          <w:p>
            <w:pPr>
              <w:spacing w:after="0"/>
              <w:rPr>
                <w:sz w:val="1"/>
                <w:szCs w:val="1"/>
                <w:color w:val="auto"/>
              </w:rPr>
            </w:pPr>
          </w:p>
        </w:tc>
      </w:tr>
      <w:tr>
        <w:trPr>
          <w:trHeight w:val="58"/>
        </w:trPr>
        <w:tc>
          <w:tcPr>
            <w:tcW w:w="362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85"/>
              </w:rPr>
              <w:t>Asset</w:t>
            </w:r>
          </w:p>
        </w:tc>
        <w:tc>
          <w:tcPr>
            <w:tcW w:w="1920" w:type="dxa"/>
            <w:vAlign w:val="bottom"/>
            <w:tcBorders>
              <w:right w:val="single" w:sz="8" w:color="auto"/>
            </w:tcBorders>
            <w:vMerge w:val="restart"/>
          </w:tcPr>
          <w:p>
            <w:pPr>
              <w:ind w:left="660"/>
              <w:spacing w:after="0" w:line="128" w:lineRule="exact"/>
              <w:rPr>
                <w:sz w:val="20"/>
                <w:szCs w:val="20"/>
                <w:color w:val="auto"/>
              </w:rPr>
            </w:pPr>
            <w:r>
              <w:rPr>
                <w:rFonts w:ascii="Arial" w:cs="Arial" w:eastAsia="Arial" w:hAnsi="Arial"/>
                <w:sz w:val="12"/>
                <w:szCs w:val="12"/>
                <w:b w:val="1"/>
                <w:bCs w:val="1"/>
                <w:color w:val="auto"/>
              </w:rPr>
              <w:t>Fair Value</w:t>
            </w:r>
          </w:p>
        </w:tc>
        <w:tc>
          <w:tcPr>
            <w:tcW w:w="19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4"/>
              </w:rPr>
              <w:t>Approach/</w:t>
            </w:r>
          </w:p>
        </w:tc>
        <w:tc>
          <w:tcPr>
            <w:tcW w:w="19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4"/>
              </w:rPr>
              <w:t>Unobservable Inputs</w:t>
            </w:r>
            <w:r>
              <w:rPr>
                <w:rFonts w:ascii="Arial" w:cs="Arial" w:eastAsia="Arial" w:hAnsi="Arial"/>
                <w:sz w:val="7"/>
                <w:szCs w:val="7"/>
                <w:b w:val="1"/>
                <w:bCs w:val="1"/>
                <w:color w:val="auto"/>
                <w:w w:val="94"/>
              </w:rPr>
              <w:t>(2)</w:t>
            </w:r>
          </w:p>
        </w:tc>
        <w:tc>
          <w:tcPr>
            <w:tcW w:w="640" w:type="dxa"/>
            <w:vAlign w:val="bottom"/>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620" w:type="dxa"/>
            <w:vAlign w:val="bottom"/>
            <w:tcBorders>
              <w:left w:val="single" w:sz="8" w:color="auto"/>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4"/>
              </w:rPr>
              <w:t>(Weighted Average)</w:t>
            </w:r>
          </w:p>
        </w:tc>
        <w:tc>
          <w:tcPr>
            <w:tcW w:w="0" w:type="dxa"/>
            <w:vAlign w:val="bottom"/>
          </w:tcPr>
          <w:p>
            <w:pPr>
              <w:spacing w:after="0"/>
              <w:rPr>
                <w:sz w:val="1"/>
                <w:szCs w:val="1"/>
                <w:color w:val="auto"/>
              </w:rPr>
            </w:pPr>
          </w:p>
        </w:tc>
      </w:tr>
      <w:tr>
        <w:trPr>
          <w:trHeight w:val="91"/>
        </w:trPr>
        <w:tc>
          <w:tcPr>
            <w:tcW w:w="362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Technique</w:t>
            </w:r>
            <w:r>
              <w:rPr>
                <w:rFonts w:ascii="Arial" w:cs="Arial" w:eastAsia="Arial" w:hAnsi="Arial"/>
                <w:sz w:val="7"/>
                <w:szCs w:val="7"/>
                <w:b w:val="1"/>
                <w:bCs w:val="1"/>
                <w:color w:val="auto"/>
                <w:w w:val="93"/>
              </w:rPr>
              <w:t>(1)</w:t>
            </w: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620" w:type="dxa"/>
            <w:vAlign w:val="bottom"/>
            <w:tcBorders>
              <w:left w:val="single" w:sz="8" w:color="auto"/>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vMerge w:val="continue"/>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AFFO multiple</w:t>
            </w:r>
          </w:p>
        </w:tc>
        <w:tc>
          <w:tcPr>
            <w:tcW w:w="640" w:type="dxa"/>
            <w:vAlign w:val="bottom"/>
          </w:tcPr>
          <w:p>
            <w:pPr>
              <w:jc w:val="right"/>
              <w:spacing w:after="0"/>
              <w:rPr>
                <w:sz w:val="20"/>
                <w:szCs w:val="20"/>
                <w:color w:val="auto"/>
              </w:rPr>
            </w:pPr>
            <w:r>
              <w:rPr>
                <w:rFonts w:ascii="Arial" w:cs="Arial" w:eastAsia="Arial" w:hAnsi="Arial"/>
                <w:sz w:val="15"/>
                <w:szCs w:val="15"/>
                <w:color w:val="auto"/>
              </w:rPr>
              <w:t>16.67x</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- 37.32 (25.09x)</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Common stock in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$59,209,559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Market approach</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Revenue multiples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1.45x</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- 3.23x (2.86x)</w:t>
            </w:r>
          </w:p>
        </w:tc>
        <w:tc>
          <w:tcPr>
            <w:tcW w:w="0" w:type="dxa"/>
            <w:vAlign w:val="bottom"/>
          </w:tcPr>
          <w:p>
            <w:pPr>
              <w:spacing w:after="0"/>
              <w:rPr>
                <w:sz w:val="1"/>
                <w:szCs w:val="1"/>
                <w:color w:val="auto"/>
              </w:rPr>
            </w:pPr>
          </w:p>
        </w:tc>
      </w:tr>
      <w:tr>
        <w:trPr>
          <w:trHeight w:val="73"/>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private companies</w:t>
            </w: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Liquidation value</w:t>
            </w:r>
          </w:p>
        </w:tc>
        <w:tc>
          <w:tcPr>
            <w:tcW w:w="640" w:type="dxa"/>
            <w:vAlign w:val="bottom"/>
          </w:tcPr>
          <w:p>
            <w:pPr>
              <w:spacing w:after="0"/>
              <w:rPr>
                <w:sz w:val="6"/>
                <w:szCs w:val="6"/>
                <w:color w:val="auto"/>
              </w:rPr>
            </w:pPr>
          </w:p>
        </w:tc>
        <w:tc>
          <w:tcPr>
            <w:tcW w:w="1260" w:type="dxa"/>
            <w:vAlign w:val="bottom"/>
            <w:tcBorders>
              <w:right w:val="single" w:sz="8" w:color="auto"/>
            </w:tcBorders>
            <w:vMerge w:val="restart"/>
          </w:tcPr>
          <w:p>
            <w:pPr>
              <w:jc w:val="center"/>
              <w:ind w:right="60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28"/>
        </w:trPr>
        <w:tc>
          <w:tcPr>
            <w:tcW w:w="362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Discounted cash flow</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Discount rate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w w:val="94"/>
              </w:rPr>
              <w:t>12.0% (12.0%)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Revenue multiples</w:t>
            </w:r>
          </w:p>
        </w:tc>
        <w:tc>
          <w:tcPr>
            <w:tcW w:w="640" w:type="dxa"/>
            <w:vAlign w:val="bottom"/>
          </w:tcPr>
          <w:p>
            <w:pPr>
              <w:jc w:val="right"/>
              <w:spacing w:after="0"/>
              <w:rPr>
                <w:sz w:val="20"/>
                <w:szCs w:val="20"/>
                <w:color w:val="auto"/>
              </w:rPr>
            </w:pPr>
            <w:r>
              <w:rPr>
                <w:rFonts w:ascii="Arial" w:cs="Arial" w:eastAsia="Arial" w:hAnsi="Arial"/>
                <w:sz w:val="15"/>
                <w:szCs w:val="15"/>
                <w:color w:val="auto"/>
              </w:rPr>
              <w:t>1.89x</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- 5.43x (3.77x)</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Market approach</w:t>
            </w: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Precedent</w:t>
            </w:r>
          </w:p>
        </w:tc>
        <w:tc>
          <w:tcPr>
            <w:tcW w:w="640" w:type="dxa"/>
            <w:vAlign w:val="bottom"/>
          </w:tcPr>
          <w:p>
            <w:pPr>
              <w:spacing w:after="0"/>
              <w:rPr>
                <w:sz w:val="16"/>
                <w:szCs w:val="16"/>
                <w:color w:val="auto"/>
              </w:rPr>
            </w:pPr>
          </w:p>
        </w:tc>
        <w:tc>
          <w:tcPr>
            <w:tcW w:w="1260" w:type="dxa"/>
            <w:vAlign w:val="bottom"/>
            <w:tcBorders>
              <w:right w:val="single" w:sz="8" w:color="auto"/>
            </w:tcBorders>
            <w:vMerge w:val="restart"/>
          </w:tcPr>
          <w:p>
            <w:pPr>
              <w:jc w:val="center"/>
              <w:ind w:right="60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03"/>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Preferred stock in</w:t>
            </w:r>
          </w:p>
        </w:tc>
        <w:tc>
          <w:tcPr>
            <w:tcW w:w="19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transactions</w:t>
            </w:r>
          </w:p>
        </w:tc>
        <w:tc>
          <w:tcPr>
            <w:tcW w:w="640" w:type="dxa"/>
            <w:vAlign w:val="bottom"/>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620" w:type="dxa"/>
            <w:vAlign w:val="bottom"/>
            <w:tcBorders>
              <w:left w:val="single" w:sz="8" w:color="auto"/>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$125,448,358</w:t>
            </w:r>
          </w:p>
        </w:tc>
        <w:tc>
          <w:tcPr>
            <w:tcW w:w="19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6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vMerge w:val="continue"/>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private companies</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Discounted cash flow</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Discount rate</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color w:val="auto"/>
                <w:w w:val="94"/>
              </w:rPr>
              <w:t>12.0% (12.0%)</w:t>
            </w:r>
          </w:p>
        </w:tc>
        <w:tc>
          <w:tcPr>
            <w:tcW w:w="0" w:type="dxa"/>
            <w:vAlign w:val="bottom"/>
          </w:tcPr>
          <w:p>
            <w:pPr>
              <w:spacing w:after="0"/>
              <w:rPr>
                <w:sz w:val="1"/>
                <w:szCs w:val="1"/>
                <w:color w:val="auto"/>
              </w:rPr>
            </w:pPr>
          </w:p>
        </w:tc>
      </w:tr>
      <w:tr>
        <w:trPr>
          <w:trHeight w:val="93"/>
        </w:trPr>
        <w:tc>
          <w:tcPr>
            <w:tcW w:w="3620" w:type="dxa"/>
            <w:vAlign w:val="bottom"/>
            <w:tcBorders>
              <w:left w:val="single" w:sz="8" w:color="auto"/>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Revenue multiples</w:t>
            </w:r>
          </w:p>
        </w:tc>
        <w:tc>
          <w:tcPr>
            <w:tcW w:w="640" w:type="dxa"/>
            <w:vAlign w:val="bottom"/>
          </w:tcPr>
          <w:p>
            <w:pPr>
              <w:jc w:val="right"/>
              <w:spacing w:after="0"/>
              <w:rPr>
                <w:sz w:val="20"/>
                <w:szCs w:val="20"/>
                <w:color w:val="auto"/>
              </w:rPr>
            </w:pPr>
            <w:r>
              <w:rPr>
                <w:rFonts w:ascii="Arial" w:cs="Arial" w:eastAsia="Arial" w:hAnsi="Arial"/>
                <w:sz w:val="15"/>
                <w:szCs w:val="15"/>
                <w:color w:val="auto"/>
              </w:rPr>
              <w:t>1.23x</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- 2.05x (1.83x)</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Precedent transactions</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2.97x</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5"/>
                <w:szCs w:val="15"/>
                <w:color w:val="auto"/>
              </w:rPr>
              <w:t>- 3.23x (3.10x)</w:t>
            </w:r>
          </w:p>
        </w:tc>
        <w:tc>
          <w:tcPr>
            <w:tcW w:w="0" w:type="dxa"/>
            <w:vAlign w:val="bottom"/>
          </w:tcPr>
          <w:p>
            <w:pPr>
              <w:spacing w:after="0"/>
              <w:rPr>
                <w:sz w:val="1"/>
                <w:szCs w:val="1"/>
                <w:color w:val="auto"/>
              </w:rPr>
            </w:pPr>
          </w:p>
        </w:tc>
      </w:tr>
      <w:tr>
        <w:trPr>
          <w:trHeight w:val="128"/>
        </w:trPr>
        <w:tc>
          <w:tcPr>
            <w:tcW w:w="362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Market approach</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Revenue multiples</w:t>
            </w:r>
          </w:p>
        </w:tc>
        <w:tc>
          <w:tcPr>
            <w:tcW w:w="640" w:type="dxa"/>
            <w:vAlign w:val="bottom"/>
          </w:tcPr>
          <w:p>
            <w:pPr>
              <w:jc w:val="right"/>
              <w:spacing w:after="0"/>
              <w:rPr>
                <w:sz w:val="20"/>
                <w:szCs w:val="20"/>
                <w:color w:val="auto"/>
              </w:rPr>
            </w:pPr>
            <w:r>
              <w:rPr>
                <w:rFonts w:ascii="Arial" w:cs="Arial" w:eastAsia="Arial" w:hAnsi="Arial"/>
                <w:sz w:val="15"/>
                <w:szCs w:val="15"/>
                <w:color w:val="auto"/>
              </w:rPr>
              <w:t>1.45x</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- 1.57x (1.51x)</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Debt investments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$1,644,155</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PWERM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Revenue multiples</w:t>
            </w:r>
          </w:p>
        </w:tc>
        <w:tc>
          <w:tcPr>
            <w:tcW w:w="640" w:type="dxa"/>
            <w:vAlign w:val="bottom"/>
          </w:tcPr>
          <w:p>
            <w:pPr>
              <w:spacing w:after="0"/>
              <w:rPr>
                <w:sz w:val="17"/>
                <w:szCs w:val="17"/>
                <w:color w:val="auto"/>
              </w:rPr>
            </w:pPr>
          </w:p>
        </w:tc>
        <w:tc>
          <w:tcPr>
            <w:tcW w:w="1260" w:type="dxa"/>
            <w:vAlign w:val="bottom"/>
            <w:tcBorders>
              <w:right w:val="single" w:sz="8" w:color="auto"/>
            </w:tcBorders>
          </w:tcPr>
          <w:p>
            <w:pPr>
              <w:jc w:val="center"/>
              <w:ind w:right="60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Liquidation value</w:t>
            </w:r>
          </w:p>
        </w:tc>
        <w:tc>
          <w:tcPr>
            <w:tcW w:w="640" w:type="dxa"/>
            <w:vAlign w:val="bottom"/>
          </w:tcPr>
          <w:p>
            <w:pPr>
              <w:spacing w:after="0"/>
              <w:rPr>
                <w:sz w:val="6"/>
                <w:szCs w:val="6"/>
                <w:color w:val="auto"/>
              </w:rPr>
            </w:pPr>
          </w:p>
        </w:tc>
        <w:tc>
          <w:tcPr>
            <w:tcW w:w="1260" w:type="dxa"/>
            <w:vAlign w:val="bottom"/>
            <w:tcBorders>
              <w:right w:val="single" w:sz="8" w:color="auto"/>
            </w:tcBorders>
            <w:vMerge w:val="restart"/>
          </w:tcPr>
          <w:p>
            <w:pPr>
              <w:jc w:val="center"/>
              <w:ind w:right="604"/>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28"/>
        </w:trPr>
        <w:tc>
          <w:tcPr>
            <w:tcW w:w="362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Option pricing model</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Term to expiration (Years)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w w:val="95"/>
              </w:rPr>
              <w:t>0.13 - 8.30 (5.35)</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Options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$5,283,506</w:t>
            </w:r>
          </w:p>
        </w:tc>
        <w:tc>
          <w:tcPr>
            <w:tcW w:w="192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5"/>
                <w:szCs w:val="15"/>
                <w:color w:val="auto"/>
                <w:w w:val="94"/>
              </w:rPr>
              <w:t>30.0%-48.0% (36.0%)</w:t>
            </w:r>
          </w:p>
        </w:tc>
        <w:tc>
          <w:tcPr>
            <w:tcW w:w="0" w:type="dxa"/>
            <w:vAlign w:val="bottom"/>
          </w:tcPr>
          <w:p>
            <w:pPr>
              <w:spacing w:after="0"/>
              <w:rPr>
                <w:sz w:val="1"/>
                <w:szCs w:val="1"/>
                <w:color w:val="auto"/>
              </w:rPr>
            </w:pPr>
          </w:p>
        </w:tc>
      </w:tr>
      <w:tr>
        <w:trPr>
          <w:trHeight w:val="128"/>
        </w:trPr>
        <w:tc>
          <w:tcPr>
            <w:tcW w:w="3620" w:type="dxa"/>
            <w:vAlign w:val="bottom"/>
            <w:tcBorders>
              <w:left w:val="single" w:sz="8" w:color="auto"/>
              <w:right w:val="single" w:sz="8" w:color="auto"/>
            </w:tcBorders>
            <w:vMerge w:val="continue"/>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right w:val="single" w:sz="8" w:color="auto"/>
            </w:tcBorders>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2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Discounted cash flow</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Discount Rate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5"/>
                <w:szCs w:val="15"/>
                <w:color w:val="auto"/>
                <w:w w:val="94"/>
              </w:rPr>
              <w:t>12.0% (12.0%)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7"/>
        <w:spacing w:after="0"/>
        <w:rPr>
          <w:sz w:val="20"/>
          <w:szCs w:val="20"/>
          <w:color w:val="auto"/>
        </w:rPr>
      </w:pPr>
      <w:r>
        <w:rPr>
          <w:rFonts w:ascii="Arial" w:cs="Arial" w:eastAsia="Arial" w:hAnsi="Arial"/>
          <w:sz w:val="15"/>
          <w:szCs w:val="15"/>
          <w:color w:val="auto"/>
        </w:rPr>
        <w:t>________________________</w:t>
      </w:r>
    </w:p>
    <w:p>
      <w:pPr>
        <w:spacing w:after="0" w:line="108" w:lineRule="exact"/>
        <w:rPr>
          <w:sz w:val="20"/>
          <w:szCs w:val="20"/>
          <w:color w:val="auto"/>
        </w:rPr>
      </w:pPr>
    </w:p>
    <w:p>
      <w:pPr>
        <w:jc w:val="both"/>
        <w:ind w:left="567" w:hanging="567"/>
        <w:spacing w:after="0" w:line="283" w:lineRule="auto"/>
        <w:tabs>
          <w:tab w:leader="none" w:pos="567" w:val="left"/>
        </w:tabs>
        <w:numPr>
          <w:ilvl w:val="0"/>
          <w:numId w:val="57"/>
        </w:numPr>
        <w:rPr>
          <w:rFonts w:ascii="Arial" w:cs="Arial" w:eastAsia="Arial" w:hAnsi="Arial"/>
          <w:sz w:val="13"/>
          <w:szCs w:val="13"/>
          <w:color w:val="auto"/>
        </w:rPr>
      </w:pPr>
      <w:r>
        <w:rPr>
          <w:rFonts w:ascii="Arial" w:cs="Arial" w:eastAsia="Arial" w:hAnsi="Arial"/>
          <w:sz w:val="13"/>
          <w:szCs w:val="13"/>
          <w:color w:val="auto"/>
        </w:rPr>
        <w:t>As of December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w:t>
      </w:r>
    </w:p>
    <w:p>
      <w:pPr>
        <w:spacing w:after="0" w:line="14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67"/>
          </w:cols>
          <w:pgMar w:left="313" w:top="124" w:right="319" w:bottom="1440" w:gutter="0" w:footer="0" w:header="0"/>
        </w:sectPr>
      </w:pPr>
    </w:p>
    <w:bookmarkStart w:id="109" w:name="page110"/>
    <w:bookmarkEnd w:id="10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296" w:lineRule="exact"/>
        <w:rPr>
          <w:sz w:val="20"/>
          <w:szCs w:val="20"/>
          <w:color w:val="auto"/>
        </w:rPr>
      </w:pPr>
    </w:p>
    <w:p>
      <w:pPr>
        <w:ind w:left="567" w:right="20"/>
        <w:spacing w:after="0" w:line="302" w:lineRule="auto"/>
        <w:rPr>
          <w:sz w:val="20"/>
          <w:szCs w:val="20"/>
          <w:color w:val="auto"/>
        </w:rPr>
      </w:pPr>
      <w:r>
        <w:rPr>
          <w:rFonts w:ascii="Arial" w:cs="Arial" w:eastAsia="Arial" w:hAnsi="Arial"/>
          <w:sz w:val="14"/>
          <w:szCs w:val="14"/>
          <w:color w:val="auto"/>
        </w:rPr>
        <w:t>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48" w:lineRule="exact"/>
        <w:rPr>
          <w:sz w:val="20"/>
          <w:szCs w:val="20"/>
          <w:color w:val="auto"/>
        </w:rPr>
      </w:pPr>
    </w:p>
    <w:p>
      <w:pPr>
        <w:jc w:val="both"/>
        <w:ind w:left="567" w:hanging="567"/>
        <w:spacing w:after="0" w:line="267" w:lineRule="auto"/>
        <w:tabs>
          <w:tab w:leader="none" w:pos="567"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3"/>
          <w:szCs w:val="13"/>
          <w:i w:val="1"/>
          <w:iCs w:val="1"/>
          <w:color w:val="auto"/>
        </w:rPr>
        <w:t>Investments at Fair Value</w:t>
      </w:r>
      <w:r>
        <w:rPr>
          <w:rFonts w:ascii="Arial" w:cs="Arial" w:eastAsia="Arial" w:hAnsi="Arial"/>
          <w:sz w:val="13"/>
          <w:szCs w:val="13"/>
          <w:color w:val="auto"/>
        </w:rPr>
        <w:t>” for more detail.</w:t>
      </w:r>
    </w:p>
    <w:p>
      <w:pPr>
        <w:spacing w:after="0" w:line="20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As of December 31, 2018</w:t>
      </w:r>
    </w:p>
    <w:p>
      <w:pPr>
        <w:spacing w:after="0" w:line="33" w:lineRule="exact"/>
        <w:rPr>
          <w:sz w:val="20"/>
          <w:szCs w:val="20"/>
          <w:color w:val="auto"/>
        </w:rPr>
      </w:pPr>
    </w:p>
    <w:tbl>
      <w:tblPr>
        <w:tblLayout w:type="fixed"/>
        <w:tblInd w:w="17" w:type="dxa"/>
        <w:tblCellMar>
          <w:top w:w="0" w:type="dxa"/>
          <w:left w:w="0" w:type="dxa"/>
          <w:bottom w:w="0" w:type="dxa"/>
          <w:right w:w="0" w:type="dxa"/>
        </w:tblCellMar>
      </w:tblPr>
      <w:tr>
        <w:trPr>
          <w:trHeight w:val="143"/>
        </w:trPr>
        <w:tc>
          <w:tcPr>
            <w:tcW w:w="2840" w:type="dxa"/>
            <w:vAlign w:val="bottom"/>
            <w:tcBorders>
              <w:top w:val="single" w:sz="8" w:color="auto"/>
              <w:left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tcPr>
          <w:p>
            <w:pPr>
              <w:spacing w:after="0"/>
              <w:rPr>
                <w:sz w:val="12"/>
                <w:szCs w:val="12"/>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Valuation</w:t>
            </w:r>
          </w:p>
        </w:tc>
        <w:tc>
          <w:tcPr>
            <w:tcW w:w="2480" w:type="dxa"/>
            <w:vAlign w:val="bottom"/>
            <w:tcBorders>
              <w:top w:val="single" w:sz="8" w:color="auto"/>
              <w:right w:val="single" w:sz="8" w:color="auto"/>
            </w:tcBorders>
          </w:tcPr>
          <w:p>
            <w:pPr>
              <w:spacing w:after="0"/>
              <w:rPr>
                <w:sz w:val="12"/>
                <w:szCs w:val="12"/>
                <w:color w:val="auto"/>
              </w:rPr>
            </w:pPr>
          </w:p>
        </w:tc>
        <w:tc>
          <w:tcPr>
            <w:tcW w:w="2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0" w:type="dxa"/>
            <w:vAlign w:val="bottom"/>
          </w:tcPr>
          <w:p>
            <w:pPr>
              <w:spacing w:after="0"/>
              <w:rPr>
                <w:sz w:val="1"/>
                <w:szCs w:val="1"/>
                <w:color w:val="auto"/>
              </w:rPr>
            </w:pPr>
          </w:p>
        </w:tc>
      </w:tr>
      <w:tr>
        <w:trPr>
          <w:trHeight w:val="58"/>
        </w:trPr>
        <w:tc>
          <w:tcPr>
            <w:tcW w:w="2840" w:type="dxa"/>
            <w:vAlign w:val="bottom"/>
            <w:tcBorders>
              <w:left w:val="single" w:sz="8" w:color="auto"/>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1"/>
              </w:rPr>
              <w:t>Asset</w:t>
            </w:r>
          </w:p>
        </w:tc>
        <w:tc>
          <w:tcPr>
            <w:tcW w:w="1800" w:type="dxa"/>
            <w:vAlign w:val="bottom"/>
            <w:tcBorders>
              <w:right w:val="single" w:sz="8" w:color="auto"/>
            </w:tcBorders>
            <w:vMerge w:val="restart"/>
          </w:tcPr>
          <w:p>
            <w:pPr>
              <w:ind w:left="600"/>
              <w:spacing w:after="0" w:line="128" w:lineRule="exact"/>
              <w:rPr>
                <w:sz w:val="20"/>
                <w:szCs w:val="20"/>
                <w:color w:val="auto"/>
              </w:rPr>
            </w:pPr>
            <w:r>
              <w:rPr>
                <w:rFonts w:ascii="Arial" w:cs="Arial" w:eastAsia="Arial" w:hAnsi="Arial"/>
                <w:sz w:val="12"/>
                <w:szCs w:val="12"/>
                <w:b w:val="1"/>
                <w:bCs w:val="1"/>
                <w:color w:val="auto"/>
              </w:rPr>
              <w:t>Fair Value</w:t>
            </w:r>
          </w:p>
        </w:tc>
        <w:tc>
          <w:tcPr>
            <w:tcW w:w="202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4"/>
              </w:rPr>
              <w:t>Approach/</w:t>
            </w:r>
          </w:p>
        </w:tc>
        <w:tc>
          <w:tcPr>
            <w:tcW w:w="2480" w:type="dxa"/>
            <w:vAlign w:val="bottom"/>
            <w:tcBorders>
              <w:right w:val="single" w:sz="8" w:color="auto"/>
            </w:tcBorders>
            <w:vMerge w:val="restart"/>
          </w:tcPr>
          <w:p>
            <w:pPr>
              <w:jc w:val="center"/>
              <w:spacing w:after="0" w:line="128" w:lineRule="exact"/>
              <w:rPr>
                <w:sz w:val="20"/>
                <w:szCs w:val="20"/>
                <w:color w:val="auto"/>
              </w:rPr>
            </w:pPr>
            <w:r>
              <w:rPr>
                <w:rFonts w:ascii="Arial" w:cs="Arial" w:eastAsia="Arial" w:hAnsi="Arial"/>
                <w:sz w:val="12"/>
                <w:szCs w:val="12"/>
                <w:b w:val="1"/>
                <w:bCs w:val="1"/>
                <w:color w:val="auto"/>
                <w:w w:val="92"/>
              </w:rPr>
              <w:t>Unobservable Inputs</w:t>
            </w:r>
            <w:r>
              <w:rPr>
                <w:rFonts w:ascii="Arial" w:cs="Arial" w:eastAsia="Arial" w:hAnsi="Arial"/>
                <w:sz w:val="7"/>
                <w:szCs w:val="7"/>
                <w:b w:val="1"/>
                <w:bCs w:val="1"/>
                <w:color w:val="auto"/>
                <w:w w:val="92"/>
              </w:rPr>
              <w:t>(2)</w:t>
            </w:r>
          </w:p>
        </w:tc>
        <w:tc>
          <w:tcPr>
            <w:tcW w:w="2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84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vMerge w:val="continue"/>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(Weighted Average)</w:t>
            </w:r>
          </w:p>
        </w:tc>
        <w:tc>
          <w:tcPr>
            <w:tcW w:w="0" w:type="dxa"/>
            <w:vAlign w:val="bottom"/>
          </w:tcPr>
          <w:p>
            <w:pPr>
              <w:spacing w:after="0"/>
              <w:rPr>
                <w:sz w:val="1"/>
                <w:szCs w:val="1"/>
                <w:color w:val="auto"/>
              </w:rPr>
            </w:pPr>
          </w:p>
        </w:tc>
      </w:tr>
      <w:tr>
        <w:trPr>
          <w:trHeight w:val="91"/>
        </w:trPr>
        <w:tc>
          <w:tcPr>
            <w:tcW w:w="2840" w:type="dxa"/>
            <w:vAlign w:val="bottom"/>
            <w:tcBorders>
              <w:left w:val="single" w:sz="8" w:color="auto"/>
              <w:right w:val="single" w:sz="8" w:color="auto"/>
            </w:tcBorders>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Technique</w:t>
            </w:r>
            <w:r>
              <w:rPr>
                <w:rFonts w:ascii="Arial" w:cs="Arial" w:eastAsia="Arial" w:hAnsi="Arial"/>
                <w:sz w:val="7"/>
                <w:szCs w:val="7"/>
                <w:b w:val="1"/>
                <w:bCs w:val="1"/>
                <w:color w:val="auto"/>
                <w:w w:val="93"/>
              </w:rPr>
              <w:t>(1)</w:t>
            </w:r>
          </w:p>
        </w:tc>
        <w:tc>
          <w:tcPr>
            <w:tcW w:w="248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40" w:type="dxa"/>
            <w:vAlign w:val="bottom"/>
            <w:tcBorders>
              <w:left w:val="single" w:sz="8" w:color="auto"/>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vMerge w:val="continue"/>
          </w:tcPr>
          <w:p>
            <w:pPr>
              <w:spacing w:after="0"/>
              <w:rPr>
                <w:sz w:val="6"/>
                <w:szCs w:val="6"/>
                <w:color w:val="auto"/>
              </w:rPr>
            </w:pPr>
          </w:p>
        </w:tc>
        <w:tc>
          <w:tcPr>
            <w:tcW w:w="24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Revenue multiples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1.26x - 4.95x</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Market approach</w:t>
            </w: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(4.04x)</w:t>
            </w:r>
          </w:p>
        </w:tc>
        <w:tc>
          <w:tcPr>
            <w:tcW w:w="0" w:type="dxa"/>
            <w:vAlign w:val="bottom"/>
          </w:tcPr>
          <w:p>
            <w:pPr>
              <w:spacing w:after="0"/>
              <w:rPr>
                <w:sz w:val="1"/>
                <w:szCs w:val="1"/>
                <w:color w:val="auto"/>
              </w:rPr>
            </w:pPr>
          </w:p>
        </w:tc>
      </w:tr>
      <w:tr>
        <w:trPr>
          <w:trHeight w:val="116"/>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Common stock in</w:t>
            </w:r>
          </w:p>
        </w:tc>
        <w:tc>
          <w:tcPr>
            <w:tcW w:w="18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4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$48,517,824</w:t>
            </w: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Liquidation value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private companies</w:t>
            </w:r>
          </w:p>
        </w:tc>
        <w:tc>
          <w:tcPr>
            <w:tcW w:w="180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right w:val="single" w:sz="8" w:color="auto"/>
            </w:tcBorders>
            <w:vMerge w:val="continue"/>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840" w:type="dxa"/>
            <w:vAlign w:val="bottom"/>
            <w:tcBorders>
              <w:left w:val="single" w:sz="8" w:color="auto"/>
              <w:right w:val="single" w:sz="8" w:color="auto"/>
            </w:tcBorders>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Discounted</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Discount rate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12.0% (12.0)%</w:t>
            </w:r>
          </w:p>
        </w:tc>
        <w:tc>
          <w:tcPr>
            <w:tcW w:w="0" w:type="dxa"/>
            <w:vAlign w:val="bottom"/>
          </w:tcPr>
          <w:p>
            <w:pPr>
              <w:spacing w:after="0"/>
              <w:rPr>
                <w:sz w:val="1"/>
                <w:szCs w:val="1"/>
                <w:color w:val="auto"/>
              </w:rPr>
            </w:pPr>
          </w:p>
        </w:tc>
      </w:tr>
      <w:tr>
        <w:trPr>
          <w:trHeight w:val="140"/>
        </w:trPr>
        <w:tc>
          <w:tcPr>
            <w:tcW w:w="284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vMerge w:val="continue"/>
          </w:tcPr>
          <w:p>
            <w:pPr>
              <w:spacing w:after="0"/>
              <w:rPr>
                <w:sz w:val="12"/>
                <w:szCs w:val="12"/>
                <w:color w:val="auto"/>
              </w:rPr>
            </w:pPr>
          </w:p>
        </w:tc>
        <w:tc>
          <w:tcPr>
            <w:tcW w:w="2480" w:type="dxa"/>
            <w:vAlign w:val="bottom"/>
            <w:tcBorders>
              <w:right w:val="single" w:sz="8" w:color="auto"/>
            </w:tcBorders>
            <w:vMerge w:val="continue"/>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8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restart"/>
          </w:tcPr>
          <w:p>
            <w:pPr>
              <w:jc w:val="center"/>
              <w:spacing w:after="0" w:line="221" w:lineRule="exact"/>
              <w:rPr>
                <w:sz w:val="20"/>
                <w:szCs w:val="20"/>
                <w:color w:val="auto"/>
              </w:rPr>
            </w:pPr>
            <w:r>
              <w:rPr>
                <w:rFonts w:ascii="Arial" w:cs="Arial" w:eastAsia="Arial" w:hAnsi="Arial"/>
                <w:sz w:val="15"/>
                <w:szCs w:val="15"/>
                <w:color w:val="auto"/>
                <w:w w:val="90"/>
              </w:rPr>
              <w:t>Cash Flow</w:t>
            </w:r>
            <w:r>
              <w:rPr>
                <w:rFonts w:ascii="Arial" w:cs="Arial" w:eastAsia="Arial" w:hAnsi="Arial"/>
                <w:sz w:val="21"/>
                <w:szCs w:val="21"/>
                <w:color w:val="auto"/>
                <w:w w:val="90"/>
                <w:vertAlign w:val="superscript"/>
              </w:rPr>
              <w:t>(2)</w:t>
            </w:r>
          </w:p>
        </w:tc>
        <w:tc>
          <w:tcPr>
            <w:tcW w:w="248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Precedent transactions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2.60x - 3.07x</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(2.69x)</w:t>
            </w:r>
          </w:p>
        </w:tc>
        <w:tc>
          <w:tcPr>
            <w:tcW w:w="0" w:type="dxa"/>
            <w:vAlign w:val="bottom"/>
          </w:tcPr>
          <w:p>
            <w:pPr>
              <w:spacing w:after="0"/>
              <w:rPr>
                <w:sz w:val="1"/>
                <w:szCs w:val="1"/>
                <w:color w:val="auto"/>
              </w:rPr>
            </w:pPr>
          </w:p>
        </w:tc>
      </w:tr>
      <w:tr>
        <w:trPr>
          <w:trHeight w:val="9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Market approach</w:t>
            </w:r>
          </w:p>
        </w:tc>
        <w:tc>
          <w:tcPr>
            <w:tcW w:w="24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right w:val="single" w:sz="8" w:color="auto"/>
            </w:tcBorders>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20" w:type="dxa"/>
            <w:vAlign w:val="bottom"/>
            <w:tcBorders>
              <w:right w:val="single" w:sz="8" w:color="auto"/>
            </w:tcBorders>
            <w:vMerge w:val="continue"/>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2840" w:type="dxa"/>
            <w:vAlign w:val="bottom"/>
            <w:tcBorders>
              <w:left w:val="single" w:sz="8" w:color="auto"/>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Revenue multiples</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2.20x - 4.15x</w:t>
            </w:r>
          </w:p>
        </w:tc>
        <w:tc>
          <w:tcPr>
            <w:tcW w:w="0" w:type="dxa"/>
            <w:vAlign w:val="bottom"/>
          </w:tcPr>
          <w:p>
            <w:pPr>
              <w:spacing w:after="0"/>
              <w:rPr>
                <w:sz w:val="1"/>
                <w:szCs w:val="1"/>
                <w:color w:val="auto"/>
              </w:rPr>
            </w:pPr>
          </w:p>
        </w:tc>
      </w:tr>
      <w:tr>
        <w:trPr>
          <w:trHeight w:val="118"/>
        </w:trPr>
        <w:tc>
          <w:tcPr>
            <w:tcW w:w="28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(3.39x)</w:t>
            </w:r>
          </w:p>
        </w:tc>
        <w:tc>
          <w:tcPr>
            <w:tcW w:w="0" w:type="dxa"/>
            <w:vAlign w:val="bottom"/>
          </w:tcPr>
          <w:p>
            <w:pPr>
              <w:spacing w:after="0"/>
              <w:rPr>
                <w:sz w:val="1"/>
                <w:szCs w:val="1"/>
                <w:color w:val="auto"/>
              </w:rPr>
            </w:pPr>
          </w:p>
        </w:tc>
      </w:tr>
      <w:tr>
        <w:trPr>
          <w:trHeight w:val="93"/>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Preferred stock in</w:t>
            </w: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right w:val="single" w:sz="8" w:color="auto"/>
            </w:tcBorders>
            <w:vMerge w:val="continue"/>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84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$99,856,159</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Discounted</w:t>
            </w:r>
          </w:p>
        </w:tc>
        <w:tc>
          <w:tcPr>
            <w:tcW w:w="24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private companies</w:t>
            </w:r>
          </w:p>
        </w:tc>
        <w:tc>
          <w:tcPr>
            <w:tcW w:w="180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vMerge w:val="continue"/>
          </w:tcPr>
          <w:p>
            <w:pPr>
              <w:spacing w:after="0"/>
              <w:rPr>
                <w:sz w:val="7"/>
                <w:szCs w:val="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Discount rate</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4"/>
              </w:rPr>
              <w:t>12.0% (12.0)%</w:t>
            </w:r>
          </w:p>
        </w:tc>
        <w:tc>
          <w:tcPr>
            <w:tcW w:w="0" w:type="dxa"/>
            <w:vAlign w:val="bottom"/>
          </w:tcPr>
          <w:p>
            <w:pPr>
              <w:spacing w:after="0"/>
              <w:rPr>
                <w:sz w:val="1"/>
                <w:szCs w:val="1"/>
                <w:color w:val="auto"/>
              </w:rPr>
            </w:pPr>
          </w:p>
        </w:tc>
      </w:tr>
      <w:tr>
        <w:trPr>
          <w:trHeight w:val="104"/>
        </w:trPr>
        <w:tc>
          <w:tcPr>
            <w:tcW w:w="28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restart"/>
          </w:tcPr>
          <w:p>
            <w:pPr>
              <w:jc w:val="center"/>
              <w:spacing w:after="0" w:line="221" w:lineRule="exact"/>
              <w:rPr>
                <w:sz w:val="20"/>
                <w:szCs w:val="20"/>
                <w:color w:val="auto"/>
              </w:rPr>
            </w:pPr>
            <w:r>
              <w:rPr>
                <w:rFonts w:ascii="Arial" w:cs="Arial" w:eastAsia="Arial" w:hAnsi="Arial"/>
                <w:sz w:val="15"/>
                <w:szCs w:val="15"/>
                <w:color w:val="auto"/>
                <w:w w:val="90"/>
              </w:rPr>
              <w:t>Cash Flow</w:t>
            </w:r>
            <w:r>
              <w:rPr>
                <w:rFonts w:ascii="Arial" w:cs="Arial" w:eastAsia="Arial" w:hAnsi="Arial"/>
                <w:sz w:val="21"/>
                <w:szCs w:val="21"/>
                <w:color w:val="auto"/>
                <w:w w:val="90"/>
                <w:vertAlign w:val="superscript"/>
              </w:rPr>
              <w:t>(2)</w:t>
            </w:r>
          </w:p>
        </w:tc>
        <w:tc>
          <w:tcPr>
            <w:tcW w:w="248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Revenue multiples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1.09x - 5.40x</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PWERM</w:t>
            </w: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(3.18x)</w:t>
            </w:r>
          </w:p>
        </w:tc>
        <w:tc>
          <w:tcPr>
            <w:tcW w:w="0" w:type="dxa"/>
            <w:vAlign w:val="bottom"/>
          </w:tcPr>
          <w:p>
            <w:pPr>
              <w:spacing w:after="0"/>
              <w:rPr>
                <w:sz w:val="1"/>
                <w:szCs w:val="1"/>
                <w:color w:val="auto"/>
              </w:rPr>
            </w:pPr>
          </w:p>
        </w:tc>
      </w:tr>
      <w:tr>
        <w:trPr>
          <w:trHeight w:val="116"/>
        </w:trPr>
        <w:tc>
          <w:tcPr>
            <w:tcW w:w="28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8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Liquidation value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Market approach</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Revenue multiples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1.26x - 2.40x</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(2.30x)</w:t>
            </w:r>
          </w:p>
        </w:tc>
        <w:tc>
          <w:tcPr>
            <w:tcW w:w="0" w:type="dxa"/>
            <w:vAlign w:val="bottom"/>
          </w:tcPr>
          <w:p>
            <w:pPr>
              <w:spacing w:after="0"/>
              <w:rPr>
                <w:sz w:val="1"/>
                <w:szCs w:val="1"/>
                <w:color w:val="auto"/>
              </w:rPr>
            </w:pPr>
          </w:p>
        </w:tc>
      </w:tr>
      <w:tr>
        <w:trPr>
          <w:trHeight w:val="9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right w:val="single" w:sz="8" w:color="auto"/>
            </w:tcBorders>
          </w:tcPr>
          <w:p>
            <w:pPr>
              <w:spacing w:after="0"/>
              <w:rPr>
                <w:sz w:val="2"/>
                <w:szCs w:val="2"/>
                <w:color w:val="auto"/>
              </w:rPr>
            </w:pPr>
          </w:p>
        </w:tc>
        <w:tc>
          <w:tcPr>
            <w:tcW w:w="1800" w:type="dxa"/>
            <w:vAlign w:val="bottom"/>
            <w:tcBorders>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Debt investments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$5,584,994</w:t>
            </w:r>
          </w:p>
        </w:tc>
        <w:tc>
          <w:tcPr>
            <w:tcW w:w="20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Revenue multiples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1.31x - 5.40x</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7"/>
              </w:rPr>
              <w:t>PWERM</w:t>
            </w: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8"/>
              </w:rPr>
              <w:t>(1.91x)</w:t>
            </w:r>
          </w:p>
        </w:tc>
        <w:tc>
          <w:tcPr>
            <w:tcW w:w="0" w:type="dxa"/>
            <w:vAlign w:val="bottom"/>
          </w:tcPr>
          <w:p>
            <w:pPr>
              <w:spacing w:after="0"/>
              <w:rPr>
                <w:sz w:val="1"/>
                <w:szCs w:val="1"/>
                <w:color w:val="auto"/>
              </w:rPr>
            </w:pPr>
          </w:p>
        </w:tc>
      </w:tr>
      <w:tr>
        <w:trPr>
          <w:trHeight w:val="116"/>
        </w:trPr>
        <w:tc>
          <w:tcPr>
            <w:tcW w:w="28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8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Liquidation value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4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Term to expiration (Years)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1.1-9.3 (2.6)</w:t>
            </w:r>
          </w:p>
        </w:tc>
        <w:tc>
          <w:tcPr>
            <w:tcW w:w="0" w:type="dxa"/>
            <w:vAlign w:val="bottom"/>
          </w:tcPr>
          <w:p>
            <w:pPr>
              <w:spacing w:after="0"/>
              <w:rPr>
                <w:sz w:val="1"/>
                <w:szCs w:val="1"/>
                <w:color w:val="auto"/>
              </w:rPr>
            </w:pPr>
          </w:p>
        </w:tc>
      </w:tr>
      <w:tr>
        <w:trPr>
          <w:trHeight w:val="24"/>
        </w:trPr>
        <w:tc>
          <w:tcPr>
            <w:tcW w:w="2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6"/>
              </w:rPr>
              <w:t>Options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$267,446</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Option pricing model</w:t>
            </w: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Volatility</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28.1%-37.1%</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(29.0%)</w:t>
            </w:r>
          </w:p>
        </w:tc>
        <w:tc>
          <w:tcPr>
            <w:tcW w:w="0" w:type="dxa"/>
            <w:vAlign w:val="bottom"/>
          </w:tcPr>
          <w:p>
            <w:pPr>
              <w:spacing w:after="0"/>
              <w:rPr>
                <w:sz w:val="1"/>
                <w:szCs w:val="1"/>
                <w:color w:val="auto"/>
              </w:rPr>
            </w:pPr>
          </w:p>
        </w:tc>
      </w:tr>
      <w:tr>
        <w:trPr>
          <w:trHeight w:val="93"/>
        </w:trPr>
        <w:tc>
          <w:tcPr>
            <w:tcW w:w="28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Pr>
          <w:p>
            <w:pPr>
              <w:jc w:val="right"/>
              <w:ind w:right="925"/>
              <w:spacing w:after="0"/>
              <w:rPr>
                <w:sz w:val="20"/>
                <w:szCs w:val="20"/>
                <w:color w:val="auto"/>
              </w:rPr>
            </w:pPr>
            <w:r>
              <w:rPr>
                <w:rFonts w:ascii="Arial" w:cs="Arial" w:eastAsia="Arial" w:hAnsi="Arial"/>
                <w:sz w:val="15"/>
                <w:szCs w:val="15"/>
                <w:color w:val="auto"/>
                <w:w w:val="90"/>
              </w:rPr>
              <w:t>________________________</w:t>
            </w:r>
          </w:p>
        </w:tc>
        <w:tc>
          <w:tcPr>
            <w:tcW w:w="1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567" w:hanging="567"/>
        <w:spacing w:after="0" w:line="250" w:lineRule="auto"/>
        <w:tabs>
          <w:tab w:leader="none" w:pos="567"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 of December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67"/>
          </w:cols>
          <w:pgMar w:left="313" w:top="124" w:right="319" w:bottom="1440" w:gutter="0" w:footer="0" w:header="0"/>
        </w:sectPr>
      </w:pPr>
    </w:p>
    <w:bookmarkStart w:id="110" w:name="page111"/>
    <w:bookmarkEnd w:id="11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284" w:lineRule="exact"/>
        <w:rPr>
          <w:sz w:val="20"/>
          <w:szCs w:val="20"/>
          <w:color w:val="auto"/>
        </w:rPr>
      </w:pPr>
    </w:p>
    <w:p>
      <w:pPr>
        <w:jc w:val="both"/>
        <w:ind w:left="567" w:hanging="567"/>
        <w:spacing w:after="0" w:line="267" w:lineRule="auto"/>
        <w:tabs>
          <w:tab w:leader="none" w:pos="567"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3"/>
          <w:szCs w:val="13"/>
          <w:i w:val="1"/>
          <w:iCs w:val="1"/>
          <w:color w:val="auto"/>
        </w:rPr>
        <w:t>Investments at Fair Value</w:t>
      </w:r>
      <w:r>
        <w:rPr>
          <w:rFonts w:ascii="Arial" w:cs="Arial" w:eastAsia="Arial" w:hAnsi="Arial"/>
          <w:sz w:val="13"/>
          <w:szCs w:val="13"/>
          <w:color w:val="auto"/>
        </w:rPr>
        <w:t>” for more detail.</w:t>
      </w:r>
    </w:p>
    <w:p>
      <w:pPr>
        <w:spacing w:after="0" w:line="84" w:lineRule="exact"/>
        <w:rPr>
          <w:sz w:val="20"/>
          <w:szCs w:val="20"/>
          <w:color w:val="auto"/>
        </w:rPr>
      </w:pPr>
    </w:p>
    <w:p>
      <w:pPr>
        <w:ind w:left="307"/>
        <w:spacing w:after="0"/>
        <w:rPr>
          <w:sz w:val="20"/>
          <w:szCs w:val="20"/>
          <w:color w:val="auto"/>
        </w:rPr>
      </w:pPr>
      <w:r>
        <w:rPr>
          <w:rFonts w:ascii="Arial" w:cs="Arial" w:eastAsia="Arial" w:hAnsi="Arial"/>
          <w:sz w:val="15"/>
          <w:szCs w:val="15"/>
          <w:color w:val="auto"/>
        </w:rPr>
        <w:t>The aggregate values of Level 3 assets and liabilities changed during the year ended December 31, 2019 as follows:</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4"/>
              </w:rPr>
              <w:t>Year Ended December 31, 2019</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92"/>
              </w:rPr>
              <w:t>Common</w:t>
            </w:r>
          </w:p>
        </w:tc>
        <w:tc>
          <w:tcPr>
            <w:tcW w:w="280" w:type="dxa"/>
            <w:vAlign w:val="bottom"/>
          </w:tcPr>
          <w:p>
            <w:pPr>
              <w:spacing w:after="0"/>
              <w:rPr>
                <w:sz w:val="11"/>
                <w:szCs w:val="11"/>
                <w:color w:val="auto"/>
              </w:rPr>
            </w:pPr>
          </w:p>
        </w:tc>
        <w:tc>
          <w:tcPr>
            <w:tcW w:w="1200" w:type="dxa"/>
            <w:vAlign w:val="bottom"/>
          </w:tcPr>
          <w:p>
            <w:pPr>
              <w:jc w:val="right"/>
              <w:ind w:right="405"/>
              <w:spacing w:after="0" w:line="128" w:lineRule="exact"/>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7"/>
              </w:rPr>
              <w:t>Debt</w:t>
            </w:r>
          </w:p>
        </w:tc>
        <w:tc>
          <w:tcPr>
            <w:tcW w:w="300" w:type="dxa"/>
            <w:vAlign w:val="bottom"/>
          </w:tcPr>
          <w:p>
            <w:pPr>
              <w:spacing w:after="0"/>
              <w:rPr>
                <w:sz w:val="11"/>
                <w:szCs w:val="11"/>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Options</w:t>
            </w:r>
          </w:p>
        </w:tc>
        <w:tc>
          <w:tcPr>
            <w:tcW w:w="320" w:type="dxa"/>
            <w:vAlign w:val="bottom"/>
          </w:tcPr>
          <w:p>
            <w:pPr>
              <w:spacing w:after="0"/>
              <w:rPr>
                <w:sz w:val="11"/>
                <w:szCs w:val="11"/>
                <w:color w:val="auto"/>
              </w:rPr>
            </w:pPr>
          </w:p>
        </w:tc>
        <w:tc>
          <w:tcPr>
            <w:tcW w:w="1120" w:type="dxa"/>
            <w:vAlign w:val="bottom"/>
            <w:vMerge w:val="restart"/>
          </w:tcPr>
          <w:p>
            <w:pPr>
              <w:jc w:val="right"/>
              <w:ind w:right="50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Stock</w:t>
            </w:r>
          </w:p>
        </w:tc>
        <w:tc>
          <w:tcPr>
            <w:tcW w:w="280" w:type="dxa"/>
            <w:vAlign w:val="bottom"/>
          </w:tcPr>
          <w:p>
            <w:pPr>
              <w:spacing w:after="0"/>
              <w:rPr>
                <w:sz w:val="14"/>
                <w:szCs w:val="14"/>
                <w:color w:val="auto"/>
              </w:rPr>
            </w:pPr>
          </w:p>
        </w:tc>
        <w:tc>
          <w:tcPr>
            <w:tcW w:w="1200" w:type="dxa"/>
            <w:vAlign w:val="bottom"/>
          </w:tcPr>
          <w:p>
            <w:pPr>
              <w:jc w:val="right"/>
              <w:ind w:right="525"/>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Investments</w:t>
            </w: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Fair Value as of December 31, 2018</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48,517,824</w:t>
            </w:r>
          </w:p>
        </w:tc>
        <w:tc>
          <w:tcPr>
            <w:tcW w:w="12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99,856,159</w:t>
            </w:r>
          </w:p>
        </w:tc>
        <w:tc>
          <w:tcPr>
            <w:tcW w:w="36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5,584,994</w:t>
            </w:r>
          </w:p>
        </w:tc>
        <w:tc>
          <w:tcPr>
            <w:tcW w:w="12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267,446</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154,226,423</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Transfers out of Level 3</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(21,947,688)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(21,947,688)</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Purchases, capitalized fees and interest</w:t>
            </w:r>
          </w:p>
        </w:tc>
        <w:tc>
          <w:tcPr>
            <w:tcW w:w="300" w:type="dxa"/>
            <w:vAlign w:val="bottom"/>
          </w:tcPr>
          <w:p>
            <w:pPr>
              <w:spacing w:after="0"/>
              <w:rPr>
                <w:sz w:val="18"/>
                <w:szCs w:val="18"/>
                <w:color w:val="auto"/>
              </w:rPr>
            </w:pP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15,001,530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10,576,421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359,095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16,618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25,953,664</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Sales/Maturity of investments</w:t>
            </w:r>
          </w:p>
        </w:tc>
        <w:tc>
          <w:tcPr>
            <w:tcW w:w="3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(51,511)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(51,511)</w:t>
            </w:r>
          </w:p>
        </w:tc>
        <w:tc>
          <w:tcPr>
            <w:tcW w:w="0" w:type="dxa"/>
            <w:vAlign w:val="bottom"/>
          </w:tcPr>
          <w:p>
            <w:pPr>
              <w:spacing w:after="0"/>
              <w:rPr>
                <w:sz w:val="1"/>
                <w:szCs w:val="1"/>
                <w:color w:val="auto"/>
              </w:rPr>
            </w:pPr>
          </w:p>
        </w:tc>
      </w:tr>
      <w:tr>
        <w:trPr>
          <w:trHeight w:val="232"/>
        </w:trPr>
        <w:tc>
          <w:tcPr>
            <w:tcW w:w="3480" w:type="dxa"/>
            <w:vAlign w:val="bottom"/>
          </w:tcPr>
          <w:p>
            <w:pPr>
              <w:ind w:left="20"/>
              <w:spacing w:after="0" w:line="232" w:lineRule="exact"/>
              <w:rPr>
                <w:sz w:val="20"/>
                <w:szCs w:val="20"/>
                <w:color w:val="auto"/>
              </w:rPr>
            </w:pPr>
            <w:r>
              <w:rPr>
                <w:rFonts w:ascii="Arial" w:cs="Arial" w:eastAsia="Arial" w:hAnsi="Arial"/>
                <w:sz w:val="15"/>
                <w:szCs w:val="15"/>
                <w:color w:val="auto"/>
              </w:rPr>
              <w:t>Exercises and conversions</w:t>
            </w:r>
            <w:r>
              <w:rPr>
                <w:rFonts w:ascii="Arial" w:cs="Arial" w:eastAsia="Arial" w:hAnsi="Arial"/>
                <w:sz w:val="21"/>
                <w:szCs w:val="21"/>
                <w:color w:val="auto"/>
                <w:vertAlign w:val="superscript"/>
              </w:rPr>
              <w:t>(1)</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(6,435,123)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(2,102,384)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8,538,507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fixed income security premiums and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discounts</w:t>
            </w: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5,065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5,065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Realized losses</w:t>
            </w: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(16,002,159)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(2,527,865)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(18,530,024)</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Net change in unrealized appreciation/(depreciation)</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included in earnings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(4,308,795)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59,400,748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376,761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(3,539,065)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51,929,649</w:t>
            </w:r>
          </w:p>
        </w:tc>
        <w:tc>
          <w:tcPr>
            <w:tcW w:w="0" w:type="dxa"/>
            <w:vAlign w:val="bottom"/>
          </w:tcPr>
          <w:p>
            <w:pPr>
              <w:spacing w:after="0"/>
              <w:rPr>
                <w:sz w:val="1"/>
                <w:szCs w:val="1"/>
                <w:color w:val="auto"/>
              </w:rPr>
            </w:pPr>
          </w:p>
        </w:tc>
      </w:tr>
      <w:tr>
        <w:trPr>
          <w:trHeight w:val="258"/>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as of December 31, 2019</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59,209,559</w:t>
            </w:r>
          </w:p>
        </w:tc>
        <w:tc>
          <w:tcPr>
            <w:tcW w:w="1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125,448,358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1,644,155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5,283,506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191,585,578</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7"/>
              </w:rPr>
              <w:t>Net change in unrealized appreciation/ (depreciation)</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of Level 3 investments still held as of December 31,</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(4,309,794)</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38,560,931</w:t>
            </w:r>
          </w:p>
        </w:tc>
        <w:tc>
          <w:tcPr>
            <w:tcW w:w="360" w:type="dxa"/>
            <w:vAlign w:val="bottom"/>
            <w:gridSpan w:val="2"/>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(907,009)</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(3,539,066)</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29,805,062</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2019</w:t>
            </w:r>
          </w:p>
        </w:tc>
        <w:tc>
          <w:tcPr>
            <w:tcW w:w="30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
        <w:spacing w:after="0"/>
        <w:rPr>
          <w:sz w:val="20"/>
          <w:szCs w:val="20"/>
          <w:color w:val="auto"/>
        </w:rPr>
      </w:pPr>
      <w:r>
        <w:rPr>
          <w:rFonts w:ascii="Arial" w:cs="Arial" w:eastAsia="Arial" w:hAnsi="Arial"/>
          <w:sz w:val="15"/>
          <w:szCs w:val="15"/>
          <w:color w:val="auto"/>
        </w:rPr>
        <w:t>________________________</w:t>
      </w:r>
    </w:p>
    <w:p>
      <w:pPr>
        <w:spacing w:after="0" w:line="109" w:lineRule="exact"/>
        <w:rPr>
          <w:sz w:val="20"/>
          <w:szCs w:val="20"/>
          <w:color w:val="auto"/>
        </w:rPr>
      </w:pPr>
    </w:p>
    <w:p>
      <w:pPr>
        <w:ind w:left="567" w:hanging="567"/>
        <w:spacing w:after="0"/>
        <w:tabs>
          <w:tab w:leader="none" w:pos="567" w:val="left"/>
        </w:tabs>
        <w:numPr>
          <w:ilvl w:val="0"/>
          <w:numId w:val="61"/>
        </w:numPr>
        <w:rPr>
          <w:rFonts w:ascii="Arial" w:cs="Arial" w:eastAsia="Arial" w:hAnsi="Arial"/>
          <w:sz w:val="14"/>
          <w:szCs w:val="14"/>
          <w:color w:val="auto"/>
        </w:rPr>
      </w:pPr>
      <w:r>
        <w:rPr>
          <w:rFonts w:ascii="Arial" w:cs="Arial" w:eastAsia="Arial" w:hAnsi="Arial"/>
          <w:sz w:val="14"/>
          <w:szCs w:val="14"/>
          <w:color w:val="auto"/>
        </w:rPr>
        <w:t>During the year ended December 31, 2019, the Company’s portfolio investments had the following corporate actions which are reflected above:</w:t>
      </w:r>
    </w:p>
    <w:p>
      <w:pPr>
        <w:sectPr>
          <w:pgSz w:w="11900" w:h="16838" w:orient="portrait"/>
          <w:cols w:equalWidth="0" w:num="1">
            <w:col w:w="11267"/>
          </w:cols>
          <w:pgMar w:left="313" w:top="124" w:right="319" w:bottom="1440" w:gutter="0" w:footer="0" w:header="0"/>
        </w:sectPr>
      </w:pPr>
    </w:p>
    <w:p>
      <w:pPr>
        <w:spacing w:after="0" w:line="148" w:lineRule="exact"/>
        <w:rPr>
          <w:sz w:val="20"/>
          <w:szCs w:val="20"/>
          <w:color w:val="auto"/>
        </w:rPr>
      </w:pPr>
    </w:p>
    <w:p>
      <w:pPr>
        <w:ind w:left="27"/>
        <w:spacing w:after="0"/>
        <w:rPr>
          <w:sz w:val="20"/>
          <w:szCs w:val="20"/>
          <w:color w:val="auto"/>
        </w:rPr>
      </w:pPr>
      <w:r>
        <w:rPr>
          <w:rFonts w:ascii="Arial" w:cs="Arial" w:eastAsia="Arial" w:hAnsi="Arial"/>
          <w:sz w:val="14"/>
          <w:szCs w:val="14"/>
          <w:b w:val="1"/>
          <w:bCs w:val="1"/>
          <w:color w:val="auto"/>
        </w:rPr>
        <w:t>Portfolio Company</w:t>
      </w:r>
    </w:p>
    <w:p>
      <w:pPr>
        <w:spacing w:after="0" w:line="156" w:lineRule="exact"/>
        <w:rPr>
          <w:sz w:val="20"/>
          <w:szCs w:val="20"/>
          <w:color w:val="auto"/>
        </w:rPr>
      </w:pPr>
    </w:p>
    <w:p>
      <w:pPr>
        <w:ind w:left="27"/>
        <w:spacing w:after="0"/>
        <w:rPr>
          <w:sz w:val="20"/>
          <w:szCs w:val="20"/>
          <w:color w:val="auto"/>
        </w:rPr>
      </w:pPr>
      <w:r>
        <w:rPr>
          <w:rFonts w:ascii="Arial" w:cs="Arial" w:eastAsia="Arial" w:hAnsi="Arial"/>
          <w:sz w:val="14"/>
          <w:szCs w:val="14"/>
          <w:color w:val="auto"/>
        </w:rPr>
        <w:t>Lyft, Inc.</w:t>
      </w:r>
    </w:p>
    <w:p>
      <w:pPr>
        <w:spacing w:after="0" w:line="152" w:lineRule="exact"/>
        <w:rPr>
          <w:sz w:val="20"/>
          <w:szCs w:val="20"/>
          <w:color w:val="auto"/>
        </w:rPr>
      </w:pPr>
    </w:p>
    <w:p>
      <w:pPr>
        <w:ind w:left="27"/>
        <w:spacing w:after="0"/>
        <w:rPr>
          <w:sz w:val="20"/>
          <w:szCs w:val="20"/>
          <w:color w:val="auto"/>
        </w:rPr>
      </w:pPr>
      <w:r>
        <w:rPr>
          <w:rFonts w:ascii="Arial" w:cs="Arial" w:eastAsia="Arial" w:hAnsi="Arial"/>
          <w:sz w:val="14"/>
          <w:szCs w:val="14"/>
          <w:color w:val="auto"/>
        </w:rPr>
        <w:t>Ozy Media, Inc.</w:t>
      </w:r>
    </w:p>
    <w:p>
      <w:pPr>
        <w:spacing w:after="0" w:line="200" w:lineRule="exact"/>
        <w:rPr>
          <w:sz w:val="20"/>
          <w:szCs w:val="20"/>
          <w:color w:val="auto"/>
        </w:rPr>
      </w:pPr>
    </w:p>
    <w:p>
      <w:pPr>
        <w:spacing w:after="0" w:line="394" w:lineRule="exact"/>
        <w:rPr>
          <w:sz w:val="20"/>
          <w:szCs w:val="20"/>
          <w:color w:val="auto"/>
        </w:rPr>
      </w:pPr>
    </w:p>
    <w:p>
      <w:pPr>
        <w:ind w:left="27"/>
        <w:spacing w:after="0"/>
        <w:rPr>
          <w:sz w:val="20"/>
          <w:szCs w:val="20"/>
          <w:color w:val="auto"/>
        </w:rPr>
      </w:pPr>
      <w:r>
        <w:rPr>
          <w:rFonts w:ascii="Arial" w:cs="Arial" w:eastAsia="Arial" w:hAnsi="Arial"/>
          <w:sz w:val="12"/>
          <w:szCs w:val="12"/>
          <w:color w:val="auto"/>
        </w:rPr>
        <w:t>NestGSV, Inc (d/b/a GSV Labs, Inc.)</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31115</wp:posOffset>
            </wp:positionV>
            <wp:extent cx="7151370" cy="2578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57810"/>
                    </a:xfrm>
                    <a:prstGeom prst="rect">
                      <a:avLst/>
                    </a:prstGeom>
                    <a:noFill/>
                  </pic:spPr>
                </pic:pic>
              </a:graphicData>
            </a:graphic>
          </wp:anchor>
        </w:drawing>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Preferred shares, Series D</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Preferred shares, Series E</w:t>
      </w:r>
    </w:p>
    <w:p>
      <w:pPr>
        <w:spacing w:after="0" w:line="67" w:lineRule="exact"/>
        <w:rPr>
          <w:sz w:val="20"/>
          <w:szCs w:val="20"/>
          <w:color w:val="auto"/>
        </w:rPr>
      </w:pPr>
    </w:p>
    <w:p>
      <w:pPr>
        <w:jc w:val="center"/>
        <w:ind w:right="1740"/>
        <w:spacing w:after="0"/>
        <w:rPr>
          <w:sz w:val="20"/>
          <w:szCs w:val="20"/>
          <w:color w:val="auto"/>
        </w:rPr>
      </w:pPr>
      <w:r>
        <w:rPr>
          <w:rFonts w:ascii="Arial" w:cs="Arial" w:eastAsia="Arial" w:hAnsi="Arial"/>
          <w:sz w:val="12"/>
          <w:szCs w:val="12"/>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50165</wp:posOffset>
            </wp:positionV>
            <wp:extent cx="7151370" cy="803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803910"/>
                    </a:xfrm>
                    <a:prstGeom prst="rect">
                      <a:avLst/>
                    </a:prstGeom>
                    <a:noFill/>
                  </pic:spPr>
                </pic:pic>
              </a:graphicData>
            </a:graphic>
          </wp:anchor>
        </w:drawing>
      </w:r>
    </w:p>
    <w:p>
      <w:pPr>
        <w:spacing w:after="0" w:line="74" w:lineRule="exact"/>
        <w:rPr>
          <w:sz w:val="20"/>
          <w:szCs w:val="20"/>
          <w:color w:val="auto"/>
        </w:rPr>
      </w:pPr>
    </w:p>
    <w:p>
      <w:pPr>
        <w:jc w:val="center"/>
        <w:ind w:right="1740"/>
        <w:spacing w:after="0"/>
        <w:rPr>
          <w:sz w:val="20"/>
          <w:szCs w:val="20"/>
          <w:color w:val="auto"/>
        </w:rPr>
      </w:pPr>
      <w:r>
        <w:rPr>
          <w:rFonts w:ascii="Arial" w:cs="Arial" w:eastAsia="Arial" w:hAnsi="Arial"/>
          <w:sz w:val="14"/>
          <w:szCs w:val="14"/>
          <w:color w:val="auto"/>
        </w:rPr>
        <w:t>Common shares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Preferred shares, Series A-1</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Preferred shares, Series 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Preferred shares, Series A-3</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Preferred shares, Series A-4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820"/>
        <w:spacing w:after="0"/>
        <w:rPr>
          <w:sz w:val="20"/>
          <w:szCs w:val="20"/>
          <w:color w:val="auto"/>
        </w:rPr>
      </w:pPr>
      <w:r>
        <w:rPr>
          <w:rFonts w:ascii="Arial" w:cs="Arial" w:eastAsia="Arial" w:hAnsi="Arial"/>
          <w:sz w:val="14"/>
          <w:szCs w:val="14"/>
          <w:b w:val="1"/>
          <w:bCs w:val="1"/>
          <w:color w:val="auto"/>
        </w:rPr>
        <w:t>Conversion to</w:t>
      </w:r>
    </w:p>
    <w:p>
      <w:pPr>
        <w:spacing w:after="0" w:line="156" w:lineRule="exact"/>
        <w:rPr>
          <w:sz w:val="20"/>
          <w:szCs w:val="20"/>
          <w:color w:val="auto"/>
        </w:rPr>
      </w:pPr>
    </w:p>
    <w:p>
      <w:pPr>
        <w:jc w:val="center"/>
        <w:ind w:right="820"/>
        <w:spacing w:after="0"/>
        <w:rPr>
          <w:sz w:val="20"/>
          <w:szCs w:val="20"/>
          <w:color w:val="auto"/>
        </w:rPr>
      </w:pPr>
      <w:r>
        <w:rPr>
          <w:rFonts w:ascii="Arial" w:cs="Arial" w:eastAsia="Arial" w:hAnsi="Arial"/>
          <w:sz w:val="12"/>
          <w:szCs w:val="12"/>
          <w:color w:val="auto"/>
        </w:rPr>
        <w:t>Public Common Shares (Level 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Preferred shares, Series C-2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Derivative Security</w:t>
      </w:r>
    </w:p>
    <w:p>
      <w:pPr>
        <w:spacing w:after="0" w:line="355" w:lineRule="exact"/>
        <w:rPr>
          <w:sz w:val="20"/>
          <w:szCs w:val="20"/>
          <w:color w:val="auto"/>
        </w:rPr>
      </w:pPr>
    </w:p>
    <w:p>
      <w:pPr>
        <w:sectPr>
          <w:pgSz w:w="11900" w:h="16838" w:orient="portrait"/>
          <w:cols w:equalWidth="0" w:num="3">
            <w:col w:w="3767" w:space="720"/>
            <w:col w:w="3380" w:space="720"/>
            <w:col w:w="2680"/>
          </w:cols>
          <w:pgMar w:left="313" w:top="12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67"/>
          </w:cols>
          <w:pgMar w:left="313" w:top="124" w:right="319" w:bottom="1440" w:gutter="0" w:footer="0" w:header="0"/>
          <w:type w:val="continuous"/>
        </w:sectPr>
      </w:pPr>
    </w:p>
    <w:bookmarkStart w:id="111" w:name="page112"/>
    <w:bookmarkEnd w:id="11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ind w:left="307"/>
        <w:spacing w:after="0"/>
        <w:rPr>
          <w:sz w:val="20"/>
          <w:szCs w:val="20"/>
          <w:color w:val="auto"/>
        </w:rPr>
      </w:pPr>
      <w:r>
        <w:rPr>
          <w:rFonts w:ascii="Arial" w:cs="Arial" w:eastAsia="Arial" w:hAnsi="Arial"/>
          <w:sz w:val="15"/>
          <w:szCs w:val="15"/>
          <w:color w:val="auto"/>
        </w:rPr>
        <w:t>The aggregate values of Level 3 assets and liabilities changed during the year ended December 31, 2018 as follows:</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2"/>
                <w:szCs w:val="12"/>
                <w:b w:val="1"/>
                <w:bCs w:val="1"/>
                <w:color w:val="auto"/>
              </w:rPr>
              <w:t>For the Year Ended December 31, 2018</w:t>
            </w: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92"/>
              </w:rPr>
              <w:t>Common</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7"/>
              </w:rPr>
              <w:t>Preferred</w:t>
            </w:r>
          </w:p>
        </w:tc>
        <w:tc>
          <w:tcPr>
            <w:tcW w:w="260" w:type="dxa"/>
            <w:vAlign w:val="bottom"/>
          </w:tcPr>
          <w:p>
            <w:pPr>
              <w:spacing w:after="0"/>
              <w:rPr>
                <w:sz w:val="11"/>
                <w:szCs w:val="11"/>
                <w:color w:val="auto"/>
              </w:rPr>
            </w:pPr>
          </w:p>
        </w:tc>
        <w:tc>
          <w:tcPr>
            <w:tcW w:w="134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7"/>
              </w:rPr>
              <w:t>Debt</w:t>
            </w:r>
          </w:p>
        </w:tc>
        <w:tc>
          <w:tcPr>
            <w:tcW w:w="32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Warrants</w:t>
            </w:r>
          </w:p>
        </w:tc>
        <w:tc>
          <w:tcPr>
            <w:tcW w:w="320" w:type="dxa"/>
            <w:vAlign w:val="bottom"/>
          </w:tcPr>
          <w:p>
            <w:pPr>
              <w:spacing w:after="0"/>
              <w:rPr>
                <w:sz w:val="11"/>
                <w:szCs w:val="11"/>
                <w:color w:val="auto"/>
              </w:rPr>
            </w:pPr>
          </w:p>
        </w:tc>
        <w:tc>
          <w:tcPr>
            <w:tcW w:w="1120" w:type="dxa"/>
            <w:vAlign w:val="bottom"/>
            <w:vMerge w:val="restart"/>
          </w:tcPr>
          <w:p>
            <w:pPr>
              <w:jc w:val="right"/>
              <w:ind w:right="50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Stock</w:t>
            </w: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Stock</w:t>
            </w: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Investments</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Fair Value as of December 31, 2017</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86,824,096</w:t>
            </w:r>
          </w:p>
        </w:tc>
        <w:tc>
          <w:tcPr>
            <w:tcW w:w="12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120,253,822</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4,916,578</w:t>
            </w:r>
          </w:p>
        </w:tc>
        <w:tc>
          <w:tcPr>
            <w:tcW w:w="12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433,997</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212,428,493</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 xml:space="preserve">Transfers out of Level 3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(41,707,506)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(7,734,804)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(49,442,310)</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Purchases, capitalized fees and interest</w:t>
            </w:r>
          </w:p>
        </w:tc>
        <w:tc>
          <w:tcPr>
            <w:tcW w:w="300" w:type="dxa"/>
            <w:vAlign w:val="bottom"/>
          </w:tcPr>
          <w:p>
            <w:pPr>
              <w:spacing w:after="0"/>
              <w:rPr>
                <w:sz w:val="18"/>
                <w:szCs w:val="18"/>
                <w:color w:val="auto"/>
              </w:rPr>
            </w:pP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10,108,434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1,044,531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30,647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11,185,789</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 xml:space="preserve">Sales/Maturity of investments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(6,910,798)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(16,958,428)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(722,776)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(24,592,002)</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5"/>
                <w:szCs w:val="15"/>
                <w:color w:val="auto"/>
              </w:rPr>
              <w:t>Realized losses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(1,567,122)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(10,458,567)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(12,026,369)</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480" w:type="dxa"/>
            <w:vAlign w:val="bottom"/>
            <w:shd w:val="clear" w:color="auto" w:fill="CCEEFF"/>
          </w:tcPr>
          <w:p>
            <w:pPr>
              <w:ind w:left="20"/>
              <w:spacing w:after="0" w:line="232" w:lineRule="exact"/>
              <w:rPr>
                <w:sz w:val="20"/>
                <w:szCs w:val="20"/>
                <w:color w:val="auto"/>
              </w:rPr>
            </w:pPr>
            <w:r>
              <w:rPr>
                <w:rFonts w:ascii="Arial" w:cs="Arial" w:eastAsia="Arial" w:hAnsi="Arial"/>
                <w:sz w:val="15"/>
                <w:szCs w:val="15"/>
                <w:color w:val="auto"/>
              </w:rPr>
              <w:t>Exercises and conversions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5,537,205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(5,514,077)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480" w:type="dxa"/>
            <w:vAlign w:val="bottom"/>
          </w:tcPr>
          <w:p>
            <w:pPr>
              <w:ind w:left="20"/>
              <w:spacing w:after="0"/>
              <w:rPr>
                <w:sz w:val="20"/>
                <w:szCs w:val="20"/>
                <w:color w:val="auto"/>
              </w:rPr>
            </w:pPr>
            <w:r>
              <w:rPr>
                <w:rFonts w:ascii="Arial" w:cs="Arial" w:eastAsia="Arial" w:hAnsi="Arial"/>
                <w:sz w:val="15"/>
                <w:szCs w:val="15"/>
                <w:color w:val="auto"/>
              </w:rPr>
              <w:t>Amortization of fixed income security premiums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Pr>
          <w:p>
            <w:pPr>
              <w:ind w:left="160"/>
              <w:spacing w:after="0"/>
              <w:rPr>
                <w:sz w:val="20"/>
                <w:szCs w:val="20"/>
                <w:color w:val="auto"/>
              </w:rPr>
            </w:pPr>
            <w:r>
              <w:rPr>
                <w:rFonts w:ascii="Arial" w:cs="Arial" w:eastAsia="Arial" w:hAnsi="Arial"/>
                <w:sz w:val="15"/>
                <w:szCs w:val="15"/>
                <w:color w:val="auto"/>
              </w:rPr>
              <w:t>discounts</w:t>
            </w:r>
          </w:p>
        </w:tc>
        <w:tc>
          <w:tcPr>
            <w:tcW w:w="3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30,660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30,660</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unrealized depreciation included in</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earnings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(3,766,485)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20,266,036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321,761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(179,150)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16,642,162</w:t>
            </w:r>
          </w:p>
        </w:tc>
        <w:tc>
          <w:tcPr>
            <w:tcW w:w="0" w:type="dxa"/>
            <w:vAlign w:val="bottom"/>
          </w:tcPr>
          <w:p>
            <w:pPr>
              <w:spacing w:after="0"/>
              <w:rPr>
                <w:sz w:val="1"/>
                <w:szCs w:val="1"/>
                <w:color w:val="auto"/>
              </w:rPr>
            </w:pPr>
          </w:p>
        </w:tc>
      </w:tr>
      <w:tr>
        <w:trPr>
          <w:trHeight w:val="258"/>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as of December 31, 2018</w:t>
            </w: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48,517,824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99,856,159</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5,584,994</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267,446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154,226,423</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w w:val="97"/>
              </w:rPr>
              <w:t>Net change in unrealized appreciation/ (depreciation)</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6"/>
              </w:rPr>
              <w:t>of Level 3 investments still held as of December 31,</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(12,412,555)</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10,061,576</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317,201</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(156,021)</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(2,189,799)</w:t>
            </w:r>
          </w:p>
        </w:tc>
        <w:tc>
          <w:tcPr>
            <w:tcW w:w="0" w:type="dxa"/>
            <w:vAlign w:val="bottom"/>
          </w:tcPr>
          <w:p>
            <w:pPr>
              <w:spacing w:after="0"/>
              <w:rPr>
                <w:sz w:val="1"/>
                <w:szCs w:val="1"/>
                <w:color w:val="auto"/>
              </w:rPr>
            </w:pPr>
          </w:p>
        </w:tc>
      </w:tr>
      <w:tr>
        <w:trPr>
          <w:trHeight w:val="202"/>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2018</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7"/>
        <w:spacing w:after="0"/>
        <w:rPr>
          <w:sz w:val="20"/>
          <w:szCs w:val="20"/>
          <w:color w:val="auto"/>
        </w:rPr>
      </w:pPr>
      <w:r>
        <w:rPr>
          <w:rFonts w:ascii="Arial" w:cs="Arial" w:eastAsia="Arial" w:hAnsi="Arial"/>
          <w:sz w:val="15"/>
          <w:szCs w:val="15"/>
          <w:color w:val="auto"/>
        </w:rPr>
        <w:t>________________________</w:t>
      </w:r>
    </w:p>
    <w:p>
      <w:pPr>
        <w:spacing w:after="0" w:line="108" w:lineRule="exact"/>
        <w:rPr>
          <w:sz w:val="20"/>
          <w:szCs w:val="20"/>
          <w:color w:val="auto"/>
        </w:rPr>
      </w:pPr>
    </w:p>
    <w:p>
      <w:pPr>
        <w:ind w:left="7"/>
        <w:spacing w:after="0"/>
        <w:tabs>
          <w:tab w:leader="none" w:pos="267"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During year ended December 31, 2018, the Company’s portfolio investments had the following corporate actions which are reflected above:</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82"/>
        </w:trPr>
        <w:tc>
          <w:tcPr>
            <w:tcW w:w="66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Portfolio Company</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Transfer from</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0"/>
              </w:rPr>
              <w:t>Transfer to</w:t>
            </w:r>
          </w:p>
        </w:tc>
      </w:tr>
      <w:tr>
        <w:trPr>
          <w:trHeight w:val="28"/>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77"/>
        </w:trPr>
        <w:tc>
          <w:tcPr>
            <w:tcW w:w="6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shd w:val="clear" w:color="auto" w:fill="CCEEFF"/>
              </w:rPr>
              <w:t>Preferred shares, Series A-1 &amp; Common</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r>
      <w:tr>
        <w:trPr>
          <w:trHeight w:val="18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Dropbox, Inc.</w:t>
            </w:r>
          </w:p>
        </w:tc>
        <w:tc>
          <w:tcPr>
            <w:tcW w:w="12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0"/>
                <w:shd w:val="clear" w:color="auto" w:fill="CCEEFF"/>
              </w:rPr>
              <w:t>shares</w:t>
            </w:r>
          </w:p>
        </w:tc>
        <w:tc>
          <w:tcPr>
            <w:tcW w:w="10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shd w:val="clear" w:color="auto" w:fill="CCEEFF"/>
              </w:rPr>
              <w:t>Public Common Shares (Level 2)</w:t>
            </w:r>
          </w:p>
        </w:tc>
      </w:tr>
      <w:tr>
        <w:trPr>
          <w:trHeight w:val="205"/>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Spotify Technology S.A.</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Common shares</w:t>
            </w: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Public Common Shares (Level 1)</w:t>
            </w:r>
          </w:p>
        </w:tc>
      </w:tr>
      <w:tr>
        <w:trPr>
          <w:trHeight w:val="28"/>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1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Curious.com, Inc.</w:t>
            </w:r>
          </w:p>
        </w:tc>
        <w:tc>
          <w:tcPr>
            <w:tcW w:w="1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Preferred shares, Series B</w:t>
            </w: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shd w:val="clear" w:color="auto" w:fill="CCEEFF"/>
              </w:rPr>
              <w:t>Common shares</w:t>
            </w:r>
          </w:p>
        </w:tc>
      </w:tr>
      <w:tr>
        <w:trPr>
          <w:trHeight w:val="205"/>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SharesPost, Inc.</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Common warrants</w:t>
            </w:r>
          </w:p>
        </w:tc>
        <w:tc>
          <w:tcPr>
            <w:tcW w:w="2140" w:type="dxa"/>
            <w:vAlign w:val="bottom"/>
          </w:tcPr>
          <w:p>
            <w:pPr>
              <w:jc w:val="center"/>
              <w:spacing w:after="0"/>
              <w:rPr>
                <w:sz w:val="20"/>
                <w:szCs w:val="20"/>
                <w:color w:val="auto"/>
              </w:rPr>
            </w:pPr>
            <w:r>
              <w:rPr>
                <w:rFonts w:ascii="Arial" w:cs="Arial" w:eastAsia="Arial" w:hAnsi="Arial"/>
                <w:sz w:val="14"/>
                <w:szCs w:val="14"/>
                <w:color w:val="auto"/>
                <w:w w:val="87"/>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5728335</wp:posOffset>
            </wp:positionH>
            <wp:positionV relativeFrom="paragraph">
              <wp:posOffset>-681990</wp:posOffset>
            </wp:positionV>
            <wp:extent cx="6604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-681990</wp:posOffset>
            </wp:positionV>
            <wp:extent cx="736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660" cy="7620"/>
                    </a:xfrm>
                    <a:prstGeom prst="rect">
                      <a:avLst/>
                    </a:prstGeom>
                    <a:noFill/>
                  </pic:spPr>
                </pic:pic>
              </a:graphicData>
            </a:graphic>
          </wp:anchor>
        </w:drawing>
      </w:r>
    </w:p>
    <w:p>
      <w:pPr>
        <w:spacing w:after="0" w:line="92" w:lineRule="exact"/>
        <w:rPr>
          <w:sz w:val="20"/>
          <w:szCs w:val="20"/>
          <w:color w:val="auto"/>
        </w:rPr>
      </w:pPr>
    </w:p>
    <w:p>
      <w:pPr>
        <w:ind w:left="7" w:right="3440" w:hanging="7"/>
        <w:spacing w:after="0" w:line="267" w:lineRule="auto"/>
        <w:tabs>
          <w:tab w:leader="none" w:pos="286" w:val="left"/>
        </w:tabs>
        <w:numPr>
          <w:ilvl w:val="0"/>
          <w:numId w:val="62"/>
        </w:numPr>
        <w:rPr>
          <w:rFonts w:ascii="Arial" w:cs="Arial" w:eastAsia="Arial" w:hAnsi="Arial"/>
          <w:sz w:val="14"/>
          <w:szCs w:val="14"/>
          <w:color w:val="auto"/>
        </w:rPr>
      </w:pPr>
      <w:r>
        <w:rPr>
          <w:rFonts w:ascii="Arial" w:cs="Arial" w:eastAsia="Arial" w:hAnsi="Arial"/>
          <w:sz w:val="14"/>
          <w:szCs w:val="14"/>
          <w:color w:val="auto"/>
        </w:rPr>
        <w:t>Sales of investments includes escrow proceeds receivable of approximately $2.5 million from the sale of the Company’s investments in General Assembly Space, Inc., Lytro, Inc., SugarCRM, Inc., and DreamBox Learning, Inc.</w:t>
      </w: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67"/>
          </w:cols>
          <w:pgMar w:left="313" w:top="124" w:right="31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of Investments In, and Advances to, Affiliates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Transactions during the year ended December 31, 2019 involving the Company’s controlled investments and non-controlled/affiliate investments were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Schedule of Investments In, and Advances to, Affiliate</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Interest, Fees, or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Fair Value at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Purchases,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8"/>
              </w:rPr>
              <w:t>Fair Value at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2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Type/Industry/Portfolio</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Principal/</w:t>
            </w: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0"/>
              </w:rPr>
              <w:t>Dividends</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color w:val="auto"/>
                <w:w w:val="92"/>
              </w:rPr>
              <w:t>Capitalized Fees,</w:t>
            </w:r>
          </w:p>
        </w:tc>
        <w:tc>
          <w:tcPr>
            <w:tcW w:w="16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4"/>
              </w:rPr>
              <w:t>Credited</w:t>
            </w:r>
          </w:p>
        </w:tc>
        <w:tc>
          <w:tcPr>
            <w:tcW w:w="102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Corporate Action</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0" w:type="dxa"/>
            <w:vAlign w:val="bottom"/>
          </w:tcPr>
          <w:p>
            <w:pPr>
              <w:spacing w:after="0"/>
              <w:rPr>
                <w:sz w:val="11"/>
                <w:szCs w:val="11"/>
                <w:color w:val="auto"/>
              </w:rPr>
            </w:pPr>
          </w:p>
        </w:tc>
        <w:tc>
          <w:tcPr>
            <w:tcW w:w="700" w:type="dxa"/>
            <w:vAlign w:val="bottom"/>
          </w:tcPr>
          <w:p>
            <w:pPr>
              <w:jc w:val="right"/>
              <w:ind w:right="133"/>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Company/Investment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Quantity</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2"/>
              </w:rPr>
              <w:t>in Income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2"/>
              </w:rPr>
              <w:t>Gains/(Losses)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Gains/(Losses)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59"/>
        </w:trPr>
        <w:tc>
          <w:tcPr>
            <w:tcW w:w="226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CONTROLLED</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220" w:type="dxa"/>
            <w:vAlign w:val="bottom"/>
            <w:gridSpan w:val="2"/>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60" w:type="dxa"/>
            <w:vAlign w:val="bottom"/>
            <w:tcBorders>
              <w:left w:val="single" w:sz="8" w:color="CCEEFF"/>
            </w:tcBorders>
            <w:gridSpan w:val="3"/>
            <w:shd w:val="clear" w:color="auto" w:fill="CCEEFF"/>
          </w:tcPr>
          <w:p>
            <w:pPr>
              <w:ind w:left="20"/>
              <w:spacing w:after="0" w:line="154"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7"/>
                <w:szCs w:val="17"/>
                <w:b w:val="1"/>
                <w:bCs w:val="1"/>
                <w:color w:val="auto"/>
                <w:vertAlign w:val="superscript"/>
              </w:rPr>
              <w:t>(2)</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Preferred Stock</w:t>
            </w:r>
          </w:p>
        </w:tc>
        <w:tc>
          <w:tcPr>
            <w:tcW w:w="122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60" w:type="dxa"/>
            <w:vAlign w:val="bottom"/>
            <w:tcBorders>
              <w:left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i w:val="1"/>
                <w:iCs w:val="1"/>
                <w:color w:val="auto"/>
              </w:rPr>
              <w:t>Clean Technology</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SPBRX, INC. (f/k/a GSV</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Sustainability Partners, Inc.)–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18"/>
                <w:szCs w:val="18"/>
                <w:color w:val="auto"/>
                <w:vertAlign w:val="superscript"/>
              </w:rPr>
              <w:t>(3)</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w w:val="94"/>
              </w:rPr>
              <w:t>14,300,000</w:t>
            </w:r>
          </w:p>
        </w:tc>
        <w:tc>
          <w:tcPr>
            <w:tcW w:w="12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750,198</w:t>
            </w:r>
          </w:p>
        </w:tc>
        <w:tc>
          <w:tcPr>
            <w:tcW w:w="120" w:type="dxa"/>
            <w:vAlign w:val="bottom"/>
          </w:tcPr>
          <w:p>
            <w:pPr>
              <w:spacing w:after="0"/>
              <w:rPr>
                <w:sz w:val="17"/>
                <w:szCs w:val="17"/>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775,198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12"/>
        </w:trPr>
        <w:tc>
          <w:tcPr>
            <w:tcW w:w="2260" w:type="dxa"/>
            <w:vAlign w:val="bottom"/>
            <w:tcBorders>
              <w:left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i w:val="1"/>
                <w:iCs w:val="1"/>
                <w:color w:val="auto"/>
              </w:rPr>
              <w:t>Global Innovation Platform</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Inc.)–Preferred stock Series A-4</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4,960,553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(4,904,498)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(56,055)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040" w:type="dxa"/>
            <w:vAlign w:val="bottom"/>
          </w:tcPr>
          <w:p>
            <w:pPr>
              <w:ind w:left="220"/>
              <w:spacing w:after="0"/>
              <w:rPr>
                <w:sz w:val="20"/>
                <w:szCs w:val="20"/>
                <w:color w:val="auto"/>
              </w:rPr>
            </w:pPr>
            <w:r>
              <w:rPr>
                <w:rFonts w:ascii="Arial" w:cs="Arial" w:eastAsia="Arial" w:hAnsi="Arial"/>
                <w:sz w:val="9"/>
                <w:szCs w:val="9"/>
                <w:color w:val="auto"/>
              </w:rPr>
              <w:t>(7)</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60" w:type="dxa"/>
            <w:vAlign w:val="bottom"/>
            <w:tcBorders>
              <w:left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Inc.)–Preferred stock Series A-3</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1,735,134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(2,005,730)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270,596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040" w:type="dxa"/>
            <w:vAlign w:val="bottom"/>
            <w:tcBorders>
              <w:left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9"/>
                <w:szCs w:val="9"/>
                <w:color w:val="auto"/>
              </w:rPr>
              <w:t>(7)</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Inc.)–Preferred stock Series A-2</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(605,500)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305,500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040" w:type="dxa"/>
            <w:vAlign w:val="bottom"/>
          </w:tcPr>
          <w:p>
            <w:pPr>
              <w:ind w:left="220"/>
              <w:spacing w:after="0"/>
              <w:rPr>
                <w:sz w:val="20"/>
                <w:szCs w:val="20"/>
                <w:color w:val="auto"/>
              </w:rPr>
            </w:pPr>
            <w:r>
              <w:rPr>
                <w:rFonts w:ascii="Arial" w:cs="Arial" w:eastAsia="Arial" w:hAnsi="Arial"/>
                <w:sz w:val="9"/>
                <w:szCs w:val="9"/>
                <w:color w:val="auto"/>
              </w:rPr>
              <w:t>(7)</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60" w:type="dxa"/>
            <w:vAlign w:val="bottom"/>
            <w:tcBorders>
              <w:left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Inc.)–Preferred stock Series A-1</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499,999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(1,021,778)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521,779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1040" w:type="dxa"/>
            <w:vAlign w:val="bottom"/>
            <w:tcBorders>
              <w:left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9"/>
                <w:szCs w:val="9"/>
                <w:color w:val="auto"/>
              </w:rPr>
              <w:t>(7)</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260" w:type="dxa"/>
            <w:vAlign w:val="bottom"/>
            <w:gridSpan w:val="3"/>
          </w:tcPr>
          <w:p>
            <w:pPr>
              <w:ind w:left="140"/>
              <w:spacing w:after="0"/>
              <w:rPr>
                <w:sz w:val="20"/>
                <w:szCs w:val="20"/>
                <w:color w:val="auto"/>
              </w:rPr>
            </w:pPr>
            <w:r>
              <w:rPr>
                <w:rFonts w:ascii="Arial" w:cs="Arial" w:eastAsia="Arial" w:hAnsi="Arial"/>
                <w:sz w:val="14"/>
                <w:szCs w:val="14"/>
                <w:i w:val="1"/>
                <w:iCs w:val="1"/>
                <w:color w:val="auto"/>
              </w:rPr>
              <w:t>Total Global Innovation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7,495,686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(8,537,506)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1,041,820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6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Preferred Stock</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8,245,884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(8,537,506)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1,066,820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775,198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5"/>
        </w:trPr>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260" w:type="dxa"/>
            <w:vAlign w:val="bottom"/>
            <w:tcBorders>
              <w:left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i w:val="1"/>
                <w:iCs w:val="1"/>
                <w:color w:val="auto"/>
              </w:rPr>
              <w:t>Clean Technology</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SPBRX, INC. (f/k/a GSV</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Sustainability Partners, Inc.)–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60" w:type="dxa"/>
            <w:vAlign w:val="bottom"/>
            <w:gridSpan w:val="3"/>
          </w:tcPr>
          <w:p>
            <w:pPr>
              <w:ind w:left="220"/>
              <w:spacing w:after="0"/>
              <w:rPr>
                <w:sz w:val="20"/>
                <w:szCs w:val="20"/>
                <w:color w:val="auto"/>
              </w:rPr>
            </w:pPr>
            <w:r>
              <w:rPr>
                <w:rFonts w:ascii="Arial" w:cs="Arial" w:eastAsia="Arial" w:hAnsi="Arial"/>
                <w:sz w:val="14"/>
                <w:szCs w:val="14"/>
                <w:color w:val="auto"/>
              </w:rPr>
              <w:t>Common shares</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-3270250</wp:posOffset>
            </wp:positionV>
            <wp:extent cx="660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60"/>
          </w:cols>
          <w:pgMar w:left="320" w:top="124" w:right="31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Schedule of Investments In, and Advances to, Affiliate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Interest, Fees, or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Fair Value at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Purchases,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w w:val="98"/>
              </w:rPr>
              <w:t>Fair Value at</w:t>
            </w:r>
          </w:p>
        </w:tc>
        <w:tc>
          <w:tcPr>
            <w:tcW w:w="100" w:type="dxa"/>
            <w:vAlign w:val="bottom"/>
          </w:tcPr>
          <w:p>
            <w:pPr>
              <w:spacing w:after="0"/>
              <w:rPr>
                <w:sz w:val="12"/>
                <w:szCs w:val="12"/>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2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Type/Industry/Portfolio</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Principal/</w:t>
            </w: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0"/>
              </w:rPr>
              <w:t>Dividends</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Capitalized Fees,</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Realized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Unrealized</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4"/>
              </w:rPr>
              <w:t>Credited</w:t>
            </w:r>
          </w:p>
        </w:tc>
        <w:tc>
          <w:tcPr>
            <w:tcW w:w="102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Corporate Action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4"/>
              </w:rPr>
              <w:t>December 31,</w:t>
            </w:r>
          </w:p>
        </w:tc>
        <w:tc>
          <w:tcPr>
            <w:tcW w:w="100" w:type="dxa"/>
            <w:vAlign w:val="bottom"/>
          </w:tcPr>
          <w:p>
            <w:pPr>
              <w:spacing w:after="0"/>
              <w:rPr>
                <w:sz w:val="11"/>
                <w:szCs w:val="11"/>
                <w:color w:val="auto"/>
              </w:rPr>
            </w:pPr>
          </w:p>
        </w:tc>
        <w:tc>
          <w:tcPr>
            <w:tcW w:w="720" w:type="dxa"/>
            <w:vAlign w:val="bottom"/>
          </w:tcPr>
          <w:p>
            <w:pPr>
              <w:jc w:val="right"/>
              <w:ind w:right="133"/>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2"/>
                <w:szCs w:val="12"/>
                <w:b w:val="1"/>
                <w:bCs w:val="1"/>
                <w:color w:val="auto"/>
              </w:rPr>
              <w:t>Company/Investment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Quantity</w:t>
            </w: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in Income</w:t>
            </w:r>
          </w:p>
        </w:tc>
        <w:tc>
          <w:tcPr>
            <w:tcW w:w="100" w:type="dxa"/>
            <w:vAlign w:val="bottom"/>
          </w:tcPr>
          <w:p>
            <w:pPr>
              <w:spacing w:after="0"/>
              <w:rPr>
                <w:sz w:val="14"/>
                <w:szCs w:val="14"/>
                <w:color w:val="auto"/>
              </w:rPr>
            </w:pPr>
          </w:p>
        </w:tc>
        <w:tc>
          <w:tcPr>
            <w:tcW w:w="800" w:type="dxa"/>
            <w:vAlign w:val="bottom"/>
          </w:tcPr>
          <w:p>
            <w:pPr>
              <w:jc w:val="center"/>
              <w:ind w:right="32"/>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Amortization</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Gains/(Losses)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Pr>
          <w:p>
            <w:pPr>
              <w:spacing w:after="0"/>
              <w:rPr>
                <w:sz w:val="14"/>
                <w:szCs w:val="14"/>
                <w:color w:val="auto"/>
              </w:rPr>
            </w:pPr>
          </w:p>
        </w:tc>
        <w:tc>
          <w:tcPr>
            <w:tcW w:w="800" w:type="dxa"/>
            <w:vAlign w:val="bottom"/>
          </w:tcPr>
          <w:p>
            <w:pPr>
              <w:jc w:val="center"/>
              <w:ind w:right="32"/>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120" w:type="dxa"/>
            <w:vAlign w:val="bottom"/>
            <w:tcBorders>
              <w:top w:val="single" w:sz="8" w:color="auto"/>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w w:val="94"/>
              </w:rPr>
              <w:t>NestGSV, Inc. (d/b/a GSV Labs,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 xml:space="preserve">Inc.)–Common shares </w:t>
            </w:r>
            <w:r>
              <w:rPr>
                <w:rFonts w:ascii="Arial" w:cs="Arial" w:eastAsia="Arial" w:hAnsi="Arial"/>
                <w:sz w:val="18"/>
                <w:szCs w:val="18"/>
                <w:color w:val="auto"/>
                <w:vertAlign w:val="superscript"/>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Total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tcPr>
          <w:p>
            <w:pPr>
              <w:spacing w:after="0"/>
              <w:rPr>
                <w:sz w:val="15"/>
                <w:szCs w:val="15"/>
                <w:color w:val="auto"/>
              </w:rPr>
            </w:pPr>
          </w:p>
        </w:tc>
        <w:tc>
          <w:tcPr>
            <w:tcW w:w="2120" w:type="dxa"/>
            <w:vAlign w:val="bottom"/>
            <w:tcBorders>
              <w:top w:val="single" w:sz="8" w:color="CCEEFF"/>
            </w:tcBorders>
            <w:gridSpan w:val="4"/>
          </w:tcPr>
          <w:p>
            <w:pPr>
              <w:spacing w:after="0"/>
              <w:rPr>
                <w:sz w:val="20"/>
                <w:szCs w:val="20"/>
                <w:color w:val="auto"/>
              </w:rPr>
            </w:pPr>
            <w:r>
              <w:rPr>
                <w:rFonts w:ascii="Arial" w:cs="Arial" w:eastAsia="Arial" w:hAnsi="Arial"/>
                <w:sz w:val="14"/>
                <w:szCs w:val="14"/>
                <w:b w:val="1"/>
                <w:bCs w:val="1"/>
                <w:color w:val="auto"/>
              </w:rPr>
              <w:t>TOTAL CONTROLLED</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400,000</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8,245,884</w:t>
            </w: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(8,538,506)</w:t>
            </w: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vMerge w:val="restart"/>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1,067,820</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775,198</w:t>
            </w:r>
          </w:p>
        </w:tc>
        <w:tc>
          <w:tcPr>
            <w:tcW w:w="100" w:type="dxa"/>
            <w:vAlign w:val="bottom"/>
            <w:vMerge w:val="restart"/>
          </w:tcPr>
          <w:p>
            <w:pPr>
              <w:spacing w:after="0"/>
              <w:rPr>
                <w:sz w:val="15"/>
                <w:szCs w:val="15"/>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0.39%</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gridSpan w:val="4"/>
          </w:tcPr>
          <w:p>
            <w:pPr>
              <w:spacing w:after="0" w:line="198"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NON-</w:t>
            </w:r>
          </w:p>
        </w:tc>
        <w:tc>
          <w:tcPr>
            <w:tcW w:w="1760" w:type="dxa"/>
            <w:vAlign w:val="bottom"/>
            <w:tcBorders>
              <w:bottom w:val="single" w:sz="8" w:color="CCEEFF"/>
            </w:tcBorders>
            <w:gridSpan w:val="3"/>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3"/>
                <w:szCs w:val="13"/>
                <w:color w:val="auto"/>
              </w:rPr>
            </w:pPr>
          </w:p>
        </w:tc>
        <w:tc>
          <w:tcPr>
            <w:tcW w:w="1780" w:type="dxa"/>
            <w:vAlign w:val="bottom"/>
            <w:tcBorders>
              <w:bottom w:val="single" w:sz="8" w:color="auto"/>
            </w:tcBorders>
            <w:gridSpan w:val="3"/>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CONTROLLED/AFFILIATE</w:t>
            </w: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2120" w:type="dxa"/>
            <w:vAlign w:val="bottom"/>
            <w:gridSpan w:val="4"/>
            <w:shd w:val="clear" w:color="auto" w:fill="CCEEFF"/>
          </w:tcPr>
          <w:p>
            <w:pPr>
              <w:spacing w:after="0" w:line="154"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7"/>
                <w:szCs w:val="17"/>
                <w:b w:val="1"/>
                <w:bCs w:val="1"/>
                <w:color w:val="auto"/>
                <w:vertAlign w:val="superscript"/>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Debt Investments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rPr>
              <w:t>Corporate Education</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w w:val="96"/>
              </w:rPr>
              <w:t>CUX, Inc. (d/b/a CorpU)–Senior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Subordinated Convertible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Promissory Note 4% 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40" w:type="dxa"/>
            <w:vAlign w:val="bottom"/>
            <w:gridSpan w:val="3"/>
          </w:tcPr>
          <w:p>
            <w:pPr>
              <w:ind w:left="220"/>
              <w:spacing w:after="0"/>
              <w:rPr>
                <w:sz w:val="20"/>
                <w:szCs w:val="20"/>
                <w:color w:val="auto"/>
              </w:rPr>
            </w:pPr>
            <w:r>
              <w:rPr>
                <w:rFonts w:ascii="Arial" w:cs="Arial" w:eastAsia="Arial" w:hAnsi="Arial"/>
                <w:sz w:val="14"/>
                <w:szCs w:val="14"/>
                <w:color w:val="auto"/>
              </w:rPr>
              <w:t>2/14/2023</w:t>
            </w:r>
            <w:r>
              <w:rPr>
                <w:rFonts w:ascii="Arial" w:cs="Arial" w:eastAsia="Arial" w:hAnsi="Arial"/>
                <w:sz w:val="18"/>
                <w:szCs w:val="18"/>
                <w:color w:val="auto"/>
                <w:vertAlign w:val="superscript"/>
              </w:rPr>
              <w:t>(5)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w w:val="89"/>
              </w:rPr>
              <w:t>1,251,158</w:t>
            </w:r>
          </w:p>
        </w:tc>
        <w:tc>
          <w:tcPr>
            <w:tcW w:w="12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(13,142)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1,360,489</w:t>
            </w:r>
          </w:p>
        </w:tc>
        <w:tc>
          <w:tcPr>
            <w:tcW w:w="120" w:type="dxa"/>
            <w:vAlign w:val="bottom"/>
          </w:tcPr>
          <w:p>
            <w:pPr>
              <w:spacing w:after="0"/>
              <w:rPr>
                <w:sz w:val="17"/>
                <w:szCs w:val="17"/>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(109,331)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(941,922)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312,789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rPr>
              <w:t>Digital Media Platform</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Ozy Media, Inc.–Convertible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Promissory Note 5% 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800" w:type="dxa"/>
            <w:vAlign w:val="bottom"/>
            <w:gridSpan w:val="4"/>
          </w:tcPr>
          <w:p>
            <w:pPr>
              <w:ind w:left="220"/>
              <w:spacing w:after="0"/>
              <w:rPr>
                <w:sz w:val="20"/>
                <w:szCs w:val="20"/>
                <w:color w:val="auto"/>
              </w:rPr>
            </w:pPr>
            <w:r>
              <w:rPr>
                <w:rFonts w:ascii="Arial" w:cs="Arial" w:eastAsia="Arial" w:hAnsi="Arial"/>
                <w:sz w:val="14"/>
                <w:szCs w:val="14"/>
                <w:color w:val="auto"/>
              </w:rPr>
              <w:t>12/31/2018***</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72,864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3,153,575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(2,102,384)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(1,051,191)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rPr>
              <w:t>Social Cognitive Learning</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Declara, Inc.–Convertible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Promissory Note 12% 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gridSpan w:val="3"/>
          </w:tcPr>
          <w:p>
            <w:pPr>
              <w:ind w:left="220"/>
              <w:spacing w:after="0"/>
              <w:rPr>
                <w:sz w:val="20"/>
                <w:szCs w:val="20"/>
                <w:color w:val="auto"/>
              </w:rPr>
            </w:pPr>
            <w:r>
              <w:rPr>
                <w:rFonts w:ascii="Arial" w:cs="Arial" w:eastAsia="Arial" w:hAnsi="Arial"/>
                <w:sz w:val="14"/>
                <w:szCs w:val="14"/>
                <w:color w:val="auto"/>
              </w:rPr>
              <w:t>4/30/2018</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(2,334,832)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2,334,152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color w:val="auto"/>
                <w:w w:val="92"/>
              </w:rPr>
              <w:t>NestGSV, Inc. (d/b/a GSV Labs,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color w:val="auto"/>
              </w:rPr>
              <w:t>Inc.) –Convertible Promissory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gridSpan w:val="4"/>
          </w:tcPr>
          <w:p>
            <w:pPr>
              <w:ind w:left="200"/>
              <w:spacing w:after="0"/>
              <w:rPr>
                <w:sz w:val="20"/>
                <w:szCs w:val="20"/>
                <w:color w:val="auto"/>
              </w:rPr>
            </w:pPr>
            <w:r>
              <w:rPr>
                <w:rFonts w:ascii="Arial" w:cs="Arial" w:eastAsia="Arial" w:hAnsi="Arial"/>
                <w:sz w:val="14"/>
                <w:szCs w:val="14"/>
                <w:color w:val="auto"/>
              </w:rPr>
              <w:t>Note 8% Due 8/23/2024***</w:t>
            </w:r>
            <w:r>
              <w:rPr>
                <w:rFonts w:ascii="Arial" w:cs="Arial" w:eastAsia="Arial" w:hAnsi="Arial"/>
                <w:sz w:val="18"/>
                <w:szCs w:val="18"/>
                <w:color w:val="auto"/>
                <w:vertAlign w:val="superscript"/>
              </w:rPr>
              <w:t>(7)</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w w:val="89"/>
              </w:rPr>
              <w:t>1,010,198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107,611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936,525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78,739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1,010,198</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i w:val="1"/>
                <w:iCs w:val="1"/>
                <w:color w:val="auto"/>
                <w:w w:val="98"/>
              </w:rPr>
              <w:t>Total Global Innovation Platform</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107,611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936,525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78,739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1,010,198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Total Debt Investments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167,333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5,450,589</w:t>
            </w:r>
          </w:p>
        </w:tc>
        <w:tc>
          <w:tcPr>
            <w:tcW w:w="120" w:type="dxa"/>
            <w:vAlign w:val="bottom"/>
          </w:tcPr>
          <w:p>
            <w:pPr>
              <w:spacing w:after="0"/>
              <w:rPr>
                <w:sz w:val="17"/>
                <w:szCs w:val="17"/>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(2,102,384)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82,972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(2,444,163)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335,973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1,322,987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4"/>
                <w:szCs w:val="14"/>
                <w:i w:val="1"/>
                <w:iCs w:val="1"/>
                <w:color w:val="auto"/>
              </w:rPr>
              <w:t>Corporate Education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CUX, Inc. (d/b/a CorpU)–</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212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Convertible preferred shares,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12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Series D 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169,033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878,005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(843,025)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34,980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8"/>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-4415790</wp:posOffset>
            </wp:positionV>
            <wp:extent cx="660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260"/>
          </w:cols>
          <w:pgMar w:left="320" w:top="124" w:right="31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Schedule of Investments In, and Advances to, Affiliate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Interest, Fees, or</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8"/>
              </w:rPr>
              <w:t>Fair Value at</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Purchases,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Fair Value at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2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Type/Industry/Portfolio</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Principal/</w:t>
            </w:r>
          </w:p>
        </w:tc>
        <w:tc>
          <w:tcPr>
            <w:tcW w:w="114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0"/>
              </w:rPr>
              <w:t>Dividends</w:t>
            </w:r>
          </w:p>
        </w:tc>
        <w:tc>
          <w:tcPr>
            <w:tcW w:w="102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2"/>
              </w:rPr>
              <w:t>Capitalized Fees,</w:t>
            </w:r>
          </w:p>
        </w:tc>
        <w:tc>
          <w:tcPr>
            <w:tcW w:w="9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Realized</w:t>
            </w:r>
          </w:p>
        </w:tc>
        <w:tc>
          <w:tcPr>
            <w:tcW w:w="10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Unrealized</w:t>
            </w: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4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4"/>
              </w:rPr>
              <w:t>Credited</w:t>
            </w:r>
          </w:p>
        </w:tc>
        <w:tc>
          <w:tcPr>
            <w:tcW w:w="102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Corporate Action</w:t>
            </w:r>
          </w:p>
        </w:tc>
        <w:tc>
          <w:tcPr>
            <w:tcW w:w="120" w:type="dxa"/>
            <w:vAlign w:val="bottom"/>
            <w:vMerge w:val="restart"/>
          </w:tcPr>
          <w:p>
            <w:pPr>
              <w:spacing w:after="0"/>
              <w:rPr>
                <w:sz w:val="11"/>
                <w:szCs w:val="11"/>
                <w:color w:val="auto"/>
              </w:rPr>
            </w:pPr>
          </w:p>
        </w:tc>
        <w:tc>
          <w:tcPr>
            <w:tcW w:w="112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9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0" w:type="dxa"/>
            <w:vAlign w:val="bottom"/>
          </w:tcPr>
          <w:p>
            <w:pPr>
              <w:spacing w:after="0"/>
              <w:rPr>
                <w:sz w:val="11"/>
                <w:szCs w:val="11"/>
                <w:color w:val="auto"/>
              </w:rPr>
            </w:pPr>
          </w:p>
        </w:tc>
        <w:tc>
          <w:tcPr>
            <w:tcW w:w="700" w:type="dxa"/>
            <w:vAlign w:val="bottom"/>
          </w:tcPr>
          <w:p>
            <w:pPr>
              <w:jc w:val="right"/>
              <w:ind w:right="132"/>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Company/Investment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Quantity</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 Income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Gains/(Losses)</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Gains/(Losses)</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86"/>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CUX, Inc. (d/b/a CorpU) -</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Convertible preferred shares,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Series C 8%</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615,763</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Corporate Education</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878,005</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(843,025)</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34,980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Social Cognitive Learning</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Declara, Inc.–Preferred shares,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Series A 8%</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(9,999,999)</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9,999,999</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Education Media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EdSurge, Inc.–Preferred shares,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Series A-1</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250,000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(501,360)</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251,360</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EdSurge, Inc.–Preferred shares,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Series 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269,848</w:t>
            </w: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(500,801)</w:t>
            </w:r>
          </w:p>
        </w:tc>
        <w:tc>
          <w:tcPr>
            <w:tcW w:w="10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230,953</w:t>
            </w: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Education Media Platform</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519,848</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(1,002,161)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482,313</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Knowledge Networks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9"/>
              </w:rPr>
              <w:t>Maven Research, Inc.–Preferred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shares, Series C</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318,979</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9"/>
              </w:rPr>
              <w:t>Maven Research, Inc.–Preferred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shares, Series B</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49,505</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Knowledge Networks</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Digital Media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OzyMedia, Inc.–Preferred shares,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Series C-2 6% </w:t>
            </w:r>
            <w:r>
              <w:rPr>
                <w:rFonts w:ascii="Arial" w:cs="Arial" w:eastAsia="Arial" w:hAnsi="Arial"/>
                <w:sz w:val="18"/>
                <w:szCs w:val="18"/>
                <w:color w:val="auto"/>
                <w:vertAlign w:val="superscript"/>
              </w:rPr>
              <w:t>(6)</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683,482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2,102,384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311,794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556,074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2,970,252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6"/>
              </w:rPr>
              <w:t>OzyMedia, Inc.–Preferred shares,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Series B 6%</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922,509</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5,001,420</w:t>
            </w: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5,001,420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OzyMedia, Inc.–Preferred shares,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Series A 6%</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1,090,909</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4,528,107</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4,528,107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6"/>
              </w:rPr>
              <w:t>OzyMedia, Inc.–Preferred shares,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Series Seed 6%</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2,002,143</w:t>
            </w: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2,002,143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8"/>
        </w:trPr>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Digital Media Platform</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2,102,384</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311,794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12,087,744</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14,501,922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Global Innovation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Inc.)–Preferred stock Series A-4</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140" w:type="dxa"/>
            <w:vAlign w:val="bottom"/>
            <w:shd w:val="clear" w:color="auto" w:fill="CCEEFF"/>
          </w:tcPr>
          <w:p>
            <w:pPr>
              <w:ind w:left="220"/>
              <w:spacing w:after="0"/>
              <w:rPr>
                <w:sz w:val="20"/>
                <w:szCs w:val="20"/>
                <w:color w:val="auto"/>
              </w:rPr>
            </w:pPr>
            <w:r>
              <w:rPr>
                <w:rFonts w:ascii="Arial" w:cs="Arial" w:eastAsia="Arial" w:hAnsi="Arial"/>
                <w:sz w:val="9"/>
                <w:szCs w:val="9"/>
                <w:color w:val="auto"/>
              </w:rPr>
              <w:t>(7)</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Inc.)–Preferred stock Series A-3</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2140" w:type="dxa"/>
            <w:vAlign w:val="bottom"/>
          </w:tcPr>
          <w:p>
            <w:pPr>
              <w:ind w:left="220"/>
              <w:spacing w:after="0"/>
              <w:rPr>
                <w:sz w:val="20"/>
                <w:szCs w:val="20"/>
                <w:color w:val="auto"/>
              </w:rPr>
            </w:pPr>
            <w:r>
              <w:rPr>
                <w:rFonts w:ascii="Arial" w:cs="Arial" w:eastAsia="Arial" w:hAnsi="Arial"/>
                <w:sz w:val="9"/>
                <w:szCs w:val="9"/>
                <w:color w:val="auto"/>
              </w:rPr>
              <w:t>(7)</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6638290</wp:posOffset>
            </wp:positionH>
            <wp:positionV relativeFrom="paragraph">
              <wp:posOffset>-923925</wp:posOffset>
            </wp:positionV>
            <wp:extent cx="660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-923925</wp:posOffset>
            </wp:positionV>
            <wp:extent cx="660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-923925</wp:posOffset>
            </wp:positionV>
            <wp:extent cx="58229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295" cy="762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60"/>
          </w:cols>
          <w:pgMar w:left="320" w:top="124" w:right="31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Schedule of Investments In, and Advances to, Affiliate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Interest, Fees, or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Fair Value at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Purchases,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Fair Value at</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2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Type/Industry/Portfolio</w:t>
            </w:r>
          </w:p>
        </w:tc>
        <w:tc>
          <w:tcPr>
            <w:tcW w:w="80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Principal/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0"/>
              </w:rPr>
              <w:t>Dividends</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color w:val="auto"/>
                <w:w w:val="92"/>
              </w:rPr>
              <w:t>Capitalized Fees,</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Realized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4"/>
              </w:rPr>
              <w:t>Credited</w:t>
            </w:r>
          </w:p>
        </w:tc>
        <w:tc>
          <w:tcPr>
            <w:tcW w:w="102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Corporate Action</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700" w:type="dxa"/>
            <w:vAlign w:val="bottom"/>
          </w:tcPr>
          <w:p>
            <w:pPr>
              <w:jc w:val="right"/>
              <w:ind w:right="132"/>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Company/Investment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Quantity</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2"/>
              </w:rPr>
              <w:t>in Income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Gains/(Losses)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86"/>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Inc.)–Preferred stock Series A-2</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140" w:type="dxa"/>
            <w:vAlign w:val="bottom"/>
            <w:shd w:val="clear" w:color="auto" w:fill="CCEEFF"/>
          </w:tcPr>
          <w:p>
            <w:pPr>
              <w:ind w:left="220"/>
              <w:spacing w:after="0"/>
              <w:rPr>
                <w:sz w:val="20"/>
                <w:szCs w:val="20"/>
                <w:color w:val="auto"/>
              </w:rPr>
            </w:pPr>
            <w:r>
              <w:rPr>
                <w:rFonts w:ascii="Arial" w:cs="Arial" w:eastAsia="Arial" w:hAnsi="Arial"/>
                <w:sz w:val="9"/>
                <w:szCs w:val="9"/>
                <w:color w:val="auto"/>
              </w:rPr>
              <w:t>(7)</w:t>
            </w:r>
          </w:p>
        </w:tc>
        <w:tc>
          <w:tcPr>
            <w:tcW w:w="12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Inc.)–Preferred stock Series A-1</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140" w:type="dxa"/>
            <w:vAlign w:val="bottom"/>
            <w:tcBorders>
              <w:bottom w:val="single" w:sz="8" w:color="CCEEFF"/>
            </w:tcBorders>
          </w:tcPr>
          <w:p>
            <w:pPr>
              <w:ind w:left="220"/>
              <w:spacing w:after="0"/>
              <w:rPr>
                <w:sz w:val="20"/>
                <w:szCs w:val="20"/>
                <w:color w:val="auto"/>
              </w:rPr>
            </w:pPr>
            <w:r>
              <w:rPr>
                <w:rFonts w:ascii="Arial" w:cs="Arial" w:eastAsia="Arial" w:hAnsi="Arial"/>
                <w:sz w:val="9"/>
                <w:szCs w:val="9"/>
                <w:color w:val="auto"/>
              </w:rPr>
              <w:t>(7)</w:t>
            </w: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70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Global Innovation Platform</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Interactive Learning</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StormWind, LLC–Preferred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shares, Series D 8%</w:t>
            </w:r>
            <w:r>
              <w:rPr>
                <w:rFonts w:ascii="Arial" w:cs="Arial" w:eastAsia="Arial" w:hAnsi="Arial"/>
                <w:sz w:val="18"/>
                <w:szCs w:val="18"/>
                <w:color w:val="auto"/>
                <w:vertAlign w:val="superscript"/>
              </w:rPr>
              <w:t>(4)(8)</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329,337</w:t>
            </w:r>
          </w:p>
        </w:tc>
        <w:tc>
          <w:tcPr>
            <w:tcW w:w="28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257,267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245,853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503,120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StormWind, LLC–Preferred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shares, Series C 8%</w:t>
            </w:r>
            <w:r>
              <w:rPr>
                <w:rFonts w:ascii="Arial" w:cs="Arial" w:eastAsia="Arial" w:hAnsi="Arial"/>
                <w:sz w:val="18"/>
                <w:szCs w:val="18"/>
                <w:color w:val="auto"/>
                <w:vertAlign w:val="superscript"/>
              </w:rPr>
              <w:t>(4)</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2,779,134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7,194,971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(1,803,971)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5,391,000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StormWind, LLC–Preferred</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shares, Series B 8%</w:t>
            </w:r>
            <w:r>
              <w:rPr>
                <w:rFonts w:ascii="Arial" w:cs="Arial" w:eastAsia="Arial" w:hAnsi="Arial"/>
                <w:sz w:val="18"/>
                <w:szCs w:val="18"/>
                <w:color w:val="auto"/>
                <w:vertAlign w:val="superscript"/>
              </w:rPr>
              <w:t>(4)</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3,279,629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5,770,328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(2,521,524)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3,248,804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StormWind, LLC–Preferred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shares, Series A 8%</w:t>
            </w:r>
            <w:r>
              <w:rPr>
                <w:rFonts w:ascii="Arial" w:cs="Arial" w:eastAsia="Arial" w:hAnsi="Arial"/>
                <w:sz w:val="18"/>
                <w:szCs w:val="18"/>
                <w:color w:val="auto"/>
                <w:vertAlign w:val="superscript"/>
              </w:rPr>
              <w:t>(4)</w:t>
            </w:r>
          </w:p>
        </w:tc>
        <w:tc>
          <w:tcPr>
            <w:tcW w:w="80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366,666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421,525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(263,576)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157,949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Interactive Learning</w:t>
            </w: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96"/>
              </w:rPr>
              <w:t>13,386,824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257,267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(4,343,218)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9,300,873</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5"/>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Preferred Stock</w:t>
            </w:r>
          </w:p>
        </w:tc>
        <w:tc>
          <w:tcPr>
            <w:tcW w:w="800" w:type="dxa"/>
            <w:vAlign w:val="bottom"/>
          </w:tcPr>
          <w:p>
            <w:pPr>
              <w:spacing w:after="0"/>
              <w:rPr>
                <w:sz w:val="17"/>
                <w:szCs w:val="17"/>
                <w:color w:val="auto"/>
              </w:rPr>
            </w:pPr>
          </w:p>
        </w:tc>
        <w:tc>
          <w:tcPr>
            <w:tcW w:w="280" w:type="dxa"/>
            <w:vAlign w:val="bottom"/>
            <w:gridSpan w:val="2"/>
          </w:tcPr>
          <w:p>
            <w:pPr>
              <w:jc w:val="right"/>
              <w:ind w:right="18"/>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w w:val="96"/>
              </w:rPr>
              <w:t>14,784,677</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2,102,384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569,061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88"/>
              </w:rPr>
              <w:t>(11,002,160)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w w:val="91"/>
              </w:rPr>
              <w:t>17,383,813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w w:val="94"/>
              </w:rPr>
              <w:t>23,837,775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Corporate Education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CUX, Inc. (d/b/a CorpU) –</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Preferred warrants, Series D,</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Strike Price $4.59, Expiration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Date 2/14/2020</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16,903</w:t>
            </w:r>
          </w:p>
        </w:tc>
        <w:tc>
          <w:tcPr>
            <w:tcW w:w="280" w:type="dxa"/>
            <w:vAlign w:val="bottom"/>
            <w:tcBorders>
              <w:bottom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19,946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(19,946)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Digital Media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OzyMedia, Inc.–Common</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Warrants, Strike Price $0.01,</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Expiration Date 4/9/2028</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295,565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1,182,260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1,182,260</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05"/>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Global Innovation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Inc.)–Preferred Warrant Series A-</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 Strike Price $1.33, Expiration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Date 4/4/2021</w:t>
            </w:r>
            <w:r>
              <w:rPr>
                <w:rFonts w:ascii="Arial" w:cs="Arial" w:eastAsia="Arial" w:hAnsi="Arial"/>
                <w:sz w:val="18"/>
                <w:szCs w:val="18"/>
                <w:color w:val="auto"/>
                <w:vertAlign w:val="superscript"/>
              </w:rPr>
              <w:t>(7)</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26,250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20,625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6"/>
              </w:rPr>
              <w:t>Inc.)–Preferred Warrant Series A-</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4, Strike Price $1.33, Expiration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Date 10/6/2021</w:t>
            </w:r>
            <w:r>
              <w:rPr>
                <w:rFonts w:ascii="Arial" w:cs="Arial" w:eastAsia="Arial" w:hAnsi="Arial"/>
                <w:sz w:val="18"/>
                <w:szCs w:val="18"/>
                <w:color w:val="auto"/>
                <w:vertAlign w:val="superscript"/>
              </w:rPr>
              <w:t>(7)</w:t>
            </w:r>
          </w:p>
        </w:tc>
        <w:tc>
          <w:tcPr>
            <w:tcW w:w="800" w:type="dxa"/>
            <w:vAlign w:val="bottom"/>
            <w:tcBorders>
              <w:bottom w:val="single" w:sz="8" w:color="CCEEFF"/>
            </w:tcBorders>
          </w:tcPr>
          <w:p>
            <w:pPr>
              <w:jc w:val="right"/>
              <w:ind w:right="52"/>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145,000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135,000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-1466215</wp:posOffset>
            </wp:positionV>
            <wp:extent cx="136398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63980" cy="7620"/>
                    </a:xfrm>
                    <a:prstGeom prst="rect">
                      <a:avLst/>
                    </a:prstGeom>
                    <a:noFill/>
                  </pic:spPr>
                </pic:pic>
              </a:graphicData>
            </a:graphic>
          </wp:anchor>
        </w:drawing>
        <w:drawing>
          <wp:anchor simplePos="0" relativeHeight="251657728" behindDoc="1" locked="0" layoutInCell="0" allowOverlap="1">
            <wp:simplePos x="0" y="0"/>
            <wp:positionH relativeFrom="column">
              <wp:posOffset>6638290</wp:posOffset>
            </wp:positionH>
            <wp:positionV relativeFrom="paragraph">
              <wp:posOffset>-3995420</wp:posOffset>
            </wp:positionV>
            <wp:extent cx="660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-3995420</wp:posOffset>
            </wp:positionV>
            <wp:extent cx="660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-3995420</wp:posOffset>
            </wp:positionV>
            <wp:extent cx="58229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295" cy="762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-4636770</wp:posOffset>
            </wp:positionV>
            <wp:extent cx="660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60"/>
          </w:cols>
          <w:pgMar w:left="320" w:top="124" w:right="31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Schedule of Investments In, and Advances to, Affiliate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Interest, Fees, or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Fair Value at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Purchases,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Fair Value at</w:t>
            </w:r>
          </w:p>
        </w:tc>
        <w:tc>
          <w:tcPr>
            <w:tcW w:w="72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2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Type/Industry/Portfolio</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Principal/</w:t>
            </w: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0"/>
              </w:rPr>
              <w:t>Dividends</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Capitalized Fees,</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Realized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Unrealized</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94"/>
              </w:rPr>
              <w:t>Credited</w:t>
            </w:r>
          </w:p>
        </w:tc>
        <w:tc>
          <w:tcPr>
            <w:tcW w:w="102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Corporate Action</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0" w:type="dxa"/>
            <w:vAlign w:val="bottom"/>
            <w:gridSpan w:val="3"/>
          </w:tcPr>
          <w:p>
            <w:pPr>
              <w:jc w:val="center"/>
              <w:ind w:right="100"/>
              <w:spacing w:after="0" w:line="128" w:lineRule="exact"/>
              <w:rPr>
                <w:sz w:val="20"/>
                <w:szCs w:val="20"/>
                <w:color w:val="auto"/>
              </w:rPr>
            </w:pPr>
            <w:r>
              <w:rPr>
                <w:rFonts w:ascii="Arial" w:cs="Arial" w:eastAsia="Arial" w:hAnsi="Arial"/>
                <w:sz w:val="12"/>
                <w:szCs w:val="12"/>
                <w:b w:val="1"/>
                <w:bCs w:val="1"/>
                <w:color w:val="auto"/>
                <w:w w:val="94"/>
              </w:rPr>
              <w:t>December 31,</w:t>
            </w:r>
          </w:p>
        </w:tc>
        <w:tc>
          <w:tcPr>
            <w:tcW w:w="720" w:type="dxa"/>
            <w:vAlign w:val="bottom"/>
          </w:tcPr>
          <w:p>
            <w:pPr>
              <w:jc w:val="right"/>
              <w:ind w:right="132"/>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Company/Investment</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Quantity</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2"/>
              </w:rPr>
              <w:t>in Income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8"/>
              </w:rPr>
              <w:t>Amortization</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186"/>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Inc.)–Preferred Warrant Series A-</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4, Strike Price $1.33, Expiration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Date 7/18/2021</w:t>
            </w:r>
            <w:r>
              <w:rPr>
                <w:rFonts w:ascii="Arial" w:cs="Arial" w:eastAsia="Arial" w:hAnsi="Arial"/>
                <w:sz w:val="18"/>
                <w:szCs w:val="18"/>
                <w:color w:val="auto"/>
                <w:vertAlign w:val="superscript"/>
              </w:rPr>
              <w:t>(7)</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62,500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7"/>
              </w:rPr>
              <w:t>Inc.)–Preferred Warrant Series B,</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Strike Price $2.31, Expiration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 xml:space="preserve">Date 11/29/2021 </w:t>
            </w:r>
            <w:r>
              <w:rPr>
                <w:rFonts w:ascii="Arial" w:cs="Arial" w:eastAsia="Arial" w:hAnsi="Arial"/>
                <w:sz w:val="18"/>
                <w:szCs w:val="18"/>
                <w:color w:val="auto"/>
                <w:vertAlign w:val="superscript"/>
              </w:rPr>
              <w:t>(7)</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7"/>
              </w:rPr>
              <w:t>Inc.)–Preferred Warrant Series B,</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Strike Price $2.31, Expiration</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Date 5/29/2022</w:t>
            </w:r>
            <w:r>
              <w:rPr>
                <w:rFonts w:ascii="Arial" w:cs="Arial" w:eastAsia="Arial" w:hAnsi="Arial"/>
                <w:sz w:val="18"/>
                <w:szCs w:val="18"/>
                <w:color w:val="auto"/>
                <w:vertAlign w:val="superscript"/>
              </w:rPr>
              <w:t>(7)</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NestGSV, Inc. (d/b/a GSV Labs,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ind w:left="220"/>
              <w:spacing w:after="0"/>
              <w:rPr>
                <w:sz w:val="20"/>
                <w:szCs w:val="20"/>
                <w:color w:val="auto"/>
              </w:rPr>
            </w:pPr>
            <w:r>
              <w:rPr>
                <w:rFonts w:ascii="Arial" w:cs="Arial" w:eastAsia="Arial" w:hAnsi="Arial"/>
                <w:sz w:val="14"/>
                <w:szCs w:val="14"/>
                <w:color w:val="auto"/>
                <w:w w:val="97"/>
              </w:rPr>
              <w:t>Inc.)–Preferred Warrant Series B,</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Strike Price $2.31, Expiration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Date 12/31/2023</w:t>
            </w:r>
            <w:r>
              <w:rPr>
                <w:rFonts w:ascii="Arial" w:cs="Arial" w:eastAsia="Arial" w:hAnsi="Arial"/>
                <w:sz w:val="18"/>
                <w:szCs w:val="18"/>
                <w:color w:val="auto"/>
                <w:vertAlign w:val="superscript"/>
              </w:rPr>
              <w:t>(7)</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Derivative Security, Expiration</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Date 8/23/2024</w:t>
            </w:r>
            <w:r>
              <w:rPr>
                <w:rFonts w:ascii="Arial" w:cs="Arial" w:eastAsia="Arial" w:hAnsi="Arial"/>
                <w:sz w:val="18"/>
                <w:szCs w:val="18"/>
                <w:color w:val="auto"/>
                <w:vertAlign w:val="superscript"/>
              </w:rPr>
              <w:t>(7)</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8,538,506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16,618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(4,674,503)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3,880,621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96"/>
        </w:trPr>
        <w:tc>
          <w:tcPr>
            <w:tcW w:w="2260" w:type="dxa"/>
            <w:vAlign w:val="bottom"/>
            <w:gridSpan w:val="2"/>
          </w:tcPr>
          <w:p>
            <w:pPr>
              <w:ind w:left="140"/>
              <w:spacing w:after="0"/>
              <w:rPr>
                <w:sz w:val="20"/>
                <w:szCs w:val="20"/>
                <w:color w:val="auto"/>
              </w:rPr>
            </w:pPr>
            <w:r>
              <w:rPr>
                <w:rFonts w:ascii="Arial" w:cs="Arial" w:eastAsia="Arial" w:hAnsi="Arial"/>
                <w:sz w:val="14"/>
                <w:szCs w:val="14"/>
                <w:i w:val="1"/>
                <w:iCs w:val="1"/>
                <w:color w:val="auto"/>
              </w:rPr>
              <w:t>Total Global Innovation Platform</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247,500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8,538,506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16,618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(4,701,378)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4,101,246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Options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267,446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8,538,506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16,618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(3,539,064)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5,283,506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5"/>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Online Education</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Curious.com, Inc.–Common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1,135,944</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Cannabis REIT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260" w:type="dxa"/>
            <w:vAlign w:val="bottom"/>
            <w:gridSpan w:val="2"/>
          </w:tcPr>
          <w:p>
            <w:pPr>
              <w:ind w:left="260"/>
              <w:spacing w:after="0"/>
              <w:rPr>
                <w:sz w:val="20"/>
                <w:szCs w:val="20"/>
                <w:color w:val="auto"/>
              </w:rPr>
            </w:pPr>
            <w:r>
              <w:rPr>
                <w:rFonts w:ascii="Arial" w:cs="Arial" w:eastAsia="Arial" w:hAnsi="Arial"/>
                <w:sz w:val="14"/>
                <w:szCs w:val="14"/>
                <w:color w:val="auto"/>
                <w:w w:val="96"/>
              </w:rPr>
              <w:t>GreenAcreage Real Estate Corp.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20"/>
              <w:spacing w:after="0"/>
              <w:rPr>
                <w:sz w:val="20"/>
                <w:szCs w:val="20"/>
                <w:color w:val="auto"/>
              </w:rPr>
            </w:pPr>
            <w:r>
              <w:rPr>
                <w:rFonts w:ascii="Arial" w:cs="Arial" w:eastAsia="Arial" w:hAnsi="Arial"/>
                <w:sz w:val="14"/>
                <w:szCs w:val="14"/>
                <w:color w:val="auto"/>
              </w:rPr>
              <w:t>-Common shares</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7,501,530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8"/>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7,501,530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7,500,000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7"/>
        </w:trPr>
        <w:tc>
          <w:tcPr>
            <w:tcW w:w="21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TOTAL NON-</w:t>
            </w:r>
          </w:p>
        </w:tc>
        <w:tc>
          <w:tcPr>
            <w:tcW w:w="120" w:type="dxa"/>
            <w:vAlign w:val="bottom"/>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CONTROLLED/AFFILIATE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8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167,333</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20,502,712</w:t>
            </w:r>
          </w:p>
        </w:tc>
        <w:tc>
          <w:tcPr>
            <w:tcW w:w="120" w:type="dxa"/>
            <w:vAlign w:val="bottom"/>
          </w:tcPr>
          <w:p>
            <w:pPr>
              <w:spacing w:after="0"/>
              <w:rPr>
                <w:sz w:val="15"/>
                <w:szCs w:val="15"/>
                <w:color w:val="auto"/>
              </w:rPr>
            </w:pPr>
          </w:p>
        </w:tc>
        <w:tc>
          <w:tcPr>
            <w:tcW w:w="2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8,538,506</w:t>
            </w:r>
          </w:p>
        </w:tc>
        <w:tc>
          <w:tcPr>
            <w:tcW w:w="12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8,170,181</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(13,446,323)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14,179,192</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37,944,268</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18.98%</w:t>
            </w:r>
          </w:p>
        </w:tc>
        <w:tc>
          <w:tcPr>
            <w:tcW w:w="0" w:type="dxa"/>
            <w:vAlign w:val="bottom"/>
          </w:tcPr>
          <w:p>
            <w:pPr>
              <w:spacing w:after="0"/>
              <w:rPr>
                <w:sz w:val="1"/>
                <w:szCs w:val="1"/>
                <w:color w:val="auto"/>
              </w:rPr>
            </w:pPr>
          </w:p>
        </w:tc>
      </w:tr>
      <w:tr>
        <w:trPr>
          <w:trHeight w:val="238"/>
        </w:trPr>
        <w:tc>
          <w:tcPr>
            <w:tcW w:w="2140" w:type="dxa"/>
            <w:vAlign w:val="bottom"/>
            <w:tcBorders>
              <w:bottom w:val="single" w:sz="8" w:color="CCEEFF"/>
            </w:tcBorders>
          </w:tcPr>
          <w:p>
            <w:pPr>
              <w:ind w:left="20"/>
              <w:spacing w:after="0" w:line="198"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(1)</w:t>
            </w:r>
          </w:p>
        </w:tc>
        <w:tc>
          <w:tcPr>
            <w:tcW w:w="120" w:type="dxa"/>
            <w:vAlign w:val="bottom"/>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-530225</wp:posOffset>
            </wp:positionV>
            <wp:extent cx="136398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6398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-3943985</wp:posOffset>
            </wp:positionV>
            <wp:extent cx="660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60"/>
          </w:cols>
          <w:pgMar w:left="320" w:top="124" w:right="319" w:bottom="1440" w:gutter="0" w:footer="0" w:header="0"/>
        </w:sectPr>
      </w:pPr>
    </w:p>
    <w:bookmarkStart w:id="117" w:name="page118"/>
    <w:bookmarkEnd w:id="117"/>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____________________</w:t>
      </w:r>
    </w:p>
    <w:p>
      <w:pPr>
        <w:spacing w:after="0" w:line="45" w:lineRule="exact"/>
        <w:rPr>
          <w:sz w:val="20"/>
          <w:szCs w:val="20"/>
          <w:color w:val="auto"/>
        </w:rPr>
      </w:pPr>
    </w:p>
    <w:p>
      <w:pPr>
        <w:jc w:val="both"/>
        <w:ind w:left="287" w:right="20" w:hanging="287"/>
        <w:spacing w:after="0" w:line="302" w:lineRule="auto"/>
        <w:tabs>
          <w:tab w:leader="none" w:pos="287" w:val="left"/>
        </w:tabs>
        <w:numPr>
          <w:ilvl w:val="0"/>
          <w:numId w:val="63"/>
        </w:numPr>
        <w:rPr>
          <w:rFonts w:ascii="Arial" w:cs="Arial" w:eastAsia="Arial" w:hAnsi="Arial"/>
          <w:sz w:val="14"/>
          <w:szCs w:val="14"/>
          <w:color w:val="auto"/>
        </w:rPr>
      </w:pPr>
      <w:r>
        <w:rPr>
          <w:rFonts w:ascii="Arial" w:cs="Arial" w:eastAsia="Arial" w:hAnsi="Arial"/>
          <w:sz w:val="13"/>
          <w:szCs w:val="13"/>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22" w:lineRule="exact"/>
        <w:rPr>
          <w:sz w:val="20"/>
          <w:szCs w:val="20"/>
          <w:color w:val="auto"/>
        </w:rPr>
      </w:pPr>
    </w:p>
    <w:p>
      <w:pPr>
        <w:ind w:left="287" w:right="20" w:hanging="287"/>
        <w:spacing w:after="0" w:line="267" w:lineRule="auto"/>
        <w:tabs>
          <w:tab w:leader="none" w:pos="194"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Indicates assets that Sutter Rock Capital Corp believes do not represent “qualifying assets” under Section 55(a) of the Investment Company Act of 1940, as amended (the “1940 Act”). Of the Company’s total investments as of December 31, 2019, 0.00% of its total investments are non-qualifying assets.</w:t>
      </w:r>
    </w:p>
    <w:p>
      <w:pPr>
        <w:spacing w:after="0" w:line="129" w:lineRule="exact"/>
        <w:rPr>
          <w:rFonts w:ascii="Arial" w:cs="Arial" w:eastAsia="Arial" w:hAnsi="Arial"/>
          <w:sz w:val="14"/>
          <w:szCs w:val="14"/>
          <w:color w:val="auto"/>
        </w:rPr>
      </w:pPr>
    </w:p>
    <w:p>
      <w:pPr>
        <w:ind w:left="287" w:hanging="287"/>
        <w:spacing w:after="0"/>
        <w:tabs>
          <w:tab w:leader="none" w:pos="287"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Investment is income-producing.</w:t>
      </w:r>
    </w:p>
    <w:p>
      <w:pPr>
        <w:spacing w:after="0" w:line="164" w:lineRule="exact"/>
        <w:rPr>
          <w:sz w:val="20"/>
          <w:szCs w:val="20"/>
          <w:color w:val="auto"/>
        </w:rPr>
      </w:pPr>
    </w:p>
    <w:p>
      <w:pPr>
        <w:ind w:left="427" w:hanging="427"/>
        <w:spacing w:after="0" w:line="306" w:lineRule="auto"/>
        <w:tabs>
          <w:tab w:leader="none" w:pos="427" w:val="left"/>
        </w:tabs>
        <w:numPr>
          <w:ilvl w:val="0"/>
          <w:numId w:val="66"/>
        </w:numPr>
        <w:rPr>
          <w:rFonts w:ascii="Arial" w:cs="Arial" w:eastAsia="Arial" w:hAnsi="Arial"/>
          <w:sz w:val="13"/>
          <w:szCs w:val="13"/>
          <w:color w:val="auto"/>
        </w:rPr>
      </w:pPr>
      <w:r>
        <w:rPr>
          <w:rFonts w:ascii="Arial" w:cs="Arial" w:eastAsia="Arial" w:hAnsi="Arial"/>
          <w:sz w:val="13"/>
          <w:szCs w:val="13"/>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3"/>
          <w:szCs w:val="13"/>
          <w:i w:val="1"/>
          <w:iCs w:val="1"/>
          <w:color w:val="auto"/>
        </w:rPr>
        <w:t>i.e.</w:t>
      </w:r>
      <w:r>
        <w:rPr>
          <w:rFonts w:ascii="Arial" w:cs="Arial" w:eastAsia="Arial" w:hAnsi="Arial"/>
          <w:sz w:val="13"/>
          <w:szCs w:val="13"/>
          <w:color w:val="auto"/>
        </w:rPr>
        <w:t>, securities with the right to elect directors) of such company.</w:t>
      </w:r>
    </w:p>
    <w:p>
      <w:pPr>
        <w:spacing w:after="0" w:line="106" w:lineRule="exact"/>
        <w:rPr>
          <w:rFonts w:ascii="Arial" w:cs="Arial" w:eastAsia="Arial" w:hAnsi="Arial"/>
          <w:sz w:val="13"/>
          <w:szCs w:val="13"/>
          <w:color w:val="auto"/>
        </w:rPr>
      </w:pPr>
    </w:p>
    <w:p>
      <w:pPr>
        <w:jc w:val="both"/>
        <w:ind w:left="427" w:right="20" w:hanging="427"/>
        <w:spacing w:after="0" w:line="255" w:lineRule="auto"/>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37" w:lineRule="exact"/>
        <w:rPr>
          <w:rFonts w:ascii="Arial" w:cs="Arial" w:eastAsia="Arial" w:hAnsi="Arial"/>
          <w:sz w:val="14"/>
          <w:szCs w:val="14"/>
          <w:color w:val="auto"/>
        </w:rPr>
      </w:pPr>
    </w:p>
    <w:p>
      <w:pPr>
        <w:ind w:left="427" w:right="20" w:hanging="427"/>
        <w:spacing w:after="0" w:line="267" w:lineRule="auto"/>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During the year ended December 31, 2019, SPBRX, INC. (f/k/a GSV Sustainability Partners, Inc.) declared, and Sutter Rock Capital Corp. received, an aggregate of $400,000 in dividend distributions.</w:t>
      </w:r>
    </w:p>
    <w:p>
      <w:pPr>
        <w:spacing w:after="0" w:line="129" w:lineRule="exact"/>
        <w:rPr>
          <w:rFonts w:ascii="Arial" w:cs="Arial" w:eastAsia="Arial" w:hAnsi="Arial"/>
          <w:sz w:val="14"/>
          <w:szCs w:val="14"/>
          <w:color w:val="auto"/>
        </w:rPr>
      </w:pPr>
    </w:p>
    <w:p>
      <w:pPr>
        <w:ind w:left="427" w:hanging="427"/>
        <w:spacing w:after="0"/>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Sutter Rock Capital Corp.’s investments in StormWind, LLC are held through Sutter Rock Capital Corp.'s wholly owned subsidiary, GSVC SW Holdings, Inc.</w:t>
      </w:r>
    </w:p>
    <w:p>
      <w:pPr>
        <w:spacing w:after="0" w:line="164"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October 24, 2019, CUX, Inc. (d/b/a CorpU) completed a recapitalization, which amended Sutter Rock Capital Corp.'s investment in the Senior Subordinated Convertible Promissory Note. As a result of the recapitalization, the principal amount of Sutter Rock Capital Corp.'s Senior Subordinated Convertible Promissory Note was reduced by $109,331, the interest rate was reduced to 4%, and the maturity was extended to February 14, 2023.</w:t>
      </w:r>
    </w:p>
    <w:p>
      <w:pPr>
        <w:spacing w:after="0" w:line="137" w:lineRule="exact"/>
        <w:rPr>
          <w:rFonts w:ascii="Arial" w:cs="Arial" w:eastAsia="Arial" w:hAnsi="Arial"/>
          <w:sz w:val="14"/>
          <w:szCs w:val="14"/>
          <w:color w:val="auto"/>
        </w:rPr>
      </w:pPr>
    </w:p>
    <w:p>
      <w:pPr>
        <w:ind w:left="427" w:hanging="427"/>
        <w:spacing w:after="0" w:line="267" w:lineRule="auto"/>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29" w:lineRule="exact"/>
        <w:rPr>
          <w:rFonts w:ascii="Arial" w:cs="Arial" w:eastAsia="Arial" w:hAnsi="Arial"/>
          <w:sz w:val="14"/>
          <w:szCs w:val="14"/>
          <w:color w:val="auto"/>
        </w:rPr>
      </w:pPr>
    </w:p>
    <w:p>
      <w:pPr>
        <w:jc w:val="both"/>
        <w:ind w:left="427" w:hanging="427"/>
        <w:spacing w:after="0" w:line="296" w:lineRule="auto"/>
        <w:tabs>
          <w:tab w:leader="none" w:pos="427" w:val="left"/>
        </w:tabs>
        <w:numPr>
          <w:ilvl w:val="0"/>
          <w:numId w:val="66"/>
        </w:numPr>
        <w:rPr>
          <w:rFonts w:ascii="Arial" w:cs="Arial" w:eastAsia="Arial" w:hAnsi="Arial"/>
          <w:sz w:val="12"/>
          <w:szCs w:val="12"/>
          <w:color w:val="auto"/>
        </w:rPr>
      </w:pPr>
      <w:r>
        <w:rPr>
          <w:rFonts w:ascii="Arial" w:cs="Arial" w:eastAsia="Arial" w:hAnsi="Arial"/>
          <w:sz w:val="12"/>
          <w:szCs w:val="12"/>
          <w:color w:val="auto"/>
        </w:rPr>
        <w:t>On August 23, 2019, Sutter Rock Capital Corp. amended the structure of its investment in NestGSV, Inc. (d/b/a GSV Labs, Inc.). As part of the agreement, Sutter Rock’s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note, and the interest on the note is reduced from 12% to 8%. The Convertible Promissory Note’s maturity was extended to August 23, 2024. Under the amended structure, Sutter Rock Capital Corp.’s fully diluted ownership of voting securities decreased from 50.0% to 8.5%. As such, Sutter Rock Capital Corp.'s investments in NestGSV, Inc. (d/b/a GSV Labs, Inc.) have been recategorized from controlled investments to non-controlled/affiliated investments.</w:t>
      </w:r>
    </w:p>
    <w:p>
      <w:pPr>
        <w:spacing w:after="0" w:line="116" w:lineRule="exact"/>
        <w:rPr>
          <w:rFonts w:ascii="Arial" w:cs="Arial" w:eastAsia="Arial" w:hAnsi="Arial"/>
          <w:sz w:val="12"/>
          <w:szCs w:val="12"/>
          <w:color w:val="auto"/>
        </w:rPr>
      </w:pPr>
    </w:p>
    <w:p>
      <w:pPr>
        <w:jc w:val="both"/>
        <w:ind w:left="427" w:hanging="427"/>
        <w:spacing w:after="0" w:line="255" w:lineRule="auto"/>
        <w:tabs>
          <w:tab w:leader="none" w:pos="4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67"/>
          </w:cols>
          <w:pgMar w:left="313" w:top="124" w:right="31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of Investments In, and Advances to, Affiliates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Transactions during the year ended December 31, 2018 involving the Company’s controlled investments and non-controlled/affiliate investments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Interest,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Purchases,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Fees, or</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Fair Value at</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7"/>
              </w:rPr>
              <w:t>Capitalized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8"/>
              </w:rPr>
              <w:t>Fair Value at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Principal/</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Dividends</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4"/>
              </w:rPr>
              <w:t>Fees,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Credited</w:t>
            </w:r>
          </w:p>
        </w:tc>
        <w:tc>
          <w:tcPr>
            <w:tcW w:w="98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Sales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0" w:type="dxa"/>
            <w:vAlign w:val="bottom"/>
          </w:tcPr>
          <w:p>
            <w:pPr>
              <w:spacing w:after="0"/>
              <w:rPr>
                <w:sz w:val="11"/>
                <w:szCs w:val="11"/>
                <w:color w:val="auto"/>
              </w:rPr>
            </w:pPr>
          </w:p>
        </w:tc>
        <w:tc>
          <w:tcPr>
            <w:tcW w:w="700" w:type="dxa"/>
            <w:vAlign w:val="bottom"/>
          </w:tcPr>
          <w:p>
            <w:pPr>
              <w:jc w:val="right"/>
              <w:ind w:right="136"/>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BFE4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rPr>
              <w:t>Quantity</w:t>
            </w:r>
          </w:p>
        </w:tc>
        <w:tc>
          <w:tcPr>
            <w:tcW w:w="120" w:type="dxa"/>
            <w:vAlign w:val="bottom"/>
            <w:tcBorders>
              <w:bottom w:val="single" w:sz="8" w:color="BFE4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2"/>
              </w:rPr>
              <w:t>in Income</w:t>
            </w:r>
          </w:p>
        </w:tc>
        <w:tc>
          <w:tcPr>
            <w:tcW w:w="100" w:type="dxa"/>
            <w:vAlign w:val="bottom"/>
            <w:tcBorders>
              <w:bottom w:val="single" w:sz="8" w:color="BFE4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BFE4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Borders>
              <w:bottom w:val="single" w:sz="8" w:color="BFE4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BFE4FF"/>
            </w:tcBorders>
            <w:vMerge w:val="continue"/>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Borders>
              <w:bottom w:val="single" w:sz="8" w:color="BFE4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Gains/(Losses)</w:t>
            </w:r>
          </w:p>
        </w:tc>
        <w:tc>
          <w:tcPr>
            <w:tcW w:w="120" w:type="dxa"/>
            <w:vAlign w:val="bottom"/>
            <w:tcBorders>
              <w:bottom w:val="single" w:sz="8" w:color="BFE4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Borders>
              <w:bottom w:val="single" w:sz="8" w:color="BFE4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09"/>
        </w:trPr>
        <w:tc>
          <w:tcPr>
            <w:tcW w:w="20" w:type="dxa"/>
            <w:vAlign w:val="bottom"/>
            <w:shd w:val="clear" w:color="auto" w:fill="BFE4FF"/>
          </w:tcPr>
          <w:p>
            <w:pPr>
              <w:spacing w:after="0"/>
              <w:rPr>
                <w:sz w:val="18"/>
                <w:szCs w:val="18"/>
                <w:color w:val="auto"/>
              </w:rPr>
            </w:pPr>
          </w:p>
        </w:tc>
        <w:tc>
          <w:tcPr>
            <w:tcW w:w="3120" w:type="dxa"/>
            <w:vAlign w:val="bottom"/>
            <w:gridSpan w:val="3"/>
            <w:shd w:val="clear" w:color="auto" w:fill="BFE4FF"/>
          </w:tcPr>
          <w:p>
            <w:pPr>
              <w:spacing w:after="0" w:line="171" w:lineRule="exact"/>
              <w:rPr>
                <w:sz w:val="20"/>
                <w:szCs w:val="20"/>
                <w:color w:val="auto"/>
              </w:rPr>
            </w:pPr>
            <w:r>
              <w:rPr>
                <w:rFonts w:ascii="Arial" w:cs="Arial" w:eastAsia="Arial" w:hAnsi="Arial"/>
                <w:sz w:val="14"/>
                <w:szCs w:val="14"/>
                <w:b w:val="1"/>
                <w:bCs w:val="1"/>
                <w:color w:val="auto"/>
              </w:rPr>
              <w:t>CONTROLLED INVESTMENTS*</w:t>
            </w:r>
            <w:r>
              <w:rPr>
                <w:rFonts w:ascii="Arial" w:cs="Arial" w:eastAsia="Arial" w:hAnsi="Arial"/>
                <w:sz w:val="18"/>
                <w:szCs w:val="18"/>
                <w:b w:val="1"/>
                <w:bCs w:val="1"/>
                <w:color w:val="auto"/>
                <w:vertAlign w:val="superscript"/>
              </w:rPr>
              <w:t>(2)</w:t>
            </w:r>
          </w:p>
        </w:tc>
        <w:tc>
          <w:tcPr>
            <w:tcW w:w="10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68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76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8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70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BFE4FF"/>
            </w:tcBorders>
          </w:tcPr>
          <w:p>
            <w:pPr>
              <w:spacing w:after="0"/>
              <w:rPr>
                <w:sz w:val="17"/>
                <w:szCs w:val="17"/>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Debt Investments</w:t>
            </w:r>
          </w:p>
        </w:tc>
        <w:tc>
          <w:tcPr>
            <w:tcW w:w="1080" w:type="dxa"/>
            <w:vAlign w:val="bottom"/>
            <w:tcBorders>
              <w:top w:val="single" w:sz="8" w:color="BFE4FF"/>
            </w:tcBorders>
            <w:gridSpan w:val="2"/>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660" w:type="dxa"/>
            <w:vAlign w:val="bottom"/>
            <w:tcBorders>
              <w:top w:val="single" w:sz="8" w:color="BFE4FF"/>
            </w:tcBorders>
          </w:tcPr>
          <w:p>
            <w:pPr>
              <w:spacing w:after="0"/>
              <w:rPr>
                <w:sz w:val="17"/>
                <w:szCs w:val="17"/>
                <w:color w:val="auto"/>
              </w:rPr>
            </w:pPr>
          </w:p>
        </w:tc>
        <w:tc>
          <w:tcPr>
            <w:tcW w:w="12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66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78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20" w:type="dxa"/>
            <w:vAlign w:val="bottom"/>
            <w:tcBorders>
              <w:top w:val="single" w:sz="8" w:color="BFE4FF"/>
            </w:tcBorders>
          </w:tcPr>
          <w:p>
            <w:pPr>
              <w:spacing w:after="0"/>
              <w:rPr>
                <w:sz w:val="17"/>
                <w:szCs w:val="17"/>
                <w:color w:val="auto"/>
              </w:rPr>
            </w:pPr>
          </w:p>
        </w:tc>
        <w:tc>
          <w:tcPr>
            <w:tcW w:w="78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60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40" w:type="dxa"/>
            <w:vAlign w:val="bottom"/>
            <w:tcBorders>
              <w:top w:val="single" w:sz="8" w:color="BFE4FF"/>
            </w:tcBorders>
          </w:tcPr>
          <w:p>
            <w:pPr>
              <w:spacing w:after="0"/>
              <w:rPr>
                <w:sz w:val="17"/>
                <w:szCs w:val="17"/>
                <w:color w:val="auto"/>
              </w:rPr>
            </w:pPr>
          </w:p>
        </w:tc>
        <w:tc>
          <w:tcPr>
            <w:tcW w:w="68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20" w:type="dxa"/>
            <w:vAlign w:val="bottom"/>
            <w:tcBorders>
              <w:top w:val="single" w:sz="8" w:color="BFE4FF"/>
            </w:tcBorders>
          </w:tcPr>
          <w:p>
            <w:pPr>
              <w:spacing w:after="0"/>
              <w:rPr>
                <w:sz w:val="17"/>
                <w:szCs w:val="17"/>
                <w:color w:val="auto"/>
              </w:rPr>
            </w:pPr>
          </w:p>
        </w:tc>
        <w:tc>
          <w:tcPr>
            <w:tcW w:w="760" w:type="dxa"/>
            <w:vAlign w:val="bottom"/>
            <w:tcBorders>
              <w:top w:val="single" w:sz="8" w:color="BFE4FF"/>
            </w:tcBorders>
          </w:tcPr>
          <w:p>
            <w:pPr>
              <w:spacing w:after="0"/>
              <w:rPr>
                <w:sz w:val="17"/>
                <w:szCs w:val="17"/>
                <w:color w:val="auto"/>
              </w:rPr>
            </w:pPr>
          </w:p>
        </w:tc>
        <w:tc>
          <w:tcPr>
            <w:tcW w:w="120" w:type="dxa"/>
            <w:vAlign w:val="bottom"/>
            <w:tcBorders>
              <w:top w:val="single" w:sz="8" w:color="BFE4FF"/>
            </w:tcBorders>
          </w:tcPr>
          <w:p>
            <w:pPr>
              <w:spacing w:after="0"/>
              <w:rPr>
                <w:sz w:val="17"/>
                <w:szCs w:val="17"/>
                <w:color w:val="auto"/>
              </w:rPr>
            </w:pPr>
          </w:p>
        </w:tc>
        <w:tc>
          <w:tcPr>
            <w:tcW w:w="80" w:type="dxa"/>
            <w:vAlign w:val="bottom"/>
            <w:tcBorders>
              <w:top w:val="single" w:sz="8" w:color="BFE4FF"/>
            </w:tcBorders>
          </w:tcPr>
          <w:p>
            <w:pPr>
              <w:spacing w:after="0"/>
              <w:rPr>
                <w:sz w:val="17"/>
                <w:szCs w:val="17"/>
                <w:color w:val="auto"/>
              </w:rPr>
            </w:pPr>
          </w:p>
        </w:tc>
        <w:tc>
          <w:tcPr>
            <w:tcW w:w="80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700" w:type="dxa"/>
            <w:vAlign w:val="bottom"/>
            <w:tcBorders>
              <w:top w:val="single" w:sz="8" w:color="BFE4FF"/>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BFE4FF"/>
            </w:tcBorders>
            <w:shd w:val="clear" w:color="auto" w:fill="BFE4FF"/>
          </w:tcPr>
          <w:p>
            <w:pPr>
              <w:spacing w:after="0"/>
              <w:rPr>
                <w:sz w:val="18"/>
                <w:szCs w:val="18"/>
                <w:color w:val="auto"/>
              </w:rPr>
            </w:pPr>
          </w:p>
        </w:tc>
        <w:tc>
          <w:tcPr>
            <w:tcW w:w="312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BFE4FF"/>
            </w:tcBorders>
            <w:shd w:val="clear" w:color="auto" w:fill="BFE4FF"/>
          </w:tcPr>
          <w:p>
            <w:pPr>
              <w:spacing w:after="0"/>
              <w:rPr>
                <w:sz w:val="18"/>
                <w:szCs w:val="18"/>
                <w:color w:val="auto"/>
              </w:rPr>
            </w:pPr>
          </w:p>
        </w:tc>
        <w:tc>
          <w:tcPr>
            <w:tcW w:w="6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8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0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rPr>
              <w:t>NestGSV, Inc. (d/b/a GSV Labs, Inc.)–</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gridSpan w:val="3"/>
          </w:tcPr>
          <w:p>
            <w:pPr>
              <w:ind w:left="340"/>
              <w:spacing w:after="0"/>
              <w:rPr>
                <w:sz w:val="20"/>
                <w:szCs w:val="20"/>
                <w:color w:val="auto"/>
              </w:rPr>
            </w:pPr>
            <w:r>
              <w:rPr>
                <w:rFonts w:ascii="Arial" w:cs="Arial" w:eastAsia="Arial" w:hAnsi="Arial"/>
                <w:sz w:val="14"/>
                <w:szCs w:val="14"/>
                <w:color w:val="auto"/>
              </w:rPr>
              <w:t>Convertible Promissory Note 12% Due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60" w:type="dxa"/>
            <w:vAlign w:val="bottom"/>
            <w:gridSpan w:val="2"/>
          </w:tcPr>
          <w:p>
            <w:pPr>
              <w:ind w:left="360"/>
              <w:spacing w:after="0"/>
              <w:rPr>
                <w:sz w:val="20"/>
                <w:szCs w:val="20"/>
                <w:color w:val="auto"/>
              </w:rPr>
            </w:pPr>
            <w:r>
              <w:rPr>
                <w:rFonts w:ascii="Arial" w:cs="Arial" w:eastAsia="Arial" w:hAnsi="Arial"/>
                <w:sz w:val="14"/>
                <w:szCs w:val="14"/>
                <w:color w:val="auto"/>
              </w:rPr>
              <w:t>12/31/2019***</w:t>
            </w:r>
            <w:r>
              <w:rPr>
                <w:rFonts w:ascii="Arial" w:cs="Arial" w:eastAsia="Arial" w:hAnsi="Arial"/>
                <w:sz w:val="18"/>
                <w:szCs w:val="18"/>
                <w:color w:val="auto"/>
                <w:vertAlign w:val="superscript"/>
              </w:rPr>
              <w:t>(10)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936,525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57,466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560,199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392,437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936,525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88"/>
        </w:trPr>
        <w:tc>
          <w:tcPr>
            <w:tcW w:w="20" w:type="dxa"/>
            <w:vAlign w:val="bottom"/>
            <w:shd w:val="clear" w:color="auto" w:fill="BFE4FF"/>
          </w:tcPr>
          <w:p>
            <w:pPr>
              <w:spacing w:after="0"/>
              <w:rPr>
                <w:sz w:val="16"/>
                <w:szCs w:val="16"/>
                <w:color w:val="auto"/>
              </w:rPr>
            </w:pPr>
          </w:p>
        </w:tc>
        <w:tc>
          <w:tcPr>
            <w:tcW w:w="3120" w:type="dxa"/>
            <w:vAlign w:val="bottom"/>
            <w:gridSpan w:val="3"/>
            <w:shd w:val="clear" w:color="auto" w:fill="BFE4FF"/>
          </w:tcPr>
          <w:p>
            <w:pPr>
              <w:ind w:left="200"/>
              <w:spacing w:after="0"/>
              <w:rPr>
                <w:sz w:val="20"/>
                <w:szCs w:val="20"/>
                <w:color w:val="auto"/>
              </w:rPr>
            </w:pPr>
            <w:r>
              <w:rPr>
                <w:rFonts w:ascii="Arial" w:cs="Arial" w:eastAsia="Arial" w:hAnsi="Arial"/>
                <w:sz w:val="14"/>
                <w:szCs w:val="14"/>
                <w:color w:val="auto"/>
                <w:w w:val="94"/>
              </w:rPr>
              <w:t>NestGSV, Inc. (d/b/a GSV Labs, Inc.)–Unsecured</w:t>
            </w: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8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0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BFE4FF"/>
          </w:tcPr>
          <w:p>
            <w:pPr>
              <w:spacing w:after="0"/>
              <w:rPr>
                <w:sz w:val="17"/>
                <w:szCs w:val="17"/>
                <w:color w:val="auto"/>
              </w:rPr>
            </w:pPr>
          </w:p>
        </w:tc>
        <w:tc>
          <w:tcPr>
            <w:tcW w:w="3120" w:type="dxa"/>
            <w:vAlign w:val="bottom"/>
            <w:gridSpan w:val="3"/>
            <w:shd w:val="clear" w:color="auto" w:fill="BFE4FF"/>
          </w:tcPr>
          <w:p>
            <w:pPr>
              <w:ind w:left="340"/>
              <w:spacing w:after="0"/>
              <w:rPr>
                <w:sz w:val="20"/>
                <w:szCs w:val="20"/>
                <w:color w:val="auto"/>
              </w:rPr>
            </w:pPr>
            <w:r>
              <w:rPr>
                <w:rFonts w:ascii="Arial" w:cs="Arial" w:eastAsia="Arial" w:hAnsi="Arial"/>
                <w:sz w:val="14"/>
                <w:szCs w:val="14"/>
                <w:color w:val="auto"/>
              </w:rPr>
              <w:t>Promissory Note 12% Due 1/15/2018***</w:t>
            </w:r>
            <w:r>
              <w:rPr>
                <w:rFonts w:ascii="Arial" w:cs="Arial" w:eastAsia="Arial" w:hAnsi="Arial"/>
                <w:sz w:val="18"/>
                <w:szCs w:val="18"/>
                <w:color w:val="auto"/>
                <w:vertAlign w:val="superscript"/>
              </w:rPr>
              <w:t>(8)</w:t>
            </w:r>
          </w:p>
        </w:tc>
        <w:tc>
          <w:tcPr>
            <w:tcW w:w="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7"/>
                <w:szCs w:val="17"/>
                <w:color w:val="auto"/>
              </w:rPr>
            </w:pPr>
          </w:p>
        </w:tc>
        <w:tc>
          <w:tcPr>
            <w:tcW w:w="660" w:type="dxa"/>
            <w:vAlign w:val="bottom"/>
            <w:shd w:val="clear" w:color="auto" w:fill="BFE4FF"/>
          </w:tcPr>
          <w:p>
            <w:pPr>
              <w:jc w:val="right"/>
              <w:ind w:right="32"/>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80" w:type="dxa"/>
            <w:vAlign w:val="bottom"/>
            <w:shd w:val="clear" w:color="auto" w:fill="BFE4FF"/>
          </w:tcPr>
          <w:p>
            <w:pPr>
              <w:jc w:val="right"/>
              <w:ind w:right="31"/>
              <w:spacing w:after="0"/>
              <w:rPr>
                <w:sz w:val="20"/>
                <w:szCs w:val="20"/>
                <w:color w:val="auto"/>
              </w:rPr>
            </w:pPr>
            <w:r>
              <w:rPr>
                <w:rFonts w:ascii="Arial" w:cs="Arial" w:eastAsia="Arial" w:hAnsi="Arial"/>
                <w:sz w:val="14"/>
                <w:szCs w:val="14"/>
                <w:color w:val="auto"/>
              </w:rPr>
              <w:t>592,129</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7"/>
                <w:szCs w:val="17"/>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w w:val="86"/>
              </w:rPr>
              <w:t>(592,129)</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680" w:type="dxa"/>
            <w:vAlign w:val="bottom"/>
            <w:shd w:val="clear" w:color="auto" w:fill="BFE4FF"/>
          </w:tcPr>
          <w:p>
            <w:pPr>
              <w:jc w:val="right"/>
              <w:ind w:right="51"/>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760" w:type="dxa"/>
            <w:vAlign w:val="bottom"/>
            <w:shd w:val="clear" w:color="auto" w:fill="BFE4FF"/>
          </w:tcPr>
          <w:p>
            <w:pPr>
              <w:jc w:val="right"/>
              <w:ind w:right="31"/>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BFE4FF"/>
          </w:tcPr>
          <w:p>
            <w:pPr>
              <w:spacing w:after="0"/>
              <w:rPr>
                <w:sz w:val="17"/>
                <w:szCs w:val="17"/>
                <w:color w:val="auto"/>
              </w:rPr>
            </w:pPr>
          </w:p>
        </w:tc>
        <w:tc>
          <w:tcPr>
            <w:tcW w:w="80" w:type="dxa"/>
            <w:vAlign w:val="bottom"/>
            <w:shd w:val="clear" w:color="auto" w:fill="BFE4FF"/>
          </w:tcPr>
          <w:p>
            <w:pPr>
              <w:spacing w:after="0"/>
              <w:rPr>
                <w:sz w:val="17"/>
                <w:szCs w:val="17"/>
                <w:color w:val="auto"/>
              </w:rPr>
            </w:pPr>
          </w:p>
        </w:tc>
        <w:tc>
          <w:tcPr>
            <w:tcW w:w="800" w:type="dxa"/>
            <w:vAlign w:val="bottom"/>
            <w:shd w:val="clear" w:color="auto" w:fill="BFE4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7"/>
                <w:szCs w:val="17"/>
                <w:color w:val="auto"/>
              </w:rPr>
            </w:pPr>
          </w:p>
        </w:tc>
        <w:tc>
          <w:tcPr>
            <w:tcW w:w="7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i w:val="1"/>
                <w:iCs w:val="1"/>
                <w:color w:val="auto"/>
              </w:rPr>
              <w:t>Total Global Innovation Platform</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59,835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1,152,328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392,437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(592,129)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(15,431)</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936,525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BFE4FF"/>
            </w:tcBorders>
            <w:shd w:val="clear" w:color="auto" w:fill="BFE4FF"/>
          </w:tcPr>
          <w:p>
            <w:pPr>
              <w:spacing w:after="0"/>
              <w:rPr>
                <w:sz w:val="18"/>
                <w:szCs w:val="18"/>
                <w:color w:val="auto"/>
              </w:rPr>
            </w:pPr>
          </w:p>
        </w:tc>
        <w:tc>
          <w:tcPr>
            <w:tcW w:w="3120" w:type="dxa"/>
            <w:vAlign w:val="bottom"/>
            <w:tcBorders>
              <w:bottom w:val="single" w:sz="8" w:color="BFE4FF"/>
            </w:tcBorders>
            <w:gridSpan w:val="3"/>
            <w:shd w:val="clear" w:color="auto" w:fill="BFE4FF"/>
          </w:tcPr>
          <w:p>
            <w:pPr>
              <w:spacing w:after="0"/>
              <w:rPr>
                <w:sz w:val="20"/>
                <w:szCs w:val="20"/>
                <w:color w:val="auto"/>
              </w:rPr>
            </w:pPr>
            <w:r>
              <w:rPr>
                <w:rFonts w:ascii="Arial" w:cs="Arial" w:eastAsia="Arial" w:hAnsi="Arial"/>
                <w:sz w:val="14"/>
                <w:szCs w:val="14"/>
                <w:b w:val="1"/>
                <w:bCs w:val="1"/>
                <w:color w:val="auto"/>
              </w:rPr>
              <w:t>Total Debt Investments</w:t>
            </w: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4"/>
                <w:szCs w:val="14"/>
                <w:color w:val="auto"/>
              </w:rPr>
              <w:t>59,835</w:t>
            </w: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4"/>
                <w:szCs w:val="14"/>
                <w:color w:val="auto"/>
              </w:rPr>
              <w:t>1,152,328</w:t>
            </w: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4"/>
                <w:szCs w:val="14"/>
                <w:color w:val="auto"/>
              </w:rPr>
              <w:t>392,437</w:t>
            </w: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w w:val="86"/>
              </w:rPr>
              <w:t>(592,129)</w:t>
            </w: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(15,431)</w:t>
            </w:r>
          </w:p>
        </w:tc>
        <w:tc>
          <w:tcPr>
            <w:tcW w:w="12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4"/>
                <w:szCs w:val="14"/>
                <w:color w:val="auto"/>
              </w:rPr>
              <w:t>936,525</w:t>
            </w:r>
          </w:p>
        </w:tc>
        <w:tc>
          <w:tcPr>
            <w:tcW w:w="8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BFE4FF"/>
            </w:tcBorders>
            <w:shd w:val="clear" w:color="auto" w:fill="BFE4FF"/>
          </w:tcPr>
          <w:p>
            <w:pPr>
              <w:spacing w:after="0"/>
              <w:rPr>
                <w:sz w:val="18"/>
                <w:szCs w:val="18"/>
                <w:color w:val="auto"/>
              </w:rPr>
            </w:pPr>
          </w:p>
        </w:tc>
        <w:tc>
          <w:tcPr>
            <w:tcW w:w="312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4"/>
                <w:szCs w:val="14"/>
                <w:i w:val="1"/>
                <w:iCs w:val="1"/>
                <w:color w:val="auto"/>
              </w:rPr>
              <w:t>Clean Technology</w:t>
            </w: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BFE4FF"/>
            </w:tcBorders>
            <w:shd w:val="clear" w:color="auto" w:fill="BFE4FF"/>
          </w:tcPr>
          <w:p>
            <w:pPr>
              <w:spacing w:after="0"/>
              <w:rPr>
                <w:sz w:val="18"/>
                <w:szCs w:val="18"/>
                <w:color w:val="auto"/>
              </w:rPr>
            </w:pPr>
          </w:p>
        </w:tc>
        <w:tc>
          <w:tcPr>
            <w:tcW w:w="6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8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0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w w:val="97"/>
              </w:rPr>
              <w:t>SPBRX, INC. (f/k/a GSV Sustainability Partners,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rPr>
              <w:t>Inc.)–Preferred shares, Class A***</w:t>
            </w:r>
            <w:r>
              <w:rPr>
                <w:rFonts w:ascii="Arial" w:cs="Arial" w:eastAsia="Arial" w:hAnsi="Arial"/>
                <w:sz w:val="18"/>
                <w:szCs w:val="18"/>
                <w:color w:val="auto"/>
                <w:vertAlign w:val="superscript"/>
              </w:rPr>
              <w:t>(12)</w:t>
            </w:r>
          </w:p>
        </w:tc>
        <w:tc>
          <w:tcPr>
            <w:tcW w:w="760" w:type="dxa"/>
            <w:vAlign w:val="bottom"/>
            <w:gridSpan w:val="2"/>
          </w:tcPr>
          <w:p>
            <w:pPr>
              <w:jc w:val="right"/>
              <w:ind w:right="32"/>
              <w:spacing w:after="0"/>
              <w:rPr>
                <w:sz w:val="20"/>
                <w:szCs w:val="20"/>
                <w:color w:val="auto"/>
              </w:rPr>
            </w:pPr>
            <w:r>
              <w:rPr>
                <w:rFonts w:ascii="Arial" w:cs="Arial" w:eastAsia="Arial" w:hAnsi="Arial"/>
                <w:sz w:val="14"/>
                <w:szCs w:val="14"/>
                <w:color w:val="auto"/>
                <w:w w:val="91"/>
              </w:rPr>
              <w:t>14,300,000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625,000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1,069,862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(319,664)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750,198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12"/>
        </w:trPr>
        <w:tc>
          <w:tcPr>
            <w:tcW w:w="20" w:type="dxa"/>
            <w:vAlign w:val="bottom"/>
            <w:tcBorders>
              <w:bottom w:val="single" w:sz="8" w:color="BFE4FF"/>
            </w:tcBorders>
            <w:shd w:val="clear" w:color="auto" w:fill="BFE4FF"/>
          </w:tcPr>
          <w:p>
            <w:pPr>
              <w:spacing w:after="0"/>
              <w:rPr>
                <w:sz w:val="18"/>
                <w:szCs w:val="18"/>
                <w:color w:val="auto"/>
              </w:rPr>
            </w:pPr>
          </w:p>
        </w:tc>
        <w:tc>
          <w:tcPr>
            <w:tcW w:w="312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BFE4FF"/>
            </w:tcBorders>
            <w:shd w:val="clear" w:color="auto" w:fill="BFE4FF"/>
          </w:tcPr>
          <w:p>
            <w:pPr>
              <w:spacing w:after="0"/>
              <w:rPr>
                <w:sz w:val="18"/>
                <w:szCs w:val="18"/>
                <w:color w:val="auto"/>
              </w:rPr>
            </w:pPr>
          </w:p>
        </w:tc>
        <w:tc>
          <w:tcPr>
            <w:tcW w:w="6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8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0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w w:val="97"/>
              </w:rPr>
              <w:t>NestGSV, Inc. (d/b/a GSV Labs, Inc.)–Preferred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rPr>
              <w:t>stock Series A-4</w:t>
            </w:r>
          </w:p>
        </w:tc>
        <w:tc>
          <w:tcPr>
            <w:tcW w:w="1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3,720,424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5,390,842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(430,289)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4,960,553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3120" w:type="dxa"/>
            <w:vAlign w:val="bottom"/>
            <w:gridSpan w:val="3"/>
            <w:shd w:val="clear" w:color="auto" w:fill="BFE4FF"/>
          </w:tcPr>
          <w:p>
            <w:pPr>
              <w:ind w:left="200"/>
              <w:spacing w:after="0"/>
              <w:rPr>
                <w:sz w:val="20"/>
                <w:szCs w:val="20"/>
                <w:color w:val="auto"/>
              </w:rPr>
            </w:pPr>
            <w:r>
              <w:rPr>
                <w:rFonts w:ascii="Arial" w:cs="Arial" w:eastAsia="Arial" w:hAnsi="Arial"/>
                <w:sz w:val="14"/>
                <w:szCs w:val="14"/>
                <w:color w:val="auto"/>
                <w:w w:val="97"/>
              </w:rPr>
              <w:t>NestGSV, Inc. (d/b/a GSV Labs, Inc.)–Preferred</w:t>
            </w: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8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0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BFE4FF"/>
            </w:tcBorders>
            <w:shd w:val="clear" w:color="auto" w:fill="BFE4FF"/>
          </w:tcPr>
          <w:p>
            <w:pPr>
              <w:spacing w:after="0"/>
              <w:rPr>
                <w:sz w:val="16"/>
                <w:szCs w:val="16"/>
                <w:color w:val="auto"/>
              </w:rPr>
            </w:pPr>
          </w:p>
        </w:tc>
        <w:tc>
          <w:tcPr>
            <w:tcW w:w="3120" w:type="dxa"/>
            <w:vAlign w:val="bottom"/>
            <w:tcBorders>
              <w:bottom w:val="single" w:sz="8" w:color="BFE4FF"/>
            </w:tcBorders>
            <w:gridSpan w:val="3"/>
            <w:shd w:val="clear" w:color="auto" w:fill="BFE4FF"/>
          </w:tcPr>
          <w:p>
            <w:pPr>
              <w:ind w:left="200"/>
              <w:spacing w:after="0"/>
              <w:rPr>
                <w:sz w:val="20"/>
                <w:szCs w:val="20"/>
                <w:color w:val="auto"/>
              </w:rPr>
            </w:pPr>
            <w:r>
              <w:rPr>
                <w:rFonts w:ascii="Arial" w:cs="Arial" w:eastAsia="Arial" w:hAnsi="Arial"/>
                <w:sz w:val="14"/>
                <w:szCs w:val="14"/>
                <w:color w:val="auto"/>
              </w:rPr>
              <w:t>stock Series A-3</w:t>
            </w:r>
          </w:p>
        </w:tc>
        <w:tc>
          <w:tcPr>
            <w:tcW w:w="100" w:type="dxa"/>
            <w:vAlign w:val="bottom"/>
            <w:tcBorders>
              <w:bottom w:val="single" w:sz="8" w:color="BFE4FF"/>
            </w:tcBorders>
            <w:shd w:val="clear" w:color="auto" w:fill="BFE4FF"/>
          </w:tcPr>
          <w:p>
            <w:pPr>
              <w:spacing w:after="0"/>
              <w:rPr>
                <w:sz w:val="16"/>
                <w:szCs w:val="16"/>
                <w:color w:val="auto"/>
              </w:rPr>
            </w:pPr>
          </w:p>
        </w:tc>
        <w:tc>
          <w:tcPr>
            <w:tcW w:w="6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4"/>
                <w:szCs w:val="14"/>
                <w:color w:val="auto"/>
                <w:w w:val="86"/>
              </w:rPr>
              <w:t>1,561,625</w:t>
            </w:r>
          </w:p>
        </w:tc>
        <w:tc>
          <w:tcPr>
            <w:tcW w:w="120" w:type="dxa"/>
            <w:vAlign w:val="bottom"/>
            <w:tcBorders>
              <w:bottom w:val="single" w:sz="8" w:color="BFE4FF"/>
            </w:tcBorders>
            <w:shd w:val="clear" w:color="auto" w:fill="BFE4FF"/>
          </w:tcPr>
          <w:p>
            <w:pPr>
              <w:spacing w:after="0"/>
              <w:rPr>
                <w:sz w:val="16"/>
                <w:szCs w:val="16"/>
                <w:color w:val="auto"/>
              </w:rPr>
            </w:pPr>
          </w:p>
        </w:tc>
        <w:tc>
          <w:tcPr>
            <w:tcW w:w="100" w:type="dxa"/>
            <w:vAlign w:val="bottom"/>
            <w:tcBorders>
              <w:bottom w:val="single" w:sz="8" w:color="BFE4FF"/>
            </w:tcBorders>
            <w:shd w:val="clear" w:color="auto" w:fill="BFE4FF"/>
          </w:tcPr>
          <w:p>
            <w:pPr>
              <w:spacing w:after="0"/>
              <w:rPr>
                <w:sz w:val="16"/>
                <w:szCs w:val="16"/>
                <w:color w:val="auto"/>
              </w:rPr>
            </w:pPr>
          </w:p>
        </w:tc>
        <w:tc>
          <w:tcPr>
            <w:tcW w:w="76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6"/>
                <w:szCs w:val="16"/>
                <w:color w:val="auto"/>
              </w:rPr>
            </w:pPr>
          </w:p>
        </w:tc>
        <w:tc>
          <w:tcPr>
            <w:tcW w:w="7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4"/>
                <w:szCs w:val="14"/>
                <w:color w:val="auto"/>
              </w:rPr>
              <w:t>1,885,644</w:t>
            </w:r>
          </w:p>
        </w:tc>
        <w:tc>
          <w:tcPr>
            <w:tcW w:w="100" w:type="dxa"/>
            <w:vAlign w:val="bottom"/>
            <w:tcBorders>
              <w:bottom w:val="single" w:sz="8" w:color="BFE4FF"/>
            </w:tcBorders>
            <w:shd w:val="clear" w:color="auto" w:fill="BFE4FF"/>
          </w:tcPr>
          <w:p>
            <w:pPr>
              <w:spacing w:after="0"/>
              <w:rPr>
                <w:sz w:val="16"/>
                <w:szCs w:val="16"/>
                <w:color w:val="auto"/>
              </w:rPr>
            </w:pPr>
          </w:p>
        </w:tc>
        <w:tc>
          <w:tcPr>
            <w:tcW w:w="120" w:type="dxa"/>
            <w:vAlign w:val="bottom"/>
            <w:tcBorders>
              <w:bottom w:val="single" w:sz="8" w:color="BFE4FF"/>
            </w:tcBorders>
            <w:shd w:val="clear" w:color="auto" w:fill="BFE4FF"/>
          </w:tcPr>
          <w:p>
            <w:pPr>
              <w:spacing w:after="0"/>
              <w:rPr>
                <w:sz w:val="16"/>
                <w:szCs w:val="16"/>
                <w:color w:val="auto"/>
              </w:rPr>
            </w:pPr>
          </w:p>
        </w:tc>
        <w:tc>
          <w:tcPr>
            <w:tcW w:w="8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6"/>
                <w:szCs w:val="16"/>
                <w:color w:val="auto"/>
              </w:rPr>
            </w:pPr>
          </w:p>
        </w:tc>
        <w:tc>
          <w:tcPr>
            <w:tcW w:w="7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FE4FF"/>
            </w:tcBorders>
            <w:shd w:val="clear" w:color="auto" w:fill="BFE4FF"/>
          </w:tcPr>
          <w:p>
            <w:pPr>
              <w:spacing w:after="0"/>
              <w:rPr>
                <w:sz w:val="16"/>
                <w:szCs w:val="16"/>
                <w:color w:val="auto"/>
              </w:rPr>
            </w:pPr>
          </w:p>
        </w:tc>
        <w:tc>
          <w:tcPr>
            <w:tcW w:w="7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shd w:val="clear" w:color="auto" w:fill="BFE4FF"/>
          </w:tcPr>
          <w:p>
            <w:pPr>
              <w:spacing w:after="0"/>
              <w:rPr>
                <w:sz w:val="16"/>
                <w:szCs w:val="16"/>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(150,510)</w:t>
            </w:r>
          </w:p>
        </w:tc>
        <w:tc>
          <w:tcPr>
            <w:tcW w:w="120" w:type="dxa"/>
            <w:vAlign w:val="bottom"/>
            <w:tcBorders>
              <w:bottom w:val="single" w:sz="8" w:color="BFE4FF"/>
            </w:tcBorders>
            <w:shd w:val="clear" w:color="auto" w:fill="BFE4FF"/>
          </w:tcPr>
          <w:p>
            <w:pPr>
              <w:spacing w:after="0"/>
              <w:rPr>
                <w:sz w:val="16"/>
                <w:szCs w:val="16"/>
                <w:color w:val="auto"/>
              </w:rPr>
            </w:pPr>
          </w:p>
        </w:tc>
        <w:tc>
          <w:tcPr>
            <w:tcW w:w="80" w:type="dxa"/>
            <w:vAlign w:val="bottom"/>
            <w:tcBorders>
              <w:bottom w:val="single" w:sz="8" w:color="BFE4FF"/>
            </w:tcBorders>
            <w:shd w:val="clear" w:color="auto" w:fill="BFE4FF"/>
          </w:tcPr>
          <w:p>
            <w:pPr>
              <w:spacing w:after="0"/>
              <w:rPr>
                <w:sz w:val="16"/>
                <w:szCs w:val="16"/>
                <w:color w:val="auto"/>
              </w:rPr>
            </w:pPr>
          </w:p>
        </w:tc>
        <w:tc>
          <w:tcPr>
            <w:tcW w:w="8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4"/>
                <w:szCs w:val="14"/>
                <w:color w:val="auto"/>
              </w:rPr>
              <w:t>1,735,134</w:t>
            </w:r>
          </w:p>
        </w:tc>
        <w:tc>
          <w:tcPr>
            <w:tcW w:w="8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w w:val="97"/>
              </w:rPr>
              <w:t>NestGSV, Inc. (d/b/a GSV Labs, Inc.)–Preferred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rPr>
              <w:t>stock Series A-2</w:t>
            </w:r>
          </w:p>
        </w:tc>
        <w:tc>
          <w:tcPr>
            <w:tcW w:w="100" w:type="dxa"/>
            <w:vAlign w:val="bottom"/>
          </w:tcPr>
          <w:p>
            <w:pPr>
              <w:spacing w:after="0"/>
              <w:rPr>
                <w:sz w:val="15"/>
                <w:szCs w:val="15"/>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450,001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326,022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300,000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BFE4FF"/>
          </w:tcPr>
          <w:p>
            <w:pPr>
              <w:spacing w:after="0"/>
              <w:rPr>
                <w:sz w:val="16"/>
                <w:szCs w:val="16"/>
                <w:color w:val="auto"/>
              </w:rPr>
            </w:pPr>
          </w:p>
        </w:tc>
        <w:tc>
          <w:tcPr>
            <w:tcW w:w="3120" w:type="dxa"/>
            <w:vAlign w:val="bottom"/>
            <w:gridSpan w:val="3"/>
            <w:shd w:val="clear" w:color="auto" w:fill="BFE4FF"/>
          </w:tcPr>
          <w:p>
            <w:pPr>
              <w:ind w:left="200"/>
              <w:spacing w:after="0"/>
              <w:rPr>
                <w:sz w:val="20"/>
                <w:szCs w:val="20"/>
                <w:color w:val="auto"/>
              </w:rPr>
            </w:pPr>
            <w:r>
              <w:rPr>
                <w:rFonts w:ascii="Arial" w:cs="Arial" w:eastAsia="Arial" w:hAnsi="Arial"/>
                <w:sz w:val="14"/>
                <w:szCs w:val="14"/>
                <w:color w:val="auto"/>
                <w:w w:val="97"/>
              </w:rPr>
              <w:t>NestGSV, Inc. (d/b/a GSV Labs, Inc.)–Preferred</w:t>
            </w: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6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76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8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70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BFE4FF"/>
            </w:tcBorders>
            <w:shd w:val="clear" w:color="auto" w:fill="BFE4FF"/>
          </w:tcPr>
          <w:p>
            <w:pPr>
              <w:spacing w:after="0"/>
              <w:rPr>
                <w:sz w:val="17"/>
                <w:szCs w:val="17"/>
                <w:color w:val="auto"/>
              </w:rPr>
            </w:pPr>
          </w:p>
        </w:tc>
        <w:tc>
          <w:tcPr>
            <w:tcW w:w="3120" w:type="dxa"/>
            <w:vAlign w:val="bottom"/>
            <w:tcBorders>
              <w:bottom w:val="single" w:sz="8" w:color="BFE4FF"/>
            </w:tcBorders>
            <w:gridSpan w:val="3"/>
            <w:shd w:val="clear" w:color="auto" w:fill="BFE4FF"/>
          </w:tcPr>
          <w:p>
            <w:pPr>
              <w:ind w:left="200"/>
              <w:spacing w:after="0"/>
              <w:rPr>
                <w:sz w:val="20"/>
                <w:szCs w:val="20"/>
                <w:color w:val="auto"/>
              </w:rPr>
            </w:pPr>
            <w:r>
              <w:rPr>
                <w:rFonts w:ascii="Arial" w:cs="Arial" w:eastAsia="Arial" w:hAnsi="Arial"/>
                <w:sz w:val="14"/>
                <w:szCs w:val="14"/>
                <w:color w:val="auto"/>
              </w:rPr>
              <w:t>stock Series A-1</w:t>
            </w:r>
          </w:p>
        </w:tc>
        <w:tc>
          <w:tcPr>
            <w:tcW w:w="100" w:type="dxa"/>
            <w:vAlign w:val="bottom"/>
            <w:tcBorders>
              <w:bottom w:val="single" w:sz="8" w:color="BFE4FF"/>
            </w:tcBorders>
            <w:shd w:val="clear" w:color="auto" w:fill="BFE4FF"/>
          </w:tcPr>
          <w:p>
            <w:pPr>
              <w:spacing w:after="0"/>
              <w:rPr>
                <w:sz w:val="17"/>
                <w:szCs w:val="17"/>
                <w:color w:val="auto"/>
              </w:rPr>
            </w:pPr>
          </w:p>
        </w:tc>
        <w:tc>
          <w:tcPr>
            <w:tcW w:w="6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4"/>
                <w:szCs w:val="14"/>
                <w:color w:val="auto"/>
                <w:w w:val="86"/>
              </w:rPr>
              <w:t>1,000,000</w:t>
            </w:r>
          </w:p>
        </w:tc>
        <w:tc>
          <w:tcPr>
            <w:tcW w:w="120" w:type="dxa"/>
            <w:vAlign w:val="bottom"/>
            <w:tcBorders>
              <w:bottom w:val="single" w:sz="8" w:color="BFE4FF"/>
            </w:tcBorders>
            <w:shd w:val="clear" w:color="auto" w:fill="BFE4FF"/>
          </w:tcPr>
          <w:p>
            <w:pPr>
              <w:spacing w:after="0"/>
              <w:rPr>
                <w:sz w:val="17"/>
                <w:szCs w:val="17"/>
                <w:color w:val="auto"/>
              </w:rPr>
            </w:pPr>
          </w:p>
        </w:tc>
        <w:tc>
          <w:tcPr>
            <w:tcW w:w="100" w:type="dxa"/>
            <w:vAlign w:val="bottom"/>
            <w:tcBorders>
              <w:bottom w:val="single" w:sz="8" w:color="BFE4FF"/>
            </w:tcBorders>
            <w:shd w:val="clear" w:color="auto" w:fill="BFE4FF"/>
          </w:tcPr>
          <w:p>
            <w:pPr>
              <w:spacing w:after="0"/>
              <w:rPr>
                <w:sz w:val="17"/>
                <w:szCs w:val="17"/>
                <w:color w:val="auto"/>
              </w:rPr>
            </w:pPr>
          </w:p>
        </w:tc>
        <w:tc>
          <w:tcPr>
            <w:tcW w:w="76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7"/>
                <w:szCs w:val="17"/>
                <w:color w:val="auto"/>
              </w:rPr>
            </w:pPr>
          </w:p>
        </w:tc>
        <w:tc>
          <w:tcPr>
            <w:tcW w:w="7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4"/>
                <w:szCs w:val="14"/>
                <w:color w:val="auto"/>
              </w:rPr>
              <w:t>543,370</w:t>
            </w:r>
          </w:p>
        </w:tc>
        <w:tc>
          <w:tcPr>
            <w:tcW w:w="100" w:type="dxa"/>
            <w:vAlign w:val="bottom"/>
            <w:tcBorders>
              <w:bottom w:val="single" w:sz="8" w:color="BFE4FF"/>
            </w:tcBorders>
            <w:shd w:val="clear" w:color="auto" w:fill="BFE4FF"/>
          </w:tcPr>
          <w:p>
            <w:pPr>
              <w:spacing w:after="0"/>
              <w:rPr>
                <w:sz w:val="17"/>
                <w:szCs w:val="17"/>
                <w:color w:val="auto"/>
              </w:rPr>
            </w:pPr>
          </w:p>
        </w:tc>
        <w:tc>
          <w:tcPr>
            <w:tcW w:w="120" w:type="dxa"/>
            <w:vAlign w:val="bottom"/>
            <w:tcBorders>
              <w:bottom w:val="single" w:sz="8" w:color="BFE4FF"/>
            </w:tcBorders>
            <w:shd w:val="clear" w:color="auto" w:fill="BFE4FF"/>
          </w:tcPr>
          <w:p>
            <w:pPr>
              <w:spacing w:after="0"/>
              <w:rPr>
                <w:sz w:val="17"/>
                <w:szCs w:val="17"/>
                <w:color w:val="auto"/>
              </w:rPr>
            </w:pPr>
          </w:p>
        </w:tc>
        <w:tc>
          <w:tcPr>
            <w:tcW w:w="8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7"/>
                <w:szCs w:val="17"/>
                <w:color w:val="auto"/>
              </w:rPr>
            </w:pPr>
          </w:p>
        </w:tc>
        <w:tc>
          <w:tcPr>
            <w:tcW w:w="7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FE4FF"/>
            </w:tcBorders>
            <w:shd w:val="clear" w:color="auto" w:fill="BFE4FF"/>
          </w:tcPr>
          <w:p>
            <w:pPr>
              <w:spacing w:after="0"/>
              <w:rPr>
                <w:sz w:val="17"/>
                <w:szCs w:val="17"/>
                <w:color w:val="auto"/>
              </w:rPr>
            </w:pPr>
          </w:p>
        </w:tc>
        <w:tc>
          <w:tcPr>
            <w:tcW w:w="7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shd w:val="clear" w:color="auto" w:fill="BFE4FF"/>
          </w:tcPr>
          <w:p>
            <w:pPr>
              <w:spacing w:after="0"/>
              <w:rPr>
                <w:sz w:val="17"/>
                <w:szCs w:val="17"/>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(43,371)</w:t>
            </w:r>
          </w:p>
        </w:tc>
        <w:tc>
          <w:tcPr>
            <w:tcW w:w="120" w:type="dxa"/>
            <w:vAlign w:val="bottom"/>
            <w:tcBorders>
              <w:bottom w:val="single" w:sz="8" w:color="BFE4FF"/>
            </w:tcBorders>
            <w:shd w:val="clear" w:color="auto" w:fill="BFE4FF"/>
          </w:tcPr>
          <w:p>
            <w:pPr>
              <w:spacing w:after="0"/>
              <w:rPr>
                <w:sz w:val="17"/>
                <w:szCs w:val="17"/>
                <w:color w:val="auto"/>
              </w:rPr>
            </w:pPr>
          </w:p>
        </w:tc>
        <w:tc>
          <w:tcPr>
            <w:tcW w:w="80" w:type="dxa"/>
            <w:vAlign w:val="bottom"/>
            <w:tcBorders>
              <w:bottom w:val="single" w:sz="8" w:color="BFE4FF"/>
            </w:tcBorders>
            <w:shd w:val="clear" w:color="auto" w:fill="BFE4FF"/>
          </w:tcPr>
          <w:p>
            <w:pPr>
              <w:spacing w:after="0"/>
              <w:rPr>
                <w:sz w:val="17"/>
                <w:szCs w:val="17"/>
                <w:color w:val="auto"/>
              </w:rPr>
            </w:pPr>
          </w:p>
        </w:tc>
        <w:tc>
          <w:tcPr>
            <w:tcW w:w="8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4"/>
                <w:szCs w:val="14"/>
                <w:color w:val="auto"/>
              </w:rPr>
              <w:t>499,999</w:t>
            </w:r>
          </w:p>
        </w:tc>
        <w:tc>
          <w:tcPr>
            <w:tcW w:w="8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i w:val="1"/>
                <w:iCs w:val="1"/>
                <w:color w:val="auto"/>
              </w:rPr>
              <w:t>Total Global Innovation Platform</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8,145,878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(650,192)</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7,495,686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BFE4FF"/>
            </w:tcBorders>
            <w:shd w:val="clear" w:color="auto" w:fill="BFE4FF"/>
          </w:tcPr>
          <w:p>
            <w:pPr>
              <w:spacing w:after="0"/>
              <w:rPr>
                <w:sz w:val="18"/>
                <w:szCs w:val="18"/>
                <w:color w:val="auto"/>
              </w:rPr>
            </w:pPr>
          </w:p>
        </w:tc>
        <w:tc>
          <w:tcPr>
            <w:tcW w:w="312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4"/>
                <w:szCs w:val="14"/>
                <w:i w:val="1"/>
                <w:iCs w:val="1"/>
                <w:color w:val="auto"/>
              </w:rPr>
              <w:t>Interactive Learning</w:t>
            </w: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6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40" w:type="dxa"/>
            <w:vAlign w:val="bottom"/>
            <w:tcBorders>
              <w:bottom w:val="single" w:sz="8" w:color="BFE4FF"/>
            </w:tcBorders>
            <w:shd w:val="clear" w:color="auto" w:fill="BFE4FF"/>
          </w:tcPr>
          <w:p>
            <w:pPr>
              <w:spacing w:after="0"/>
              <w:rPr>
                <w:sz w:val="18"/>
                <w:szCs w:val="18"/>
                <w:color w:val="auto"/>
              </w:rPr>
            </w:pPr>
          </w:p>
        </w:tc>
        <w:tc>
          <w:tcPr>
            <w:tcW w:w="6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80" w:type="dxa"/>
            <w:vAlign w:val="bottom"/>
            <w:tcBorders>
              <w:bottom w:val="single" w:sz="8" w:color="BFE4FF"/>
            </w:tcBorders>
            <w:shd w:val="clear" w:color="auto" w:fill="BFE4FF"/>
          </w:tcPr>
          <w:p>
            <w:pPr>
              <w:spacing w:after="0"/>
              <w:rPr>
                <w:sz w:val="18"/>
                <w:szCs w:val="18"/>
                <w:color w:val="auto"/>
              </w:rPr>
            </w:pPr>
          </w:p>
        </w:tc>
        <w:tc>
          <w:tcPr>
            <w:tcW w:w="80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70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w w:val="96"/>
              </w:rPr>
              <w:t>StormWind, LLC–Preferred shares, Series C 8%</w:t>
            </w:r>
          </w:p>
        </w:tc>
        <w:tc>
          <w:tcPr>
            <w:tcW w:w="100" w:type="dxa"/>
            <w:vAlign w:val="bottom"/>
          </w:tcPr>
          <w:p>
            <w:pPr>
              <w:spacing w:after="0"/>
              <w:rPr>
                <w:sz w:val="16"/>
                <w:szCs w:val="16"/>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w w:val="86"/>
              </w:rPr>
              <w:t>2,779,134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color w:val="auto"/>
              </w:rPr>
              <w:t>7,223,904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(28,933)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7,194,971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28"/>
        </w:trPr>
        <w:tc>
          <w:tcPr>
            <w:tcW w:w="2060" w:type="dxa"/>
            <w:vAlign w:val="bottom"/>
            <w:gridSpan w:val="2"/>
          </w:tcPr>
          <w:p>
            <w:pPr>
              <w:ind w:left="220"/>
              <w:spacing w:after="0"/>
              <w:rPr>
                <w:sz w:val="20"/>
                <w:szCs w:val="20"/>
                <w:color w:val="auto"/>
              </w:rPr>
            </w:pPr>
            <w:r>
              <w:rPr>
                <w:rFonts w:ascii="Arial" w:cs="Arial" w:eastAsia="Arial" w:hAnsi="Arial"/>
                <w:sz w:val="9"/>
                <w:szCs w:val="9"/>
                <w:color w:val="auto"/>
              </w:rPr>
              <w:t>(3)</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BFE4FF"/>
          </w:tcPr>
          <w:p>
            <w:pPr>
              <w:spacing w:after="0"/>
              <w:rPr>
                <w:sz w:val="17"/>
                <w:szCs w:val="17"/>
                <w:color w:val="auto"/>
              </w:rPr>
            </w:pPr>
          </w:p>
        </w:tc>
        <w:tc>
          <w:tcPr>
            <w:tcW w:w="3120" w:type="dxa"/>
            <w:vAlign w:val="bottom"/>
            <w:gridSpan w:val="3"/>
            <w:shd w:val="clear" w:color="auto" w:fill="BFE4FF"/>
          </w:tcPr>
          <w:p>
            <w:pPr>
              <w:ind w:left="200"/>
              <w:spacing w:after="0"/>
              <w:rPr>
                <w:sz w:val="20"/>
                <w:szCs w:val="20"/>
                <w:color w:val="auto"/>
              </w:rPr>
            </w:pPr>
            <w:r>
              <w:rPr>
                <w:rFonts w:ascii="Arial" w:cs="Arial" w:eastAsia="Arial" w:hAnsi="Arial"/>
                <w:sz w:val="14"/>
                <w:szCs w:val="14"/>
                <w:color w:val="auto"/>
                <w:w w:val="96"/>
              </w:rPr>
              <w:t>StormWind, LLC–Preferred shares, Series B 8%</w:t>
            </w:r>
          </w:p>
        </w:tc>
        <w:tc>
          <w:tcPr>
            <w:tcW w:w="100" w:type="dxa"/>
            <w:vAlign w:val="bottom"/>
            <w:shd w:val="clear" w:color="auto" w:fill="BFE4FF"/>
          </w:tcPr>
          <w:p>
            <w:pPr>
              <w:spacing w:after="0"/>
              <w:rPr>
                <w:sz w:val="17"/>
                <w:szCs w:val="17"/>
                <w:color w:val="auto"/>
              </w:rPr>
            </w:pPr>
          </w:p>
        </w:tc>
        <w:tc>
          <w:tcPr>
            <w:tcW w:w="660" w:type="dxa"/>
            <w:vAlign w:val="bottom"/>
            <w:vMerge w:val="restart"/>
            <w:shd w:val="clear" w:color="auto" w:fill="BFE4FF"/>
          </w:tcPr>
          <w:p>
            <w:pPr>
              <w:jc w:val="right"/>
              <w:ind w:right="32"/>
              <w:spacing w:after="0"/>
              <w:rPr>
                <w:sz w:val="20"/>
                <w:szCs w:val="20"/>
                <w:color w:val="auto"/>
              </w:rPr>
            </w:pPr>
            <w:r>
              <w:rPr>
                <w:rFonts w:ascii="Arial" w:cs="Arial" w:eastAsia="Arial" w:hAnsi="Arial"/>
                <w:sz w:val="14"/>
                <w:szCs w:val="14"/>
                <w:color w:val="auto"/>
                <w:w w:val="86"/>
              </w:rPr>
              <w:t>3,279,629</w:t>
            </w:r>
          </w:p>
        </w:tc>
        <w:tc>
          <w:tcPr>
            <w:tcW w:w="1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760" w:type="dxa"/>
            <w:vAlign w:val="bottom"/>
            <w:gridSpan w:val="2"/>
            <w:vMerge w:val="restart"/>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7"/>
                <w:szCs w:val="17"/>
                <w:color w:val="auto"/>
              </w:rPr>
            </w:pPr>
          </w:p>
        </w:tc>
        <w:tc>
          <w:tcPr>
            <w:tcW w:w="780" w:type="dxa"/>
            <w:vAlign w:val="bottom"/>
            <w:vMerge w:val="restart"/>
            <w:shd w:val="clear" w:color="auto" w:fill="BFE4FF"/>
          </w:tcPr>
          <w:p>
            <w:pPr>
              <w:jc w:val="right"/>
              <w:ind w:right="31"/>
              <w:spacing w:after="0"/>
              <w:rPr>
                <w:sz w:val="20"/>
                <w:szCs w:val="20"/>
                <w:color w:val="auto"/>
              </w:rPr>
            </w:pPr>
            <w:r>
              <w:rPr>
                <w:rFonts w:ascii="Arial" w:cs="Arial" w:eastAsia="Arial" w:hAnsi="Arial"/>
                <w:sz w:val="14"/>
                <w:szCs w:val="14"/>
                <w:color w:val="auto"/>
              </w:rPr>
              <w:t>5,804,472</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88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17"/>
                <w:szCs w:val="17"/>
                <w:color w:val="auto"/>
              </w:rPr>
            </w:pPr>
          </w:p>
        </w:tc>
        <w:tc>
          <w:tcPr>
            <w:tcW w:w="700" w:type="dxa"/>
            <w:vAlign w:val="bottom"/>
            <w:gridSpan w:val="2"/>
            <w:vMerge w:val="restart"/>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780" w:type="dxa"/>
            <w:vAlign w:val="bottom"/>
            <w:gridSpan w:val="2"/>
            <w:vMerge w:val="restart"/>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(34,144)</w:t>
            </w:r>
          </w:p>
        </w:tc>
        <w:tc>
          <w:tcPr>
            <w:tcW w:w="120" w:type="dxa"/>
            <w:vAlign w:val="bottom"/>
            <w:shd w:val="clear" w:color="auto" w:fill="BFE4FF"/>
          </w:tcPr>
          <w:p>
            <w:pPr>
              <w:spacing w:after="0"/>
              <w:rPr>
                <w:sz w:val="17"/>
                <w:szCs w:val="17"/>
                <w:color w:val="auto"/>
              </w:rPr>
            </w:pPr>
          </w:p>
        </w:tc>
        <w:tc>
          <w:tcPr>
            <w:tcW w:w="80" w:type="dxa"/>
            <w:vAlign w:val="bottom"/>
            <w:shd w:val="clear" w:color="auto" w:fill="BFE4FF"/>
          </w:tcPr>
          <w:p>
            <w:pPr>
              <w:spacing w:after="0"/>
              <w:rPr>
                <w:sz w:val="17"/>
                <w:szCs w:val="17"/>
                <w:color w:val="auto"/>
              </w:rPr>
            </w:pPr>
          </w:p>
        </w:tc>
        <w:tc>
          <w:tcPr>
            <w:tcW w:w="800" w:type="dxa"/>
            <w:vAlign w:val="bottom"/>
            <w:vMerge w:val="restart"/>
            <w:shd w:val="clear" w:color="auto" w:fill="BFE4FF"/>
          </w:tcPr>
          <w:p>
            <w:pPr>
              <w:jc w:val="right"/>
              <w:ind w:right="51"/>
              <w:spacing w:after="0"/>
              <w:rPr>
                <w:sz w:val="20"/>
                <w:szCs w:val="20"/>
                <w:color w:val="auto"/>
              </w:rPr>
            </w:pPr>
            <w:r>
              <w:rPr>
                <w:rFonts w:ascii="Arial" w:cs="Arial" w:eastAsia="Arial" w:hAnsi="Arial"/>
                <w:sz w:val="14"/>
                <w:szCs w:val="14"/>
                <w:color w:val="auto"/>
              </w:rPr>
              <w:t>5,770,328</w:t>
            </w:r>
          </w:p>
        </w:tc>
        <w:tc>
          <w:tcPr>
            <w:tcW w:w="800" w:type="dxa"/>
            <w:vAlign w:val="bottom"/>
            <w:gridSpan w:val="2"/>
            <w:vMerge w:val="restart"/>
            <w:shd w:val="clear" w:color="auto" w:fill="BFE4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37"/>
        </w:trPr>
        <w:tc>
          <w:tcPr>
            <w:tcW w:w="2060" w:type="dxa"/>
            <w:vAlign w:val="bottom"/>
            <w:gridSpan w:val="2"/>
            <w:shd w:val="clear" w:color="auto" w:fill="BFE4FF"/>
          </w:tcPr>
          <w:p>
            <w:pPr>
              <w:ind w:left="220"/>
              <w:spacing w:after="0"/>
              <w:rPr>
                <w:sz w:val="20"/>
                <w:szCs w:val="20"/>
                <w:color w:val="auto"/>
              </w:rPr>
            </w:pPr>
            <w:r>
              <w:rPr>
                <w:rFonts w:ascii="Arial" w:cs="Arial" w:eastAsia="Arial" w:hAnsi="Arial"/>
                <w:sz w:val="9"/>
                <w:szCs w:val="9"/>
                <w:color w:val="auto"/>
              </w:rPr>
              <w:t>(3)</w:t>
            </w:r>
          </w:p>
        </w:tc>
        <w:tc>
          <w:tcPr>
            <w:tcW w:w="98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60" w:type="dxa"/>
            <w:vAlign w:val="bottom"/>
            <w:gridSpan w:val="2"/>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80" w:type="dxa"/>
            <w:vAlign w:val="bottom"/>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80" w:type="dxa"/>
            <w:vAlign w:val="bottom"/>
            <w:gridSpan w:val="2"/>
            <w:vMerge w:val="continue"/>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700" w:type="dxa"/>
            <w:vAlign w:val="bottom"/>
            <w:gridSpan w:val="2"/>
            <w:vMerge w:val="continue"/>
            <w:shd w:val="clear" w:color="auto" w:fill="BFE4FF"/>
          </w:tcPr>
          <w:p>
            <w:pPr>
              <w:spacing w:after="0"/>
              <w:rPr>
                <w:sz w:val="11"/>
                <w:szCs w:val="11"/>
                <w:color w:val="auto"/>
              </w:rPr>
            </w:pPr>
          </w:p>
        </w:tc>
        <w:tc>
          <w:tcPr>
            <w:tcW w:w="140" w:type="dxa"/>
            <w:vAlign w:val="bottom"/>
            <w:shd w:val="clear" w:color="auto" w:fill="BFE4FF"/>
          </w:tcPr>
          <w:p>
            <w:pPr>
              <w:spacing w:after="0"/>
              <w:rPr>
                <w:sz w:val="11"/>
                <w:szCs w:val="11"/>
                <w:color w:val="auto"/>
              </w:rPr>
            </w:pPr>
          </w:p>
        </w:tc>
        <w:tc>
          <w:tcPr>
            <w:tcW w:w="780" w:type="dxa"/>
            <w:vAlign w:val="bottom"/>
            <w:gridSpan w:val="2"/>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7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800" w:type="dxa"/>
            <w:vAlign w:val="bottom"/>
            <w:vMerge w:val="continue"/>
            <w:shd w:val="clear" w:color="auto" w:fill="BFE4FF"/>
          </w:tcPr>
          <w:p>
            <w:pPr>
              <w:spacing w:after="0"/>
              <w:rPr>
                <w:sz w:val="11"/>
                <w:szCs w:val="11"/>
                <w:color w:val="auto"/>
              </w:rPr>
            </w:pPr>
          </w:p>
        </w:tc>
        <w:tc>
          <w:tcPr>
            <w:tcW w:w="800" w:type="dxa"/>
            <w:vAlign w:val="bottom"/>
            <w:gridSpan w:val="2"/>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20" w:type="dxa"/>
            <w:vAlign w:val="bottom"/>
            <w:gridSpan w:val="3"/>
          </w:tcPr>
          <w:p>
            <w:pPr>
              <w:ind w:left="200"/>
              <w:spacing w:after="0"/>
              <w:rPr>
                <w:sz w:val="20"/>
                <w:szCs w:val="20"/>
                <w:color w:val="auto"/>
              </w:rPr>
            </w:pPr>
            <w:r>
              <w:rPr>
                <w:rFonts w:ascii="Arial" w:cs="Arial" w:eastAsia="Arial" w:hAnsi="Arial"/>
                <w:sz w:val="14"/>
                <w:szCs w:val="14"/>
                <w:color w:val="auto"/>
                <w:w w:val="96"/>
              </w:rPr>
              <w:t>StormWind, LLC–Preferred shares, Series A 8%</w:t>
            </w:r>
          </w:p>
        </w:tc>
        <w:tc>
          <w:tcPr>
            <w:tcW w:w="100" w:type="dxa"/>
            <w:vAlign w:val="bottom"/>
          </w:tcPr>
          <w:p>
            <w:pPr>
              <w:spacing w:after="0"/>
              <w:rPr>
                <w:sz w:val="16"/>
                <w:szCs w:val="16"/>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366,666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4"/>
                <w:szCs w:val="14"/>
                <w:color w:val="auto"/>
              </w:rPr>
              <w:t>425,342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421,525</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29"/>
        </w:trPr>
        <w:tc>
          <w:tcPr>
            <w:tcW w:w="2060" w:type="dxa"/>
            <w:vAlign w:val="bottom"/>
            <w:tcBorders>
              <w:bottom w:val="single" w:sz="8" w:color="BFE4FF"/>
            </w:tcBorders>
            <w:gridSpan w:val="2"/>
          </w:tcPr>
          <w:p>
            <w:pPr>
              <w:ind w:left="220"/>
              <w:spacing w:after="0"/>
              <w:rPr>
                <w:sz w:val="20"/>
                <w:szCs w:val="20"/>
                <w:color w:val="auto"/>
              </w:rPr>
            </w:pPr>
            <w:r>
              <w:rPr>
                <w:rFonts w:ascii="Arial" w:cs="Arial" w:eastAsia="Arial" w:hAnsi="Arial"/>
                <w:sz w:val="9"/>
                <w:szCs w:val="9"/>
                <w:color w:val="auto"/>
              </w:rPr>
              <w:t>(3)</w:t>
            </w:r>
          </w:p>
        </w:tc>
        <w:tc>
          <w:tcPr>
            <w:tcW w:w="980" w:type="dxa"/>
            <w:vAlign w:val="bottom"/>
            <w:tcBorders>
              <w:bottom w:val="single" w:sz="8" w:color="BFE4FF"/>
            </w:tcBorders>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660" w:type="dxa"/>
            <w:vAlign w:val="bottom"/>
            <w:tcBorders>
              <w:bottom w:val="single" w:sz="8" w:color="BFE4FF"/>
            </w:tcBorders>
            <w:vMerge w:val="continue"/>
          </w:tcPr>
          <w:p>
            <w:pPr>
              <w:spacing w:after="0"/>
              <w:rPr>
                <w:sz w:val="11"/>
                <w:szCs w:val="11"/>
                <w:color w:val="auto"/>
              </w:rPr>
            </w:pPr>
          </w:p>
        </w:tc>
        <w:tc>
          <w:tcPr>
            <w:tcW w:w="120" w:type="dxa"/>
            <w:vAlign w:val="bottom"/>
            <w:tcBorders>
              <w:bottom w:val="single" w:sz="8" w:color="BFE4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BFE4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BFE4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BFE4FF"/>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BFE4FF"/>
            </w:tcBorders>
            <w:shd w:val="clear" w:color="auto" w:fill="BFE4FF"/>
          </w:tcPr>
          <w:p>
            <w:pPr>
              <w:spacing w:after="0"/>
              <w:rPr>
                <w:sz w:val="17"/>
                <w:szCs w:val="17"/>
                <w:color w:val="auto"/>
              </w:rPr>
            </w:pPr>
          </w:p>
        </w:tc>
        <w:tc>
          <w:tcPr>
            <w:tcW w:w="312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4"/>
                <w:szCs w:val="14"/>
                <w:i w:val="1"/>
                <w:iCs w:val="1"/>
                <w:color w:val="auto"/>
              </w:rPr>
              <w:t>Total Interactive Learning</w:t>
            </w:r>
          </w:p>
        </w:tc>
        <w:tc>
          <w:tcPr>
            <w:tcW w:w="100" w:type="dxa"/>
            <w:vAlign w:val="bottom"/>
            <w:tcBorders>
              <w:bottom w:val="single" w:sz="8" w:color="BFE4FF"/>
            </w:tcBorders>
            <w:shd w:val="clear" w:color="auto" w:fill="BFE4FF"/>
          </w:tcPr>
          <w:p>
            <w:pPr>
              <w:spacing w:after="0"/>
              <w:rPr>
                <w:sz w:val="17"/>
                <w:szCs w:val="17"/>
                <w:color w:val="auto"/>
              </w:rPr>
            </w:pPr>
          </w:p>
        </w:tc>
        <w:tc>
          <w:tcPr>
            <w:tcW w:w="660" w:type="dxa"/>
            <w:vAlign w:val="bottom"/>
            <w:tcBorders>
              <w:bottom w:val="single" w:sz="8" w:color="BFE4FF"/>
            </w:tcBorders>
            <w:shd w:val="clear" w:color="auto" w:fill="BFE4FF"/>
          </w:tcPr>
          <w:p>
            <w:pPr>
              <w:spacing w:after="0"/>
              <w:rPr>
                <w:sz w:val="17"/>
                <w:szCs w:val="17"/>
                <w:color w:val="auto"/>
              </w:rPr>
            </w:pPr>
          </w:p>
        </w:tc>
        <w:tc>
          <w:tcPr>
            <w:tcW w:w="120" w:type="dxa"/>
            <w:vAlign w:val="bottom"/>
            <w:tcBorders>
              <w:bottom w:val="single" w:sz="8" w:color="BFE4FF"/>
            </w:tcBorders>
            <w:shd w:val="clear" w:color="auto" w:fill="BFE4FF"/>
          </w:tcPr>
          <w:p>
            <w:pPr>
              <w:spacing w:after="0"/>
              <w:rPr>
                <w:sz w:val="17"/>
                <w:szCs w:val="17"/>
                <w:color w:val="auto"/>
              </w:rPr>
            </w:pPr>
          </w:p>
        </w:tc>
        <w:tc>
          <w:tcPr>
            <w:tcW w:w="100" w:type="dxa"/>
            <w:vAlign w:val="bottom"/>
            <w:tcBorders>
              <w:bottom w:val="single" w:sz="8" w:color="BFE4FF"/>
            </w:tcBorders>
            <w:shd w:val="clear" w:color="auto" w:fill="BFE4FF"/>
          </w:tcPr>
          <w:p>
            <w:pPr>
              <w:spacing w:after="0"/>
              <w:rPr>
                <w:sz w:val="17"/>
                <w:szCs w:val="17"/>
                <w:color w:val="auto"/>
              </w:rPr>
            </w:pPr>
          </w:p>
        </w:tc>
        <w:tc>
          <w:tcPr>
            <w:tcW w:w="76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7"/>
                <w:szCs w:val="17"/>
                <w:color w:val="auto"/>
              </w:rPr>
            </w:pPr>
          </w:p>
        </w:tc>
        <w:tc>
          <w:tcPr>
            <w:tcW w:w="78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4"/>
                <w:szCs w:val="14"/>
                <w:color w:val="auto"/>
                <w:w w:val="94"/>
              </w:rPr>
              <w:t>13,453,718</w:t>
            </w:r>
          </w:p>
        </w:tc>
        <w:tc>
          <w:tcPr>
            <w:tcW w:w="100" w:type="dxa"/>
            <w:vAlign w:val="bottom"/>
            <w:tcBorders>
              <w:bottom w:val="single" w:sz="8" w:color="BFE4FF"/>
            </w:tcBorders>
            <w:shd w:val="clear" w:color="auto" w:fill="BFE4FF"/>
          </w:tcPr>
          <w:p>
            <w:pPr>
              <w:spacing w:after="0"/>
              <w:rPr>
                <w:sz w:val="17"/>
                <w:szCs w:val="17"/>
                <w:color w:val="auto"/>
              </w:rPr>
            </w:pPr>
          </w:p>
        </w:tc>
        <w:tc>
          <w:tcPr>
            <w:tcW w:w="120" w:type="dxa"/>
            <w:vAlign w:val="bottom"/>
            <w:tcBorders>
              <w:bottom w:val="single" w:sz="8" w:color="BFE4FF"/>
            </w:tcBorders>
            <w:shd w:val="clear" w:color="auto" w:fill="BFE4FF"/>
          </w:tcPr>
          <w:p>
            <w:pPr>
              <w:spacing w:after="0"/>
              <w:rPr>
                <w:sz w:val="17"/>
                <w:szCs w:val="17"/>
                <w:color w:val="auto"/>
              </w:rPr>
            </w:pPr>
          </w:p>
        </w:tc>
        <w:tc>
          <w:tcPr>
            <w:tcW w:w="8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E4FF"/>
            </w:tcBorders>
            <w:shd w:val="clear" w:color="auto" w:fill="BFE4FF"/>
          </w:tcPr>
          <w:p>
            <w:pPr>
              <w:spacing w:after="0"/>
              <w:rPr>
                <w:sz w:val="17"/>
                <w:szCs w:val="17"/>
                <w:color w:val="auto"/>
              </w:rPr>
            </w:pPr>
          </w:p>
        </w:tc>
        <w:tc>
          <w:tcPr>
            <w:tcW w:w="7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FE4FF"/>
            </w:tcBorders>
            <w:shd w:val="clear" w:color="auto" w:fill="BFE4FF"/>
          </w:tcPr>
          <w:p>
            <w:pPr>
              <w:spacing w:after="0"/>
              <w:rPr>
                <w:sz w:val="17"/>
                <w:szCs w:val="17"/>
                <w:color w:val="auto"/>
              </w:rPr>
            </w:pPr>
          </w:p>
        </w:tc>
        <w:tc>
          <w:tcPr>
            <w:tcW w:w="7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E4FF"/>
            </w:tcBorders>
            <w:shd w:val="clear" w:color="auto" w:fill="BFE4FF"/>
          </w:tcPr>
          <w:p>
            <w:pPr>
              <w:spacing w:after="0"/>
              <w:rPr>
                <w:sz w:val="17"/>
                <w:szCs w:val="17"/>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4"/>
                <w:szCs w:val="14"/>
                <w:color w:val="auto"/>
              </w:rPr>
              <w:t>(66,894)</w:t>
            </w:r>
          </w:p>
        </w:tc>
        <w:tc>
          <w:tcPr>
            <w:tcW w:w="120" w:type="dxa"/>
            <w:vAlign w:val="bottom"/>
            <w:tcBorders>
              <w:bottom w:val="single" w:sz="8" w:color="BFE4FF"/>
            </w:tcBorders>
            <w:shd w:val="clear" w:color="auto" w:fill="BFE4FF"/>
          </w:tcPr>
          <w:p>
            <w:pPr>
              <w:spacing w:after="0"/>
              <w:rPr>
                <w:sz w:val="17"/>
                <w:szCs w:val="17"/>
                <w:color w:val="auto"/>
              </w:rPr>
            </w:pPr>
          </w:p>
        </w:tc>
        <w:tc>
          <w:tcPr>
            <w:tcW w:w="80" w:type="dxa"/>
            <w:vAlign w:val="bottom"/>
            <w:tcBorders>
              <w:bottom w:val="single" w:sz="8" w:color="BFE4FF"/>
            </w:tcBorders>
            <w:shd w:val="clear" w:color="auto" w:fill="BFE4FF"/>
          </w:tcPr>
          <w:p>
            <w:pPr>
              <w:spacing w:after="0"/>
              <w:rPr>
                <w:sz w:val="17"/>
                <w:szCs w:val="17"/>
                <w:color w:val="auto"/>
              </w:rPr>
            </w:pPr>
          </w:p>
        </w:tc>
        <w:tc>
          <w:tcPr>
            <w:tcW w:w="80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4"/>
                <w:szCs w:val="14"/>
                <w:color w:val="auto"/>
                <w:w w:val="94"/>
              </w:rPr>
              <w:t>13,386,824</w:t>
            </w:r>
          </w:p>
        </w:tc>
        <w:tc>
          <w:tcPr>
            <w:tcW w:w="8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Total Preferred Stock</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625,000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w w:val="94"/>
              </w:rPr>
              <w:t>22,669,458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(1,036,750)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w w:val="94"/>
              </w:rPr>
              <w:t>21,632,708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-4250690</wp:posOffset>
            </wp:positionV>
            <wp:extent cx="6604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60"/>
          </w:cols>
          <w:pgMar w:left="320" w:top="124" w:right="319" w:bottom="1440" w:gutter="0" w:footer="0" w:header="0"/>
        </w:sectPr>
      </w:pPr>
    </w:p>
    <w:bookmarkStart w:id="119" w:name="page120"/>
    <w:bookmarkEnd w:id="1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Interest,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Purchases,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Fees, or</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Fair Value at</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Capitalized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Fair Value at</w:t>
            </w:r>
          </w:p>
        </w:tc>
        <w:tc>
          <w:tcPr>
            <w:tcW w:w="72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6"/>
              </w:rPr>
              <w:t>Principal/</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Dividends</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4"/>
              </w:rPr>
              <w:t>Fees,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Realized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Unrealized</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Type/Industry/Portfolio Company/Investment</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Credited</w:t>
            </w:r>
          </w:p>
        </w:tc>
        <w:tc>
          <w:tcPr>
            <w:tcW w:w="98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Sales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720" w:type="dxa"/>
            <w:vAlign w:val="bottom"/>
          </w:tcPr>
          <w:p>
            <w:pPr>
              <w:jc w:val="right"/>
              <w:ind w:right="132"/>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Quantity</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in Income</w:t>
            </w:r>
          </w:p>
        </w:tc>
        <w:tc>
          <w:tcPr>
            <w:tcW w:w="100" w:type="dxa"/>
            <w:vAlign w:val="bottom"/>
          </w:tcPr>
          <w:p>
            <w:pPr>
              <w:spacing w:after="0"/>
              <w:rPr>
                <w:sz w:val="14"/>
                <w:szCs w:val="14"/>
                <w:color w:val="auto"/>
              </w:rPr>
            </w:pPr>
          </w:p>
        </w:tc>
        <w:tc>
          <w:tcPr>
            <w:tcW w:w="780" w:type="dxa"/>
            <w:vAlign w:val="bottom"/>
          </w:tcPr>
          <w:p>
            <w:pPr>
              <w:jc w:val="center"/>
              <w:ind w:right="3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Gains/(Losses)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Pr>
          <w:p>
            <w:pPr>
              <w:spacing w:after="0"/>
              <w:rPr>
                <w:sz w:val="14"/>
                <w:szCs w:val="14"/>
                <w:color w:val="auto"/>
              </w:rPr>
            </w:pPr>
          </w:p>
        </w:tc>
        <w:tc>
          <w:tcPr>
            <w:tcW w:w="800" w:type="dxa"/>
            <w:vAlign w:val="bottom"/>
          </w:tcPr>
          <w:p>
            <w:pPr>
              <w:jc w:val="center"/>
              <w:ind w:right="31"/>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300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Warrant Series A-3, Strike Price $1.33,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Expiration Date 4/4/2021</w:t>
            </w:r>
            <w:r>
              <w:rPr>
                <w:rFonts w:ascii="Arial" w:cs="Arial" w:eastAsia="Arial" w:hAnsi="Arial"/>
                <w:sz w:val="18"/>
                <w:szCs w:val="18"/>
                <w:color w:val="auto"/>
                <w:vertAlign w:val="superscript"/>
              </w:rPr>
              <w:t>(10)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26,250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rPr>
              <w:t>Warrant Series A-4, Strike Price $1.33,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rPr>
              <w:t>Expiration Date 10/6/2021</w:t>
            </w:r>
            <w:r>
              <w:rPr>
                <w:rFonts w:ascii="Arial" w:cs="Arial" w:eastAsia="Arial" w:hAnsi="Arial"/>
                <w:sz w:val="18"/>
                <w:szCs w:val="18"/>
                <w:color w:val="auto"/>
                <w:vertAlign w:val="superscript"/>
              </w:rPr>
              <w:t>(10)</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145,000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Warrant Series A-4, Strike Price $1.33,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Expiration Date 7/18/2021</w:t>
            </w: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250,000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102,500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70,000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w w:val="94"/>
              </w:rPr>
              <w:t>Warrant Series B, Strike Price $2.31, Expiration</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rPr>
              <w:t>Date 11/29/2021</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41,000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(40,444)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4"/>
              </w:rPr>
              <w:t>Warrant Series B, Strike Price $2.31, Expiration</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Date 5/29/2022</w:t>
            </w: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125,000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80,000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(79,306)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694</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w w:val="93"/>
              </w:rPr>
              <w:t>NestGSV, Inc. (d/b/a GSV Labs, Inc.)–Preferred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gridSpan w:val="3"/>
          </w:tcPr>
          <w:p>
            <w:pPr>
              <w:ind w:left="200"/>
              <w:spacing w:after="0"/>
              <w:rPr>
                <w:sz w:val="20"/>
                <w:szCs w:val="20"/>
                <w:color w:val="auto"/>
              </w:rPr>
            </w:pPr>
            <w:r>
              <w:rPr>
                <w:rFonts w:ascii="Arial" w:cs="Arial" w:eastAsia="Arial" w:hAnsi="Arial"/>
                <w:sz w:val="14"/>
                <w:szCs w:val="14"/>
                <w:color w:val="auto"/>
                <w:w w:val="94"/>
              </w:rPr>
              <w:t>Warrant Series B, Strike Price $2.31, Expiration</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gridSpan w:val="3"/>
          </w:tcPr>
          <w:p>
            <w:pPr>
              <w:ind w:left="200"/>
              <w:spacing w:after="0"/>
              <w:rPr>
                <w:sz w:val="20"/>
                <w:szCs w:val="20"/>
                <w:color w:val="auto"/>
              </w:rPr>
            </w:pPr>
            <w:r>
              <w:rPr>
                <w:rFonts w:ascii="Arial" w:cs="Arial" w:eastAsia="Arial" w:hAnsi="Arial"/>
                <w:sz w:val="14"/>
                <w:szCs w:val="14"/>
                <w:color w:val="auto"/>
              </w:rPr>
              <w:t>Date 12/31/2023</w:t>
            </w:r>
            <w:r>
              <w:rPr>
                <w:rFonts w:ascii="Arial" w:cs="Arial" w:eastAsia="Arial" w:hAnsi="Arial"/>
                <w:sz w:val="18"/>
                <w:szCs w:val="18"/>
                <w:color w:val="auto"/>
                <w:vertAlign w:val="superscript"/>
              </w:rPr>
              <w:t>(10)</w:t>
            </w:r>
          </w:p>
        </w:tc>
        <w:tc>
          <w:tcPr>
            <w:tcW w:w="860" w:type="dxa"/>
            <w:vAlign w:val="bottom"/>
            <w:tcBorders>
              <w:bottom w:val="single" w:sz="8" w:color="CCEEFF"/>
            </w:tcBorders>
            <w:gridSpan w:val="2"/>
          </w:tcPr>
          <w:p>
            <w:pPr>
              <w:jc w:val="right"/>
              <w:ind w:right="38"/>
              <w:spacing w:after="0"/>
              <w:rPr>
                <w:sz w:val="20"/>
                <w:szCs w:val="20"/>
                <w:color w:val="auto"/>
              </w:rPr>
            </w:pPr>
            <w:r>
              <w:rPr>
                <w:rFonts w:ascii="Arial" w:cs="Arial" w:eastAsia="Arial" w:hAnsi="Arial"/>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5,080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i w:val="1"/>
                <w:iCs w:val="1"/>
                <w:color w:val="auto"/>
              </w:rPr>
              <w:t>Total Global Innovation Platform</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385,375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5,080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247,500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Total Warrants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385,375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5,080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(142,955)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247,500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i w:val="1"/>
                <w:iCs w:val="1"/>
                <w:color w:val="auto"/>
              </w:rPr>
              <w:t>Clean Technology</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3"/>
              </w:rPr>
              <w:t>SPBRX, INC. (f/k/a GSV Sustainability Partners,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Inc.)–Common shares</w:t>
            </w: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4"/>
              </w:rPr>
              <w:t>NestGSV, Inc. (d/b/a GSV Labs, Inc.)–Common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86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Total Common Stock</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CONTROLLED INVESTMENTS*</w:t>
            </w:r>
            <w:r>
              <w:rPr>
                <w:rFonts w:ascii="Arial" w:cs="Arial" w:eastAsia="Arial" w:hAnsi="Arial"/>
                <w:sz w:val="18"/>
                <w:szCs w:val="18"/>
                <w:b w:val="1"/>
                <w:bCs w:val="1"/>
                <w:color w:val="auto"/>
                <w:vertAlign w:val="superscript"/>
              </w:rPr>
              <w:t>(2)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684,835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94"/>
              </w:rPr>
              <w:t>24,207,161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397,517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(592,129)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(1,195,135)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w w:val="94"/>
              </w:rPr>
              <w:t>22,816,733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NON-CONTROLLED/AFFILIATE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0" w:type="dxa"/>
            <w:vAlign w:val="bottom"/>
            <w:gridSpan w:val="3"/>
          </w:tcPr>
          <w:p>
            <w:pPr>
              <w:spacing w:after="0" w:line="154"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7"/>
                <w:szCs w:val="17"/>
                <w:b w:val="1"/>
                <w:bCs w:val="1"/>
                <w:color w:val="auto"/>
                <w:vertAlign w:val="superscript"/>
              </w:rPr>
              <w:t>(1)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Debt Investments</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3"/>
          </w:tcPr>
          <w:p>
            <w:pPr>
              <w:ind w:left="120"/>
              <w:spacing w:after="0"/>
              <w:rPr>
                <w:sz w:val="20"/>
                <w:szCs w:val="20"/>
                <w:color w:val="auto"/>
              </w:rPr>
            </w:pPr>
            <w:r>
              <w:rPr>
                <w:rFonts w:ascii="Arial" w:cs="Arial" w:eastAsia="Arial" w:hAnsi="Arial"/>
                <w:sz w:val="14"/>
                <w:szCs w:val="14"/>
                <w:i w:val="1"/>
                <w:iCs w:val="1"/>
                <w:color w:val="auto"/>
              </w:rPr>
              <w:t>Corporate Education</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7"/>
              </w:rPr>
              <w:t>CUX, Inc. (d/b/a CorpU)–Senior Subordinated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1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2/14/2020***</w:t>
            </w:r>
            <w:r>
              <w:rPr>
                <w:rFonts w:ascii="Arial" w:cs="Arial" w:eastAsia="Arial" w:hAnsi="Arial"/>
                <w:sz w:val="18"/>
                <w:szCs w:val="18"/>
                <w:color w:val="auto"/>
                <w:vertAlign w:val="superscript"/>
              </w:rPr>
              <w:t>(4)</w:t>
            </w:r>
          </w:p>
        </w:tc>
        <w:tc>
          <w:tcPr>
            <w:tcW w:w="8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$1,360,489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104,256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1,259,712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102,257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1,360,489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60"/>
          </w:cols>
          <w:pgMar w:left="320" w:top="124" w:right="319" w:bottom="1440" w:gutter="0" w:footer="0" w:header="0"/>
        </w:sectPr>
      </w:pPr>
    </w:p>
    <w:bookmarkStart w:id="120" w:name="page121"/>
    <w:bookmarkEnd w:id="1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Interest,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Purchases,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Fees, or</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Fair Value at</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7"/>
              </w:rPr>
              <w:t>Capitalized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8"/>
              </w:rPr>
              <w:t>Fair Value at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Principal/</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Dividends</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4"/>
              </w:rPr>
              <w:t>Fees,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Unrealized</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Type/Industry/Portfolio Company/Investment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Credited</w:t>
            </w:r>
          </w:p>
        </w:tc>
        <w:tc>
          <w:tcPr>
            <w:tcW w:w="98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Sales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00" w:type="dxa"/>
            <w:vAlign w:val="bottom"/>
          </w:tcPr>
          <w:p>
            <w:pPr>
              <w:spacing w:after="0"/>
              <w:rPr>
                <w:sz w:val="11"/>
                <w:szCs w:val="11"/>
                <w:color w:val="auto"/>
              </w:rPr>
            </w:pPr>
          </w:p>
        </w:tc>
        <w:tc>
          <w:tcPr>
            <w:tcW w:w="700" w:type="dxa"/>
            <w:vAlign w:val="bottom"/>
          </w:tcPr>
          <w:p>
            <w:pPr>
              <w:jc w:val="right"/>
              <w:ind w:right="132"/>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3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rPr>
              <w:t>Quantity</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2"/>
              </w:rPr>
              <w:t>in Income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Gains/(Losses)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Digital Media Platform</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Ozy Media, Inc.–Convertible Promissory Note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5% Due 12/31/2018</w:t>
            </w:r>
            <w:r>
              <w:rPr>
                <w:rFonts w:ascii="Arial" w:cs="Arial" w:eastAsia="Arial" w:hAnsi="Arial"/>
                <w:sz w:val="18"/>
                <w:szCs w:val="18"/>
                <w:color w:val="auto"/>
                <w:vertAlign w:val="superscript"/>
              </w:rPr>
              <w:t>(7)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w w:val="86"/>
              </w:rPr>
              <w:t>2,102,384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268,104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1,067,639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133,031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(30,647)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1,983,552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3,153,575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8"/>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Ozy Media, Inc.–Promissory Note 10% Due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2/12/2018***</w:t>
            </w:r>
            <w:r>
              <w:rPr>
                <w:rFonts w:ascii="Arial" w:cs="Arial" w:eastAsia="Arial" w:hAnsi="Arial"/>
                <w:sz w:val="18"/>
                <w:szCs w:val="18"/>
                <w:color w:val="auto"/>
                <w:vertAlign w:val="superscript"/>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2,384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140" w:type="dxa"/>
            <w:vAlign w:val="bottom"/>
            <w:gridSpan w:val="2"/>
          </w:tcPr>
          <w:p>
            <w:pPr>
              <w:ind w:left="140"/>
              <w:spacing w:after="0"/>
              <w:rPr>
                <w:sz w:val="20"/>
                <w:szCs w:val="20"/>
                <w:color w:val="auto"/>
              </w:rPr>
            </w:pPr>
            <w:r>
              <w:rPr>
                <w:rFonts w:ascii="Arial" w:cs="Arial" w:eastAsia="Arial" w:hAnsi="Arial"/>
                <w:sz w:val="14"/>
                <w:szCs w:val="14"/>
                <w:i w:val="1"/>
                <w:iCs w:val="1"/>
                <w:color w:val="auto"/>
              </w:rPr>
              <w:t>Total Digital Media Platform</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270,488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1,067,639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233,031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6"/>
              </w:rPr>
              <w:t>(130,647)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1,983,552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3,153,575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Social Cognitive Learning</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140" w:type="dxa"/>
            <w:vAlign w:val="bottom"/>
            <w:gridSpan w:val="2"/>
          </w:tcPr>
          <w:p>
            <w:pPr>
              <w:ind w:left="220"/>
              <w:spacing w:after="0"/>
              <w:rPr>
                <w:sz w:val="20"/>
                <w:szCs w:val="20"/>
                <w:color w:val="auto"/>
              </w:rPr>
            </w:pPr>
            <w:r>
              <w:rPr>
                <w:rFonts w:ascii="Arial" w:cs="Arial" w:eastAsia="Arial" w:hAnsi="Arial"/>
                <w:sz w:val="14"/>
                <w:szCs w:val="14"/>
                <w:color w:val="auto"/>
                <w:w w:val="97"/>
              </w:rPr>
              <w:t>Declara, Inc.–Convertible Promissory Note 12%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Due 4/30/2018</w:t>
            </w:r>
            <w:r>
              <w:rPr>
                <w:rFonts w:ascii="Arial" w:cs="Arial" w:eastAsia="Arial" w:hAnsi="Arial"/>
                <w:sz w:val="18"/>
                <w:szCs w:val="18"/>
                <w:color w:val="auto"/>
                <w:vertAlign w:val="superscript"/>
              </w:rPr>
              <w:t>(6)(9)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w w:val="86"/>
              </w:rPr>
              <w:t>2,327,727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207,069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1,120,329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212,254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(1,332,583)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Investments</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581,813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3,447,680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547,542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(130,647)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649,489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4,514,064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5"/>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Corporate Education</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CUX, Inc. (d/b/a CorpU)–Convertible preferred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shares, Series D 6%</w:t>
            </w:r>
          </w:p>
        </w:tc>
        <w:tc>
          <w:tcPr>
            <w:tcW w:w="10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169,033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989,489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(111,484)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878,005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6"/>
              </w:rPr>
              <w:t>CUX, Inc. (d/b/a CorpU) -Convertible preferred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shares, Series C 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615,763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480,184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(480,184)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gridSpan w:val="2"/>
          </w:tcPr>
          <w:p>
            <w:pPr>
              <w:ind w:left="140"/>
              <w:spacing w:after="0"/>
              <w:rPr>
                <w:sz w:val="20"/>
                <w:szCs w:val="20"/>
                <w:color w:val="auto"/>
              </w:rPr>
            </w:pPr>
            <w:r>
              <w:rPr>
                <w:rFonts w:ascii="Arial" w:cs="Arial" w:eastAsia="Arial" w:hAnsi="Arial"/>
                <w:sz w:val="14"/>
                <w:szCs w:val="14"/>
                <w:i w:val="1"/>
                <w:iCs w:val="1"/>
                <w:color w:val="auto"/>
              </w:rPr>
              <w:t>Total Corporate Education</w:t>
            </w: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1,469,673</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(591,668)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878,005</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Social Cognitive Learning</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Declara, Inc.–Preferred shares, Series A 8%</w:t>
            </w:r>
          </w:p>
        </w:tc>
        <w:tc>
          <w:tcPr>
            <w:tcW w:w="760" w:type="dxa"/>
            <w:vAlign w:val="bottom"/>
            <w:gridSpan w:val="2"/>
          </w:tcPr>
          <w:p>
            <w:pPr>
              <w:jc w:val="right"/>
              <w:ind w:right="31"/>
              <w:spacing w:after="0"/>
              <w:rPr>
                <w:sz w:val="20"/>
                <w:szCs w:val="20"/>
                <w:color w:val="auto"/>
              </w:rPr>
            </w:pPr>
            <w:r>
              <w:rPr>
                <w:rFonts w:ascii="Arial" w:cs="Arial" w:eastAsia="Arial" w:hAnsi="Arial"/>
                <w:sz w:val="14"/>
                <w:szCs w:val="14"/>
                <w:color w:val="auto"/>
                <w:w w:val="91"/>
              </w:rPr>
              <w:t>10,716,390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382,678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(382,678)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Education Media Platform</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EdSurge, Inc.–Preferred shares, Series A-1</w:t>
            </w:r>
          </w:p>
        </w:tc>
        <w:tc>
          <w:tcPr>
            <w:tcW w:w="100" w:type="dxa"/>
            <w:vAlign w:val="bottom"/>
          </w:tcPr>
          <w:p>
            <w:pPr>
              <w:spacing w:after="0"/>
              <w:rPr>
                <w:sz w:val="17"/>
                <w:szCs w:val="17"/>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378,788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250,000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EdSurge, Inc.–Preferred shares, Series A</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494,365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581,917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(312,069)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269,848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tcPr>
          <w:p>
            <w:pPr>
              <w:ind w:left="140"/>
              <w:spacing w:after="0"/>
              <w:rPr>
                <w:sz w:val="20"/>
                <w:szCs w:val="20"/>
                <w:color w:val="auto"/>
              </w:rPr>
            </w:pPr>
            <w:r>
              <w:rPr>
                <w:rFonts w:ascii="Arial" w:cs="Arial" w:eastAsia="Arial" w:hAnsi="Arial"/>
                <w:sz w:val="14"/>
                <w:szCs w:val="14"/>
                <w:i w:val="1"/>
                <w:iCs w:val="1"/>
                <w:color w:val="auto"/>
              </w:rPr>
              <w:t>Total Education Media Platform</w:t>
            </w:r>
          </w:p>
        </w:tc>
        <w:tc>
          <w:tcPr>
            <w:tcW w:w="100" w:type="dxa"/>
            <w:vAlign w:val="bottom"/>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1,081,917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(562,069)</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519,848</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Knowledge Networks</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gridSpan w:val="2"/>
          </w:tcPr>
          <w:p>
            <w:pPr>
              <w:ind w:left="220"/>
              <w:spacing w:after="0"/>
              <w:rPr>
                <w:sz w:val="20"/>
                <w:szCs w:val="20"/>
                <w:color w:val="auto"/>
              </w:rPr>
            </w:pPr>
            <w:r>
              <w:rPr>
                <w:rFonts w:ascii="Arial" w:cs="Arial" w:eastAsia="Arial" w:hAnsi="Arial"/>
                <w:sz w:val="14"/>
                <w:szCs w:val="14"/>
                <w:color w:val="auto"/>
                <w:w w:val="93"/>
              </w:rPr>
              <w:t>Maven Research, Inc.–Preferred shares, Series C</w:t>
            </w:r>
          </w:p>
        </w:tc>
        <w:tc>
          <w:tcPr>
            <w:tcW w:w="100" w:type="dxa"/>
            <w:vAlign w:val="bottom"/>
          </w:tcPr>
          <w:p>
            <w:pPr>
              <w:spacing w:after="0"/>
              <w:rPr>
                <w:sz w:val="17"/>
                <w:szCs w:val="17"/>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318,979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501,240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3140" w:type="dxa"/>
            <w:vAlign w:val="bottom"/>
            <w:gridSpan w:val="2"/>
          </w:tcPr>
          <w:p>
            <w:pPr>
              <w:ind w:left="220"/>
              <w:spacing w:after="0"/>
              <w:rPr>
                <w:sz w:val="20"/>
                <w:szCs w:val="20"/>
                <w:color w:val="auto"/>
              </w:rPr>
            </w:pPr>
            <w:r>
              <w:rPr>
                <w:rFonts w:ascii="Arial" w:cs="Arial" w:eastAsia="Arial" w:hAnsi="Arial"/>
                <w:sz w:val="14"/>
                <w:szCs w:val="14"/>
                <w:color w:val="auto"/>
                <w:w w:val="93"/>
              </w:rPr>
              <w:t>Maven Research, Inc.–Preferred shares, Series B</w:t>
            </w:r>
          </w:p>
        </w:tc>
        <w:tc>
          <w:tcPr>
            <w:tcW w:w="1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49,505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Total Knowledge Networks</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551,240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(551,240)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140" w:type="dxa"/>
            <w:vAlign w:val="bottom"/>
            <w:gridSpan w:val="2"/>
          </w:tcPr>
          <w:p>
            <w:pPr>
              <w:ind w:left="140"/>
              <w:spacing w:after="0"/>
              <w:rPr>
                <w:sz w:val="20"/>
                <w:szCs w:val="20"/>
                <w:color w:val="auto"/>
              </w:rPr>
            </w:pPr>
            <w:r>
              <w:rPr>
                <w:rFonts w:ascii="Arial" w:cs="Arial" w:eastAsia="Arial" w:hAnsi="Arial"/>
                <w:sz w:val="14"/>
                <w:szCs w:val="14"/>
                <w:i w:val="1"/>
                <w:iCs w:val="1"/>
                <w:color w:val="auto"/>
              </w:rPr>
              <w:t>Digital Media Platform</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w w:val="99"/>
              </w:rPr>
              <w:t>OzyMedia, Inc.–Preferred shares, Series B 6%</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922,509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2,367,022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(2,367,022)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140" w:type="dxa"/>
            <w:vAlign w:val="bottom"/>
            <w:gridSpan w:val="2"/>
          </w:tcPr>
          <w:p>
            <w:pPr>
              <w:ind w:left="220"/>
              <w:spacing w:after="0"/>
              <w:rPr>
                <w:sz w:val="20"/>
                <w:szCs w:val="20"/>
                <w:color w:val="auto"/>
              </w:rPr>
            </w:pPr>
            <w:r>
              <w:rPr>
                <w:rFonts w:ascii="Arial" w:cs="Arial" w:eastAsia="Arial" w:hAnsi="Arial"/>
                <w:sz w:val="14"/>
                <w:szCs w:val="14"/>
                <w:color w:val="auto"/>
                <w:w w:val="99"/>
              </w:rPr>
              <w:t>OzyMedia, Inc.–Preferred shares, Series A 6%</w:t>
            </w:r>
          </w:p>
        </w:tc>
        <w:tc>
          <w:tcPr>
            <w:tcW w:w="100" w:type="dxa"/>
            <w:vAlign w:val="bottom"/>
          </w:tcPr>
          <w:p>
            <w:pPr>
              <w:spacing w:after="0"/>
              <w:rPr>
                <w:sz w:val="17"/>
                <w:szCs w:val="17"/>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w w:val="86"/>
              </w:rPr>
              <w:t>1,090,909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1,419,810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4"/>
              </w:rPr>
              <w:t>(1,419,810)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w w:val="92"/>
              </w:rPr>
              <w:t>OzyMedia, Inc.–Preferred shares, Series Seed 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236,635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(236,635)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tcPr>
          <w:p>
            <w:pPr>
              <w:ind w:left="140"/>
              <w:spacing w:after="0"/>
              <w:rPr>
                <w:sz w:val="20"/>
                <w:szCs w:val="20"/>
                <w:color w:val="auto"/>
              </w:rPr>
            </w:pPr>
            <w:r>
              <w:rPr>
                <w:rFonts w:ascii="Arial" w:cs="Arial" w:eastAsia="Arial" w:hAnsi="Arial"/>
                <w:sz w:val="14"/>
                <w:szCs w:val="14"/>
                <w:i w:val="1"/>
                <w:iCs w:val="1"/>
                <w:color w:val="auto"/>
              </w:rPr>
              <w:t>Total Digital Media Platform</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4,023,467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(4,023,467)</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Preferred Stock</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7,508,975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(6,111,122)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1,397,854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8"/>
        </w:trPr>
        <w:tc>
          <w:tcPr>
            <w:tcW w:w="3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60"/>
          </w:cols>
          <w:pgMar w:left="320" w:top="124" w:right="319" w:bottom="1440" w:gutter="0" w:footer="0" w:header="0"/>
        </w:sectPr>
      </w:pPr>
    </w:p>
    <w:bookmarkStart w:id="121" w:name="page122"/>
    <w:bookmarkEnd w:id="12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30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Interest,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Purchases,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Fees, or</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Fair Value at</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Capitalized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8"/>
              </w:rPr>
              <w:t>Fair Value at</w:t>
            </w:r>
          </w:p>
        </w:tc>
        <w:tc>
          <w:tcPr>
            <w:tcW w:w="720" w:type="dxa"/>
            <w:vAlign w:val="bottom"/>
            <w:vMerge w:val="restart"/>
          </w:tcPr>
          <w:p>
            <w:pPr>
              <w:jc w:val="right"/>
              <w:ind w:right="13"/>
              <w:spacing w:after="0"/>
              <w:rPr>
                <w:sz w:val="20"/>
                <w:szCs w:val="20"/>
                <w:color w:val="auto"/>
              </w:rPr>
            </w:pPr>
            <w:r>
              <w:rPr>
                <w:rFonts w:ascii="Arial" w:cs="Arial" w:eastAsia="Arial" w:hAnsi="Arial"/>
                <w:sz w:val="12"/>
                <w:szCs w:val="12"/>
                <w:b w:val="1"/>
                <w:bCs w:val="1"/>
                <w:color w:val="auto"/>
                <w:w w:val="95"/>
              </w:rPr>
              <w:t>Percentage</w:t>
            </w: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6"/>
              </w:rPr>
              <w:t>Principal/</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Dividends</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4"/>
              </w:rPr>
              <w:t>Fees,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Realized</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Unrealized</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Type/Industry/Portfolio Company/Investment</w:t>
            </w: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4"/>
              </w:rPr>
              <w:t>Credited</w:t>
            </w:r>
          </w:p>
        </w:tc>
        <w:tc>
          <w:tcPr>
            <w:tcW w:w="980" w:type="dxa"/>
            <w:vAlign w:val="bottom"/>
            <w:gridSpan w:val="3"/>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4"/>
              </w:rPr>
              <w:t>Interest and</w:t>
            </w:r>
          </w:p>
        </w:tc>
        <w:tc>
          <w:tcPr>
            <w:tcW w:w="100" w:type="dxa"/>
            <w:vAlign w:val="bottom"/>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Sales</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color w:val="auto"/>
                <w:w w:val="92"/>
              </w:rPr>
              <w:t>December 31,</w:t>
            </w:r>
          </w:p>
        </w:tc>
        <w:tc>
          <w:tcPr>
            <w:tcW w:w="720" w:type="dxa"/>
            <w:vAlign w:val="bottom"/>
          </w:tcPr>
          <w:p>
            <w:pPr>
              <w:jc w:val="right"/>
              <w:ind w:right="133"/>
              <w:spacing w:after="0" w:line="128" w:lineRule="exact"/>
              <w:rPr>
                <w:sz w:val="20"/>
                <w:szCs w:val="20"/>
                <w:color w:val="auto"/>
              </w:rPr>
            </w:pPr>
            <w:r>
              <w:rPr>
                <w:rFonts w:ascii="Arial" w:cs="Arial" w:eastAsia="Arial" w:hAnsi="Arial"/>
                <w:sz w:val="12"/>
                <w:szCs w:val="12"/>
                <w:b w:val="1"/>
                <w:bCs w:val="1"/>
                <w:color w:val="auto"/>
              </w:rPr>
              <w:t>of Net</w:t>
            </w:r>
          </w:p>
        </w:tc>
        <w:tc>
          <w:tcPr>
            <w:tcW w:w="0" w:type="dxa"/>
            <w:vAlign w:val="bottom"/>
          </w:tcPr>
          <w:p>
            <w:pPr>
              <w:spacing w:after="0"/>
              <w:rPr>
                <w:sz w:val="1"/>
                <w:szCs w:val="1"/>
                <w:color w:val="auto"/>
              </w:rPr>
            </w:pPr>
          </w:p>
        </w:tc>
      </w:tr>
      <w:tr>
        <w:trPr>
          <w:trHeight w:val="165"/>
        </w:trPr>
        <w:tc>
          <w:tcPr>
            <w:tcW w:w="3120" w:type="dxa"/>
            <w:vAlign w:val="bottom"/>
            <w:gridSpan w:val="2"/>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Quantity</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in Income</w:t>
            </w:r>
          </w:p>
        </w:tc>
        <w:tc>
          <w:tcPr>
            <w:tcW w:w="100" w:type="dxa"/>
            <w:vAlign w:val="bottom"/>
          </w:tcPr>
          <w:p>
            <w:pPr>
              <w:spacing w:after="0"/>
              <w:rPr>
                <w:sz w:val="14"/>
                <w:szCs w:val="14"/>
                <w:color w:val="auto"/>
              </w:rPr>
            </w:pPr>
          </w:p>
        </w:tc>
        <w:tc>
          <w:tcPr>
            <w:tcW w:w="780" w:type="dxa"/>
            <w:vAlign w:val="bottom"/>
          </w:tcPr>
          <w:p>
            <w:pPr>
              <w:jc w:val="center"/>
              <w:ind w:right="32"/>
              <w:spacing w:after="0"/>
              <w:rPr>
                <w:sz w:val="20"/>
                <w:szCs w:val="20"/>
                <w:color w:val="auto"/>
              </w:rPr>
            </w:pPr>
            <w:r>
              <w:rPr>
                <w:rFonts w:ascii="Arial" w:cs="Arial" w:eastAsia="Arial" w:hAnsi="Arial"/>
                <w:sz w:val="12"/>
                <w:szCs w:val="12"/>
                <w:b w:val="1"/>
                <w:bCs w:val="1"/>
                <w:color w:val="auto"/>
                <w:w w:val="89"/>
              </w:rPr>
              <w:t>2017</w:t>
            </w:r>
          </w:p>
        </w:tc>
        <w:tc>
          <w:tcPr>
            <w:tcW w:w="10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Gains/(Losses)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Gains/(Losses)</w:t>
            </w:r>
          </w:p>
        </w:tc>
        <w:tc>
          <w:tcPr>
            <w:tcW w:w="100" w:type="dxa"/>
            <w:vAlign w:val="bottom"/>
          </w:tcPr>
          <w:p>
            <w:pPr>
              <w:spacing w:after="0"/>
              <w:rPr>
                <w:sz w:val="14"/>
                <w:szCs w:val="14"/>
                <w:color w:val="auto"/>
              </w:rPr>
            </w:pPr>
          </w:p>
        </w:tc>
        <w:tc>
          <w:tcPr>
            <w:tcW w:w="800" w:type="dxa"/>
            <w:vAlign w:val="bottom"/>
          </w:tcPr>
          <w:p>
            <w:pPr>
              <w:jc w:val="center"/>
              <w:ind w:right="32"/>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2"/>
                <w:szCs w:val="12"/>
                <w:b w:val="1"/>
                <w:bCs w:val="1"/>
                <w:color w:val="auto"/>
              </w:rPr>
              <w:t>Assets</w:t>
            </w:r>
          </w:p>
        </w:tc>
        <w:tc>
          <w:tcPr>
            <w:tcW w:w="0" w:type="dxa"/>
            <w:vAlign w:val="bottom"/>
          </w:tcPr>
          <w:p>
            <w:pPr>
              <w:spacing w:after="0"/>
              <w:rPr>
                <w:sz w:val="1"/>
                <w:szCs w:val="1"/>
                <w:color w:val="auto"/>
              </w:rPr>
            </w:pPr>
          </w:p>
        </w:tc>
      </w:tr>
      <w:tr>
        <w:trPr>
          <w:trHeight w:val="221"/>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Warrants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20" w:type="dxa"/>
            <w:vAlign w:val="bottom"/>
            <w:gridSpan w:val="2"/>
          </w:tcPr>
          <w:p>
            <w:pPr>
              <w:ind w:left="140"/>
              <w:spacing w:after="0"/>
              <w:rPr>
                <w:sz w:val="20"/>
                <w:szCs w:val="20"/>
                <w:color w:val="auto"/>
              </w:rPr>
            </w:pPr>
            <w:r>
              <w:rPr>
                <w:rFonts w:ascii="Arial" w:cs="Arial" w:eastAsia="Arial" w:hAnsi="Arial"/>
                <w:sz w:val="14"/>
                <w:szCs w:val="14"/>
                <w:i w:val="1"/>
                <w:iCs w:val="1"/>
                <w:color w:val="auto"/>
              </w:rPr>
              <w:t>Corporate Education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CUX, Inc. (d/b/a CorpU) –Preferred warrants,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Series D, Strike Price $4.59, Expiration Date</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2/14/2020</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19,946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5"/>
        </w:trPr>
        <w:tc>
          <w:tcPr>
            <w:tcW w:w="3120" w:type="dxa"/>
            <w:vAlign w:val="bottom"/>
            <w:gridSpan w:val="2"/>
          </w:tcPr>
          <w:p>
            <w:pPr>
              <w:ind w:left="140"/>
              <w:spacing w:after="0"/>
              <w:rPr>
                <w:sz w:val="20"/>
                <w:szCs w:val="20"/>
                <w:color w:val="auto"/>
              </w:rPr>
            </w:pPr>
            <w:r>
              <w:rPr>
                <w:rFonts w:ascii="Arial" w:cs="Arial" w:eastAsia="Arial" w:hAnsi="Arial"/>
                <w:sz w:val="14"/>
                <w:szCs w:val="14"/>
                <w:i w:val="1"/>
                <w:iCs w:val="1"/>
                <w:color w:val="auto"/>
              </w:rPr>
              <w:t>Digital Media Platform</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6"/>
              </w:rPr>
              <w:t>OzyMedia, Inc.–Common Warrants, Strike Price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$0.01, Expiration Date 4/9/2028</w:t>
            </w:r>
            <w:r>
              <w:rPr>
                <w:rFonts w:ascii="Arial" w:cs="Arial" w:eastAsia="Arial" w:hAnsi="Arial"/>
                <w:sz w:val="18"/>
                <w:szCs w:val="18"/>
                <w:color w:val="auto"/>
                <w:vertAlign w:val="superscript"/>
              </w:rPr>
              <w:t>(7)</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295,565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30,647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Warrants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30,647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(13,067)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19,946</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ind w:left="140"/>
              <w:spacing w:after="0"/>
              <w:rPr>
                <w:sz w:val="20"/>
                <w:szCs w:val="20"/>
                <w:color w:val="auto"/>
              </w:rPr>
            </w:pPr>
            <w:r>
              <w:rPr>
                <w:rFonts w:ascii="Arial" w:cs="Arial" w:eastAsia="Arial" w:hAnsi="Arial"/>
                <w:sz w:val="14"/>
                <w:szCs w:val="14"/>
                <w:i w:val="1"/>
                <w:iCs w:val="1"/>
                <w:color w:val="auto"/>
              </w:rPr>
              <w:t>Online Education</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Curious.com, Inc.–Common shares</w:t>
            </w:r>
            <w:r>
              <w:rPr>
                <w:rFonts w:ascii="Arial" w:cs="Arial" w:eastAsia="Arial" w:hAnsi="Arial"/>
                <w:sz w:val="18"/>
                <w:szCs w:val="18"/>
                <w:color w:val="auto"/>
                <w:vertAlign w:val="superscript"/>
              </w:rPr>
              <w:t>(11)</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1,135,944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5,514,077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(5,514,077)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Common Stock</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5,514,077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(5,514,077)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NON-CONTROLLED/AFFILIATE</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581,813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4"/>
              </w:rPr>
              <w:t>16,473,098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b w:val="1"/>
                <w:bCs w:val="1"/>
                <w:color w:val="auto"/>
              </w:rPr>
              <w:t>578,189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(130,647)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(10,988,777)</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5,931,863</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238"/>
        </w:trPr>
        <w:tc>
          <w:tcPr>
            <w:tcW w:w="302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-1282065</wp:posOffset>
            </wp:positionV>
            <wp:extent cx="191706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17065" cy="7620"/>
                    </a:xfrm>
                    <a:prstGeom prst="rect">
                      <a:avLst/>
                    </a:prstGeom>
                    <a:noFill/>
                  </pic:spPr>
                </pic:pic>
              </a:graphicData>
            </a:graphic>
          </wp:anchor>
        </w:drawing>
      </w:r>
    </w:p>
    <w:p>
      <w:pPr>
        <w:ind w:left="7"/>
        <w:spacing w:after="0"/>
        <w:rPr>
          <w:sz w:val="20"/>
          <w:szCs w:val="20"/>
          <w:color w:val="auto"/>
        </w:rPr>
      </w:pPr>
      <w:r>
        <w:rPr>
          <w:rFonts w:ascii="Arial" w:cs="Arial" w:eastAsia="Arial" w:hAnsi="Arial"/>
          <w:sz w:val="15"/>
          <w:szCs w:val="15"/>
          <w:b w:val="1"/>
          <w:bCs w:val="1"/>
          <w:color w:val="auto"/>
        </w:rPr>
        <w:t>____________________</w:t>
      </w:r>
    </w:p>
    <w:p>
      <w:pPr>
        <w:spacing w:after="0" w:line="28" w:lineRule="exact"/>
        <w:rPr>
          <w:sz w:val="20"/>
          <w:szCs w:val="20"/>
          <w:color w:val="auto"/>
        </w:rPr>
      </w:pPr>
    </w:p>
    <w:p>
      <w:pPr>
        <w:jc w:val="both"/>
        <w:ind w:left="287" w:right="20" w:hanging="287"/>
        <w:spacing w:after="0" w:line="302" w:lineRule="auto"/>
        <w:tabs>
          <w:tab w:leader="none" w:pos="287" w:val="left"/>
        </w:tabs>
        <w:numPr>
          <w:ilvl w:val="0"/>
          <w:numId w:val="67"/>
        </w:numPr>
        <w:rPr>
          <w:rFonts w:ascii="Arial" w:cs="Arial" w:eastAsia="Arial" w:hAnsi="Arial"/>
          <w:sz w:val="14"/>
          <w:szCs w:val="14"/>
          <w:color w:val="auto"/>
        </w:rPr>
      </w:pPr>
      <w:r>
        <w:rPr>
          <w:rFonts w:ascii="Arial" w:cs="Arial" w:eastAsia="Arial" w:hAnsi="Arial"/>
          <w:sz w:val="13"/>
          <w:szCs w:val="13"/>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3"/>
          <w:szCs w:val="13"/>
          <w:i w:val="1"/>
          <w:iCs w:val="1"/>
          <w:color w:val="auto"/>
        </w:rPr>
        <w:t>Investments at Fair Value</w:t>
      </w:r>
      <w:r>
        <w:rPr>
          <w:rFonts w:ascii="Arial" w:cs="Arial" w:eastAsia="Arial" w:hAnsi="Arial"/>
          <w:sz w:val="13"/>
          <w:szCs w:val="13"/>
          <w:color w:val="auto"/>
        </w:rPr>
        <w:t>").</w:t>
      </w:r>
    </w:p>
    <w:p>
      <w:pPr>
        <w:spacing w:after="0" w:line="122" w:lineRule="exact"/>
        <w:rPr>
          <w:sz w:val="20"/>
          <w:szCs w:val="20"/>
          <w:color w:val="auto"/>
        </w:rPr>
      </w:pPr>
    </w:p>
    <w:p>
      <w:pPr>
        <w:ind w:left="287" w:hanging="287"/>
        <w:spacing w:after="0"/>
        <w:tabs>
          <w:tab w:leader="none" w:pos="287"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Indicates assets that GSV Capital Corp. believes do not represent “qualifying assets” under Section 55(a) of the 1940 Act.</w:t>
      </w:r>
    </w:p>
    <w:p>
      <w:pPr>
        <w:spacing w:after="0" w:line="164" w:lineRule="exact"/>
        <w:rPr>
          <w:rFonts w:ascii="Arial" w:cs="Arial" w:eastAsia="Arial" w:hAnsi="Arial"/>
          <w:sz w:val="14"/>
          <w:szCs w:val="14"/>
          <w:color w:val="auto"/>
        </w:rPr>
      </w:pPr>
    </w:p>
    <w:p>
      <w:pPr>
        <w:ind w:left="287" w:hanging="287"/>
        <w:spacing w:after="0"/>
        <w:tabs>
          <w:tab w:leader="none" w:pos="287"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Investment is income-producing.</w:t>
      </w:r>
    </w:p>
    <w:p>
      <w:pPr>
        <w:spacing w:after="0" w:line="164" w:lineRule="exact"/>
        <w:rPr>
          <w:sz w:val="20"/>
          <w:szCs w:val="20"/>
          <w:color w:val="auto"/>
        </w:rPr>
      </w:pPr>
    </w:p>
    <w:p>
      <w:pPr>
        <w:ind w:left="427" w:hanging="427"/>
        <w:spacing w:after="0" w:line="267" w:lineRule="auto"/>
        <w:tabs>
          <w:tab w:leader="none" w:pos="4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4"/>
          <w:szCs w:val="14"/>
          <w:i w:val="1"/>
          <w:iCs w:val="1"/>
          <w:color w:val="auto"/>
        </w:rPr>
        <w:t>i.e.</w:t>
      </w:r>
      <w:r>
        <w:rPr>
          <w:rFonts w:ascii="Arial" w:cs="Arial" w:eastAsia="Arial" w:hAnsi="Arial"/>
          <w:sz w:val="14"/>
          <w:szCs w:val="14"/>
          <w:color w:val="auto"/>
        </w:rPr>
        <w:t>, securities with the right to elect directors) of such company.</w:t>
      </w:r>
    </w:p>
    <w:p>
      <w:pPr>
        <w:spacing w:after="0" w:line="129"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37" w:lineRule="exact"/>
        <w:rPr>
          <w:rFonts w:ascii="Arial" w:cs="Arial" w:eastAsia="Arial" w:hAnsi="Arial"/>
          <w:sz w:val="14"/>
          <w:szCs w:val="14"/>
          <w:color w:val="auto"/>
        </w:rPr>
      </w:pPr>
    </w:p>
    <w:p>
      <w:pPr>
        <w:ind w:left="427" w:hanging="427"/>
        <w:spacing w:after="0"/>
        <w:tabs>
          <w:tab w:leader="none" w:pos="4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GSV Capital Corp.’s investments in StormWind, LLC are held through GSV Capital Corp.'s wholly owned subsidiary, GSVC SW Holdings, Inc.</w:t>
      </w: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267"/>
          </w:cols>
          <w:pgMar w:left="313" w:top="124" w:right="319" w:bottom="1440" w:gutter="0" w:footer="0" w:header="0"/>
        </w:sectPr>
      </w:pPr>
    </w:p>
    <w:bookmarkStart w:id="122" w:name="page123"/>
    <w:bookmarkEnd w:id="122"/>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91" w:lineRule="exact"/>
        <w:rPr>
          <w:sz w:val="20"/>
          <w:szCs w:val="20"/>
          <w:color w:val="auto"/>
        </w:rPr>
      </w:pPr>
    </w:p>
    <w:p>
      <w:pPr>
        <w:jc w:val="both"/>
        <w:ind w:left="427" w:right="20" w:hanging="427"/>
        <w:spacing w:after="0" w:line="250" w:lineRule="auto"/>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41" w:lineRule="exact"/>
        <w:rPr>
          <w:rFonts w:ascii="Arial" w:cs="Arial" w:eastAsia="Arial" w:hAnsi="Arial"/>
          <w:sz w:val="14"/>
          <w:szCs w:val="14"/>
          <w:color w:val="auto"/>
        </w:rPr>
      </w:pPr>
    </w:p>
    <w:p>
      <w:pPr>
        <w:jc w:val="both"/>
        <w:ind w:left="427" w:right="20" w:hanging="427"/>
        <w:spacing w:after="0" w:line="283" w:lineRule="auto"/>
        <w:tabs>
          <w:tab w:leader="none" w:pos="427" w:val="left"/>
        </w:tabs>
        <w:numPr>
          <w:ilvl w:val="0"/>
          <w:numId w:val="71"/>
        </w:numPr>
        <w:rPr>
          <w:rFonts w:ascii="Arial" w:cs="Arial" w:eastAsia="Arial" w:hAnsi="Arial"/>
          <w:sz w:val="13"/>
          <w:szCs w:val="13"/>
          <w:color w:val="auto"/>
        </w:rPr>
      </w:pPr>
      <w:r>
        <w:rPr>
          <w:rFonts w:ascii="Arial" w:cs="Arial" w:eastAsia="Arial" w:hAnsi="Arial"/>
          <w:sz w:val="13"/>
          <w:szCs w:val="13"/>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21" w:lineRule="exact"/>
        <w:rPr>
          <w:rFonts w:ascii="Arial" w:cs="Arial" w:eastAsia="Arial" w:hAnsi="Arial"/>
          <w:sz w:val="13"/>
          <w:szCs w:val="13"/>
          <w:color w:val="auto"/>
        </w:rPr>
      </w:pPr>
    </w:p>
    <w:p>
      <w:pPr>
        <w:jc w:val="both"/>
        <w:ind w:left="427" w:hanging="427"/>
        <w:spacing w:after="0" w:line="255" w:lineRule="auto"/>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137" w:lineRule="exact"/>
        <w:rPr>
          <w:rFonts w:ascii="Arial" w:cs="Arial" w:eastAsia="Arial" w:hAnsi="Arial"/>
          <w:sz w:val="14"/>
          <w:szCs w:val="14"/>
          <w:color w:val="auto"/>
        </w:rPr>
      </w:pPr>
    </w:p>
    <w:p>
      <w:pPr>
        <w:jc w:val="both"/>
        <w:ind w:left="427" w:hanging="427"/>
        <w:spacing w:after="0" w:line="276" w:lineRule="auto"/>
        <w:tabs>
          <w:tab w:leader="none" w:pos="427" w:val="left"/>
        </w:tabs>
        <w:numPr>
          <w:ilvl w:val="0"/>
          <w:numId w:val="71"/>
        </w:numPr>
        <w:rPr>
          <w:rFonts w:ascii="Arial" w:cs="Arial" w:eastAsia="Arial" w:hAnsi="Arial"/>
          <w:sz w:val="13"/>
          <w:szCs w:val="13"/>
          <w:color w:val="auto"/>
        </w:rPr>
      </w:pPr>
      <w:r>
        <w:rPr>
          <w:rFonts w:ascii="Arial" w:cs="Arial" w:eastAsia="Arial" w:hAnsi="Arial"/>
          <w:sz w:val="13"/>
          <w:szCs w:val="13"/>
          <w:color w:val="auto"/>
        </w:rPr>
        <w:t>Effective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the year-ended December 31, 2018, Ozy Media Inc.'s obligations under its financing arrangements with the Company became past due.</w:t>
      </w:r>
    </w:p>
    <w:p>
      <w:pPr>
        <w:spacing w:after="0" w:line="125" w:lineRule="exact"/>
        <w:rPr>
          <w:rFonts w:ascii="Arial" w:cs="Arial" w:eastAsia="Arial" w:hAnsi="Arial"/>
          <w:sz w:val="13"/>
          <w:szCs w:val="13"/>
          <w:color w:val="auto"/>
        </w:rPr>
      </w:pPr>
    </w:p>
    <w:p>
      <w:pPr>
        <w:ind w:left="427" w:hanging="427"/>
        <w:spacing w:after="0"/>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 January 12, 2018, the unsecured promissory note to NestGSV, Inc. (d/b/a GSV Labs, Inc.) was repaid, with interest.</w:t>
      </w:r>
    </w:p>
    <w:p>
      <w:pPr>
        <w:spacing w:after="0" w:line="164" w:lineRule="exact"/>
        <w:rPr>
          <w:rFonts w:ascii="Arial" w:cs="Arial" w:eastAsia="Arial" w:hAnsi="Arial"/>
          <w:sz w:val="14"/>
          <w:szCs w:val="14"/>
          <w:color w:val="auto"/>
        </w:rPr>
      </w:pPr>
    </w:p>
    <w:p>
      <w:pPr>
        <w:ind w:left="427" w:hanging="427"/>
        <w:spacing w:after="0"/>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of December 31, 2018, the investments noted had been placed on non-accrual status.</w:t>
      </w:r>
    </w:p>
    <w:p>
      <w:pPr>
        <w:spacing w:after="0" w:line="164" w:lineRule="exact"/>
        <w:rPr>
          <w:rFonts w:ascii="Arial" w:cs="Arial" w:eastAsia="Arial" w:hAnsi="Arial"/>
          <w:sz w:val="14"/>
          <w:szCs w:val="14"/>
          <w:color w:val="auto"/>
        </w:rPr>
      </w:pPr>
    </w:p>
    <w:p>
      <w:pPr>
        <w:jc w:val="both"/>
        <w:ind w:left="427" w:hanging="427"/>
        <w:spacing w:after="0" w:line="300" w:lineRule="auto"/>
        <w:tabs>
          <w:tab w:leader="none" w:pos="427" w:val="left"/>
        </w:tabs>
        <w:numPr>
          <w:ilvl w:val="0"/>
          <w:numId w:val="71"/>
        </w:numPr>
        <w:rPr>
          <w:rFonts w:ascii="Arial" w:cs="Arial" w:eastAsia="Arial" w:hAnsi="Arial"/>
          <w:sz w:val="12"/>
          <w:szCs w:val="12"/>
          <w:color w:val="auto"/>
        </w:rPr>
      </w:pPr>
      <w:r>
        <w:rPr>
          <w:rFonts w:ascii="Arial" w:cs="Arial" w:eastAsia="Arial" w:hAnsi="Arial"/>
          <w:sz w:val="12"/>
          <w:szCs w:val="12"/>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12" w:lineRule="exact"/>
        <w:rPr>
          <w:rFonts w:ascii="Arial" w:cs="Arial" w:eastAsia="Arial" w:hAnsi="Arial"/>
          <w:sz w:val="12"/>
          <w:szCs w:val="12"/>
          <w:color w:val="auto"/>
        </w:rPr>
      </w:pPr>
    </w:p>
    <w:p>
      <w:pPr>
        <w:ind w:left="427" w:right="20" w:hanging="427"/>
        <w:spacing w:after="0" w:line="267" w:lineRule="auto"/>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29" w:lineRule="exact"/>
        <w:rPr>
          <w:rFonts w:ascii="Arial" w:cs="Arial" w:eastAsia="Arial" w:hAnsi="Arial"/>
          <w:sz w:val="14"/>
          <w:szCs w:val="14"/>
          <w:color w:val="auto"/>
        </w:rPr>
      </w:pPr>
    </w:p>
    <w:p>
      <w:pPr>
        <w:jc w:val="both"/>
        <w:ind w:left="427" w:hanging="427"/>
        <w:spacing w:after="0" w:line="255" w:lineRule="auto"/>
        <w:tabs>
          <w:tab w:leader="none" w:pos="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267"/>
          </w:cols>
          <w:pgMar w:left="313" w:top="124" w:right="31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5—SHARE REPURCHASE PROGRAM, EQUITY OFFERINGS AND RELATED EXPENSES</w:t>
      </w:r>
    </w:p>
    <w:p>
      <w:pPr>
        <w:spacing w:after="0" w:line="205" w:lineRule="exact"/>
        <w:rPr>
          <w:sz w:val="20"/>
          <w:szCs w:val="20"/>
          <w:color w:val="auto"/>
        </w:rPr>
      </w:pPr>
    </w:p>
    <w:p>
      <w:pPr>
        <w:jc w:val="both"/>
        <w:ind w:firstLine="302"/>
        <w:spacing w:after="0" w:line="282" w:lineRule="auto"/>
        <w:rPr>
          <w:sz w:val="20"/>
          <w:szCs w:val="20"/>
          <w:color w:val="auto"/>
        </w:rPr>
      </w:pPr>
      <w:r>
        <w:rPr>
          <w:rFonts w:ascii="Arial" w:cs="Arial" w:eastAsia="Arial" w:hAnsi="Arial"/>
          <w:sz w:val="14"/>
          <w:szCs w:val="14"/>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w:t>
      </w:r>
    </w:p>
    <w:p>
      <w:pPr>
        <w:spacing w:after="0" w:line="152"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Modified Dutch Auction Tender Offer</w:t>
      </w:r>
    </w:p>
    <w:p>
      <w:pPr>
        <w:spacing w:after="0" w:line="199" w:lineRule="exact"/>
        <w:rPr>
          <w:sz w:val="20"/>
          <w:szCs w:val="20"/>
          <w:color w:val="auto"/>
        </w:rPr>
      </w:pPr>
    </w:p>
    <w:p>
      <w:pPr>
        <w:jc w:val="both"/>
        <w:ind w:firstLine="279"/>
        <w:spacing w:after="0" w:line="265" w:lineRule="auto"/>
        <w:rPr>
          <w:sz w:val="20"/>
          <w:szCs w:val="20"/>
          <w:color w:val="auto"/>
        </w:rPr>
      </w:pPr>
      <w:r>
        <w:rPr>
          <w:rFonts w:ascii="Arial" w:cs="Arial" w:eastAsia="Arial" w:hAnsi="Arial"/>
          <w:sz w:val="15"/>
          <w:szCs w:val="15"/>
          <w:color w:val="auto"/>
        </w:rPr>
        <w:t>On October 21, 2019, the Company commenced a modified “Dutch Auction” tender offer (the “Modified Dutch Auction Tender Offer”) to purchase for cash up to $10.0 million in shares of its common stock from its stockholders, which expired on November 20, 2019. In accordance with the terms of the Modified Dutch Auction Tender Offer, the Company selected the lowest price per share of not less than $6.00 per share and not greater than $8.00 per share, less any applicable withholding taxes and without interest, that could allow the Company to purchase that number of shares having an aggregate purchase price of $10.0 million. Upon the terms and subject to the conditions of the Modified Dutch Auction Tender Offer, if shares having an aggregate purchase price of less than $10.0 million were properly tendered and not properly withdrawn, the Company would purchase all shares properly tendered and not properly withdrawn.</w:t>
      </w:r>
    </w:p>
    <w:p>
      <w:pPr>
        <w:spacing w:after="0" w:line="158" w:lineRule="exact"/>
        <w:rPr>
          <w:sz w:val="20"/>
          <w:szCs w:val="20"/>
          <w:color w:val="auto"/>
        </w:rPr>
      </w:pPr>
    </w:p>
    <w:p>
      <w:pPr>
        <w:jc w:val="both"/>
        <w:ind w:right="20" w:firstLine="279"/>
        <w:spacing w:after="0" w:line="269" w:lineRule="auto"/>
        <w:rPr>
          <w:sz w:val="20"/>
          <w:szCs w:val="20"/>
          <w:color w:val="auto"/>
        </w:rPr>
      </w:pPr>
      <w:r>
        <w:rPr>
          <w:rFonts w:ascii="Arial" w:cs="Arial" w:eastAsia="Arial" w:hAnsi="Arial"/>
          <w:sz w:val="15"/>
          <w:szCs w:val="15"/>
          <w:color w:val="auto"/>
        </w:rPr>
        <w:t>Pursuant to the Modified Dutch Auction Tender Offer, the Company repurchased 1,449,275 shares, representing 7.6% of its outstanding shares, on or about November 22, 2019, at a price of $6.90 per share on a pro rata basis, excluding fees and expenses relating to the self-tender offer. The Company has determined that the proration factor for the tender offer was 78.1%. The Company used available cash to fund the purchases of its shares of common stock in the Modified Dutch Auction Tender Offer and to pay for all related fees and expenses.</w:t>
      </w:r>
    </w:p>
    <w:p>
      <w:pPr>
        <w:spacing w:after="0" w:line="156"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During the year ended December 31, 2019, the Company repurchased 749,128 shares of the Company’s common stock, including shares repurchased through the Modified Dutch Auction Tender Offer. As of December 31, 2019, the dollar value of shares that remained available to be purchased by the Company under the Share Repurchase Program was approximately $5.0 million.</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 new shares of the Company’s common stock were issued during the year ended December 31,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260"/>
          </w:cols>
          <w:pgMar w:left="320" w:top="124" w:right="31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6—NET CHANGE IN NET ASSETS RESULTING FROM OPERATIONS PER COMMON SHARE—BASIC AND DILUTED</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following information sets forth the computation of basic and diluted net increase in net assets resulting from operations per common share, pursuant to ASC 260, for the year ended December 31, 2019 and 2018.</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2019</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32"/>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31"/>
              <w:spacing w:after="0"/>
              <w:rPr>
                <w:sz w:val="20"/>
                <w:szCs w:val="20"/>
                <w:color w:val="auto"/>
              </w:rPr>
            </w:pPr>
            <w:r>
              <w:rPr>
                <w:rFonts w:ascii="Arial" w:cs="Arial" w:eastAsia="Arial" w:hAnsi="Arial"/>
                <w:sz w:val="12"/>
                <w:szCs w:val="12"/>
                <w:b w:val="1"/>
                <w:bCs w:val="1"/>
                <w:color w:val="auto"/>
              </w:rPr>
              <w:t>2017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Earnings per common share–basic:</w:t>
            </w: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change in net assets resulting from operations</w:t>
            </w:r>
          </w:p>
        </w:tc>
        <w:tc>
          <w:tcPr>
            <w:tcW w:w="1380" w:type="dxa"/>
            <w:vAlign w:val="bottom"/>
            <w:tcBorders>
              <w:bottom w:val="single" w:sz="8" w:color="CCEEFF"/>
            </w:tcBorders>
            <w:shd w:val="clear" w:color="auto" w:fill="CCEEFF"/>
          </w:tcPr>
          <w:p>
            <w:pPr>
              <w:jc w:val="right"/>
              <w:ind w:right="12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23,953,697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891,743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17,567,933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gridSpan w:val="3"/>
          </w:tcPr>
          <w:p>
            <w:pPr>
              <w:spacing w:after="0"/>
              <w:rPr>
                <w:sz w:val="20"/>
                <w:szCs w:val="20"/>
                <w:color w:val="auto"/>
              </w:rPr>
            </w:pPr>
            <w:r>
              <w:rPr>
                <w:rFonts w:ascii="Arial" w:cs="Arial" w:eastAsia="Arial" w:hAnsi="Arial"/>
                <w:sz w:val="14"/>
                <w:szCs w:val="14"/>
                <w:color w:val="auto"/>
              </w:rPr>
              <w:t>Weighted-average common shares–basic</w:t>
            </w:r>
          </w:p>
        </w:tc>
        <w:tc>
          <w:tcPr>
            <w:tcW w:w="138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19,328,414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jc w:val="right"/>
              <w:ind w:right="52"/>
              <w:spacing w:after="0"/>
              <w:rPr>
                <w:sz w:val="20"/>
                <w:szCs w:val="20"/>
                <w:color w:val="auto"/>
              </w:rPr>
            </w:pPr>
            <w:r>
              <w:rPr>
                <w:rFonts w:ascii="Arial" w:cs="Arial" w:eastAsia="Arial" w:hAnsi="Arial"/>
                <w:sz w:val="14"/>
                <w:szCs w:val="14"/>
                <w:color w:val="auto"/>
              </w:rPr>
              <w:t>20,617,890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jc w:val="right"/>
              <w:ind w:right="31"/>
              <w:spacing w:after="0"/>
              <w:rPr>
                <w:sz w:val="20"/>
                <w:szCs w:val="20"/>
                <w:color w:val="auto"/>
              </w:rPr>
            </w:pPr>
            <w:r>
              <w:rPr>
                <w:rFonts w:ascii="Arial" w:cs="Arial" w:eastAsia="Arial" w:hAnsi="Arial"/>
                <w:sz w:val="14"/>
                <w:szCs w:val="14"/>
                <w:color w:val="auto"/>
              </w:rPr>
              <w:t>21,924,490</w:t>
            </w: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Earnings per common share–basic</w:t>
            </w:r>
          </w:p>
        </w:tc>
        <w:tc>
          <w:tcPr>
            <w:tcW w:w="138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per common share–diluted:</w:t>
            </w: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change in net assets resulting from operations</w:t>
            </w:r>
          </w:p>
        </w:tc>
        <w:tc>
          <w:tcPr>
            <w:tcW w:w="1380" w:type="dxa"/>
            <w:vAlign w:val="bottom"/>
            <w:tcBorders>
              <w:bottom w:val="single" w:sz="8" w:color="CCEEFF"/>
            </w:tcBorders>
            <w:shd w:val="clear" w:color="auto" w:fill="CCEEFF"/>
          </w:tcPr>
          <w:p>
            <w:pPr>
              <w:jc w:val="right"/>
              <w:ind w:right="12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23,953,697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891,743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17,567,933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60" w:type="dxa"/>
            <w:vAlign w:val="bottom"/>
            <w:gridSpan w:val="3"/>
          </w:tcPr>
          <w:p>
            <w:pPr>
              <w:ind w:left="120"/>
              <w:spacing w:after="0"/>
              <w:rPr>
                <w:sz w:val="20"/>
                <w:szCs w:val="20"/>
                <w:color w:val="auto"/>
              </w:rPr>
            </w:pPr>
            <w:r>
              <w:rPr>
                <w:rFonts w:ascii="Arial" w:cs="Arial" w:eastAsia="Arial" w:hAnsi="Arial"/>
                <w:sz w:val="14"/>
                <w:szCs w:val="14"/>
                <w:color w:val="auto"/>
                <w:w w:val="95"/>
              </w:rPr>
              <w:t>Adjustment for interest and amortization on 5.25% Convertible Senior</w:t>
            </w: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3"/>
          </w:tcPr>
          <w:p>
            <w:pPr>
              <w:ind w:left="180"/>
              <w:spacing w:after="0"/>
              <w:rPr>
                <w:sz w:val="20"/>
                <w:szCs w:val="20"/>
                <w:color w:val="auto"/>
              </w:rPr>
            </w:pPr>
            <w:r>
              <w:rPr>
                <w:rFonts w:ascii="Arial" w:cs="Arial" w:eastAsia="Arial" w:hAnsi="Arial"/>
                <w:sz w:val="14"/>
                <w:szCs w:val="14"/>
                <w:color w:val="auto"/>
              </w:rPr>
              <w:t>Notes due 2018</w:t>
            </w:r>
            <w:r>
              <w:rPr>
                <w:rFonts w:ascii="Arial" w:cs="Arial" w:eastAsia="Arial" w:hAnsi="Arial"/>
                <w:sz w:val="18"/>
                <w:szCs w:val="18"/>
                <w:color w:val="auto"/>
                <w:vertAlign w:val="superscript"/>
              </w:rPr>
              <w:t>(1)</w:t>
            </w:r>
          </w:p>
        </w:tc>
        <w:tc>
          <w:tcPr>
            <w:tcW w:w="13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1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5"/>
              </w:rPr>
              <w:t>Adjustment for interest and amortization on 4.75% Convertible Senior</w:t>
            </w:r>
          </w:p>
        </w:tc>
        <w:tc>
          <w:tcPr>
            <w:tcW w:w="1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Notes due 2023</w:t>
            </w:r>
            <w:r>
              <w:rPr>
                <w:rFonts w:ascii="Arial" w:cs="Arial" w:eastAsia="Arial" w:hAnsi="Arial"/>
                <w:sz w:val="18"/>
                <w:szCs w:val="18"/>
                <w:color w:val="auto"/>
                <w:vertAlign w:val="superscript"/>
              </w:rPr>
              <w:t>(1)</w:t>
            </w:r>
          </w:p>
        </w:tc>
        <w:tc>
          <w:tcPr>
            <w:tcW w:w="1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2,269,124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4260" w:type="dxa"/>
            <w:vAlign w:val="bottom"/>
            <w:tcBorders>
              <w:top w:val="single" w:sz="8" w:color="CCEEFF"/>
            </w:tcBorders>
            <w:gridSpan w:val="3"/>
          </w:tcPr>
          <w:p>
            <w:pPr>
              <w:spacing w:after="0"/>
              <w:rPr>
                <w:sz w:val="20"/>
                <w:szCs w:val="20"/>
                <w:color w:val="auto"/>
              </w:rPr>
            </w:pPr>
            <w:r>
              <w:rPr>
                <w:rFonts w:ascii="Arial" w:cs="Arial" w:eastAsia="Arial" w:hAnsi="Arial"/>
                <w:sz w:val="14"/>
                <w:szCs w:val="14"/>
                <w:color w:val="auto"/>
              </w:rPr>
              <w:t>Net change in net assets resulting from operations, as adjusted</w:t>
            </w:r>
          </w:p>
        </w:tc>
        <w:tc>
          <w:tcPr>
            <w:tcW w:w="1380" w:type="dxa"/>
            <w:vAlign w:val="bottom"/>
            <w:tcBorders>
              <w:top w:val="single" w:sz="8" w:color="auto"/>
            </w:tcBorders>
          </w:tcPr>
          <w:p>
            <w:pPr>
              <w:jc w:val="right"/>
              <w:ind w:right="1212"/>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26,222,821</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891,743</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17,567,933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Adjustment for dilutive effect of 5.25% Convertible Senior Notes due</w:t>
            </w:r>
          </w:p>
        </w:tc>
        <w:tc>
          <w:tcPr>
            <w:tcW w:w="1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2018</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60" w:type="dxa"/>
            <w:vAlign w:val="bottom"/>
            <w:gridSpan w:val="3"/>
          </w:tcPr>
          <w:p>
            <w:pPr>
              <w:ind w:left="120"/>
              <w:spacing w:after="0"/>
              <w:rPr>
                <w:sz w:val="20"/>
                <w:szCs w:val="20"/>
                <w:color w:val="auto"/>
              </w:rPr>
            </w:pPr>
            <w:r>
              <w:rPr>
                <w:rFonts w:ascii="Arial" w:cs="Arial" w:eastAsia="Arial" w:hAnsi="Arial"/>
                <w:sz w:val="14"/>
                <w:szCs w:val="14"/>
                <w:color w:val="auto"/>
                <w:w w:val="97"/>
              </w:rPr>
              <w:t>Adjustment for dilutive effect of 4.75% Convertible Senior Notes due</w:t>
            </w: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20" w:type="dxa"/>
            <w:vAlign w:val="bottom"/>
            <w:gridSpan w:val="2"/>
          </w:tcPr>
          <w:p>
            <w:pPr>
              <w:ind w:left="200"/>
              <w:spacing w:after="0"/>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(1)</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3,741,208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1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Weighted-average common shares outstanding–diluted</w:t>
            </w: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23,069,622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20,617,890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21,924,490</w:t>
            </w:r>
          </w:p>
        </w:tc>
        <w:tc>
          <w:tcPr>
            <w:tcW w:w="0" w:type="dxa"/>
            <w:vAlign w:val="bottom"/>
          </w:tcPr>
          <w:p>
            <w:pPr>
              <w:spacing w:after="0"/>
              <w:rPr>
                <w:sz w:val="1"/>
                <w:szCs w:val="1"/>
                <w:color w:val="auto"/>
              </w:rPr>
            </w:pPr>
          </w:p>
        </w:tc>
      </w:tr>
      <w:tr>
        <w:trPr>
          <w:trHeight w:val="204"/>
        </w:trPr>
        <w:tc>
          <w:tcPr>
            <w:tcW w:w="20" w:type="dxa"/>
            <w:vAlign w:val="bottom"/>
            <w:tcBorders>
              <w:top w:val="single" w:sz="8" w:color="CCEEFF"/>
            </w:tcBorders>
          </w:tcPr>
          <w:p>
            <w:pPr>
              <w:spacing w:after="0"/>
              <w:rPr>
                <w:sz w:val="17"/>
                <w:szCs w:val="17"/>
                <w:color w:val="auto"/>
              </w:rPr>
            </w:pPr>
          </w:p>
        </w:tc>
        <w:tc>
          <w:tcPr>
            <w:tcW w:w="4260" w:type="dxa"/>
            <w:vAlign w:val="bottom"/>
            <w:tcBorders>
              <w:top w:val="single" w:sz="8" w:color="CCEEFF"/>
            </w:tcBorders>
            <w:gridSpan w:val="3"/>
          </w:tcPr>
          <w:p>
            <w:pPr>
              <w:spacing w:after="0"/>
              <w:rPr>
                <w:sz w:val="20"/>
                <w:szCs w:val="20"/>
                <w:color w:val="auto"/>
              </w:rPr>
            </w:pPr>
            <w:r>
              <w:rPr>
                <w:rFonts w:ascii="Arial" w:cs="Arial" w:eastAsia="Arial" w:hAnsi="Arial"/>
                <w:sz w:val="14"/>
                <w:szCs w:val="14"/>
                <w:b w:val="1"/>
                <w:bCs w:val="1"/>
                <w:color w:val="auto"/>
              </w:rPr>
              <w:t>Earnings per common share–diluted</w:t>
            </w:r>
          </w:p>
        </w:tc>
        <w:tc>
          <w:tcPr>
            <w:tcW w:w="1380" w:type="dxa"/>
            <w:vAlign w:val="bottom"/>
            <w:tcBorders>
              <w:top w:val="single" w:sz="8" w:color="auto"/>
              <w:bottom w:val="single" w:sz="8" w:color="auto"/>
            </w:tcBorders>
          </w:tcPr>
          <w:p>
            <w:pPr>
              <w:jc w:val="right"/>
              <w:ind w:right="1212"/>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2120" w:type="dxa"/>
            <w:vAlign w:val="bottom"/>
            <w:gridSpan w:val="2"/>
            <w:vMerge w:val="restart"/>
          </w:tcPr>
          <w:p>
            <w:pPr>
              <w:jc w:val="right"/>
              <w:ind w:right="350"/>
              <w:spacing w:after="0"/>
              <w:rPr>
                <w:sz w:val="20"/>
                <w:szCs w:val="20"/>
                <w:color w:val="auto"/>
              </w:rPr>
            </w:pPr>
            <w:r>
              <w:rPr>
                <w:rFonts w:ascii="Arial" w:cs="Arial" w:eastAsia="Arial" w:hAnsi="Arial"/>
                <w:sz w:val="15"/>
                <w:szCs w:val="15"/>
                <w:color w:val="auto"/>
                <w:w w:val="91"/>
              </w:rPr>
              <w:t>______________________</w:t>
            </w: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40" w:right="20" w:hanging="579"/>
        <w:spacing w:after="0" w:line="234" w:lineRule="auto"/>
        <w:rPr>
          <w:sz w:val="20"/>
          <w:szCs w:val="20"/>
          <w:color w:val="auto"/>
        </w:rPr>
      </w:pPr>
      <w:r>
        <w:rPr>
          <w:rFonts w:ascii="Arial" w:cs="Arial" w:eastAsia="Arial" w:hAnsi="Arial"/>
          <w:sz w:val="14"/>
          <w:szCs w:val="14"/>
          <w:color w:val="auto"/>
        </w:rPr>
        <w:t>(1)</w:t>
      </w:r>
      <w:r>
        <w:rPr>
          <w:rFonts w:ascii="Arial" w:cs="Arial" w:eastAsia="Arial" w:hAnsi="Arial"/>
          <w:sz w:val="12"/>
          <w:szCs w:val="12"/>
          <w:color w:val="auto"/>
        </w:rPr>
        <w:t>For the years ended December 31, 2019, 2018, and 2017, 0, 6,079,068, and 5,751,815 potentially dilutive common shares, respectively, were excluded from the weighted-average common shares outstanding for diluted net</w:t>
      </w:r>
      <w:r>
        <w:rPr>
          <w:rFonts w:ascii="Arial" w:cs="Arial" w:eastAsia="Arial" w:hAnsi="Arial"/>
          <w:sz w:val="14"/>
          <w:szCs w:val="14"/>
          <w:color w:val="auto"/>
        </w:rPr>
        <w:t xml:space="preserve"> </w:t>
      </w:r>
      <w:r>
        <w:rPr>
          <w:rFonts w:ascii="Arial" w:cs="Arial" w:eastAsia="Arial" w:hAnsi="Arial"/>
          <w:sz w:val="12"/>
          <w:szCs w:val="12"/>
          <w:color w:val="auto"/>
        </w:rPr>
        <w:t>change in net assets resulting from operations per common share because the effect of these shares would have been anti-dilutive.</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7—COMMITMENTS AND CONTINGENCIES</w:t>
      </w:r>
    </w:p>
    <w:p>
      <w:pPr>
        <w:spacing w:after="0" w:line="205"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In the normal course of business, the Company may enter into investment agreements under which it commits to make an investment in a portfolio company at some future date or over a specified period of time. As of December 31, 2019 and December 31, 2018, the Company had not entered into any investment agreements that required it to make a future investments in a portfolio company.</w:t>
      </w:r>
    </w:p>
    <w:p>
      <w:pPr>
        <w:spacing w:after="0" w:line="152" w:lineRule="exact"/>
        <w:rPr>
          <w:sz w:val="20"/>
          <w:szCs w:val="20"/>
          <w:color w:val="auto"/>
        </w:rPr>
      </w:pPr>
    </w:p>
    <w:p>
      <w:pPr>
        <w:jc w:val="both"/>
        <w:ind w:right="20" w:firstLine="302"/>
        <w:spacing w:after="0" w:line="269" w:lineRule="auto"/>
        <w:rPr>
          <w:sz w:val="20"/>
          <w:szCs w:val="20"/>
          <w:color w:val="auto"/>
        </w:rPr>
      </w:pPr>
      <w:r>
        <w:rPr>
          <w:rFonts w:ascii="Arial" w:cs="Arial" w:eastAsia="Arial" w:hAnsi="Arial"/>
          <w:sz w:val="15"/>
          <w:szCs w:val="15"/>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Except as described below, the Company is not currently a party to any material legal proceedings.</w:t>
      </w:r>
    </w:p>
    <w:p>
      <w:pPr>
        <w:spacing w:after="0" w:line="156" w:lineRule="exact"/>
        <w:rPr>
          <w:sz w:val="20"/>
          <w:szCs w:val="20"/>
          <w:color w:val="auto"/>
        </w:rPr>
      </w:pPr>
    </w:p>
    <w:p>
      <w:pPr>
        <w:jc w:val="both"/>
        <w:ind w:right="20" w:firstLine="302"/>
        <w:spacing w:after="0" w:line="287" w:lineRule="auto"/>
        <w:rPr>
          <w:sz w:val="20"/>
          <w:szCs w:val="20"/>
          <w:color w:val="auto"/>
        </w:rPr>
      </w:pPr>
      <w:r>
        <w:rPr>
          <w:rFonts w:ascii="Arial" w:cs="Arial" w:eastAsia="Arial" w:hAnsi="Arial"/>
          <w:sz w:val="14"/>
          <w:szCs w:val="14"/>
          <w:color w:val="auto"/>
        </w:rPr>
        <w:t>On March 12, 2020, a complaint was filed in the United States District Court in the Northern District of California, by Sutter Hill Ventures, captioned, Sutter Hill Ventures, a California limited partnership (Plaintiff) v. Sutter Rock Capital Corp, a Maryland corporation (Defendant). The complaint alleges that the Defendant infringed on the Plaintiff’s federally-registered service mark SUTTER HILL VENTURES; engaged in unfair competition and false designation of origin under Section 43(a) of the Latham Act; and related claims of unfair competition and trademark infringement under California common law. The Plaintiff is seeking an injunction on Defendant from using the SUTTER ROCK and SUTTER ROCK CAPITAL marks and trade names, or any other mark or name that it views as similar to SUTTER HILL and SUTTER HILL VENTURES; an unspecified amount of damages and disgorgement of Defendant’s profits; a determination that the alleged infringement was willful, intentional and deliberate,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260"/>
          </w:cols>
          <w:pgMar w:left="320" w:top="124" w:right="31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warranting an award to Plaintiff of three times Defendant’s profits and three times Plaintiff’s damages; an award of Plaintiff’s attorney’s fees and cost; and an award of prejudgment and post judgment interest. While the Company is unable to determine the ultimate outcome of this matter, the Company believes that the alleged claims in the complaint are frivolous and completely without merit and intend to defend this lawsuit vigorously.</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 &amp; Related Deposits</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Company currently has one operating lease for office space for which the Company has recorded a right-of-use asset and lease liability for the operating lease obligation.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lease commenced June 3, 2019 and expires July 31, 2024. The lease expense is presented as a single lease cost that is amortized on a straight-line basis over the life of the lease.</w:t>
      </w:r>
    </w:p>
    <w:p>
      <w:pPr>
        <w:spacing w:after="0" w:line="212" w:lineRule="exact"/>
        <w:rPr>
          <w:sz w:val="20"/>
          <w:szCs w:val="20"/>
          <w:color w:val="auto"/>
        </w:rPr>
      </w:pPr>
    </w:p>
    <w:p>
      <w:pPr>
        <w:jc w:val="both"/>
        <w:ind w:firstLine="302"/>
        <w:spacing w:after="0" w:line="323" w:lineRule="auto"/>
        <w:rPr>
          <w:sz w:val="20"/>
          <w:szCs w:val="20"/>
          <w:color w:val="auto"/>
        </w:rPr>
      </w:pPr>
      <w:r>
        <w:rPr>
          <w:rFonts w:ascii="Arial" w:cs="Arial" w:eastAsia="Arial" w:hAnsi="Arial"/>
          <w:sz w:val="13"/>
          <w:szCs w:val="13"/>
          <w:color w:val="auto"/>
        </w:rPr>
        <w:t>As of December 31, 2019, the Company has booked a right of use asset and operating lease liability of $787,056 and $787,056, respectively, on the Consolidated Statements of Assets and Liabilities. As of December 31, 2019 and December 31, 2018, the Company recorded a security deposit of $16,574 and $0, respectively, on the Consolidated Statements of Assets and Liabilities. For the year ended December 31, 2019, the Company incurred $73,059 of operating lease expense. The amounts reflected on the Consolidated Statements of Assets and Liabilities have been discounted using the rate implicit in the lease. As of December 31, 2019, the remaining lease term was 4.6 years and the discount rate was 3.00%.</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shows future minimum payments under the Company's operating lease as of December 31, 2019:</w:t>
      </w:r>
    </w:p>
    <w:p>
      <w:pPr>
        <w:spacing w:after="0" w:line="329" w:lineRule="exact"/>
        <w:rPr>
          <w:sz w:val="20"/>
          <w:szCs w:val="20"/>
          <w:color w:val="auto"/>
        </w:rPr>
      </w:pPr>
    </w:p>
    <w:tbl>
      <w:tblPr>
        <w:tblLayout w:type="fixed"/>
        <w:tblInd w:w="1980" w:type="dxa"/>
        <w:tblCellMar>
          <w:top w:w="0" w:type="dxa"/>
          <w:left w:w="0" w:type="dxa"/>
          <w:bottom w:w="0" w:type="dxa"/>
          <w:right w:w="0" w:type="dxa"/>
        </w:tblCellMar>
      </w:tblPr>
      <w:tr>
        <w:trPr>
          <w:trHeight w:val="165"/>
        </w:trPr>
        <w:tc>
          <w:tcPr>
            <w:tcW w:w="4500" w:type="dxa"/>
            <w:vAlign w:val="bottom"/>
            <w:gridSpan w:val="2"/>
          </w:tcPr>
          <w:p>
            <w:pPr>
              <w:ind w:left="20"/>
              <w:spacing w:after="0"/>
              <w:rPr>
                <w:sz w:val="20"/>
                <w:szCs w:val="20"/>
                <w:color w:val="auto"/>
              </w:rPr>
            </w:pPr>
            <w:r>
              <w:rPr>
                <w:rFonts w:ascii="Arial" w:cs="Arial" w:eastAsia="Arial" w:hAnsi="Arial"/>
                <w:sz w:val="12"/>
                <w:szCs w:val="12"/>
                <w:b w:val="1"/>
                <w:bCs w:val="1"/>
                <w:color w:val="auto"/>
              </w:rPr>
              <w:t>For the Years Ended December 31,</w:t>
            </w:r>
          </w:p>
        </w:tc>
        <w:tc>
          <w:tcPr>
            <w:tcW w:w="2800" w:type="dxa"/>
            <w:vAlign w:val="bottom"/>
          </w:tcPr>
          <w:p>
            <w:pPr>
              <w:jc w:val="right"/>
              <w:ind w:right="1545"/>
              <w:spacing w:after="0"/>
              <w:rPr>
                <w:sz w:val="20"/>
                <w:szCs w:val="20"/>
                <w:color w:val="auto"/>
              </w:rPr>
            </w:pPr>
            <w:r>
              <w:rPr>
                <w:rFonts w:ascii="Arial" w:cs="Arial" w:eastAsia="Arial" w:hAnsi="Arial"/>
                <w:sz w:val="12"/>
                <w:szCs w:val="12"/>
                <w:b w:val="1"/>
                <w:bCs w:val="1"/>
                <w:color w:val="auto"/>
              </w:rPr>
              <w:t>Amount</w:t>
            </w:r>
          </w:p>
        </w:tc>
      </w:tr>
      <w:tr>
        <w:trPr>
          <w:trHeight w:val="209"/>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280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174,563</w:t>
            </w:r>
          </w:p>
        </w:tc>
      </w:tr>
      <w:tr>
        <w:trPr>
          <w:trHeight w:val="209"/>
        </w:trPr>
        <w:tc>
          <w:tcPr>
            <w:tcW w:w="3640" w:type="dxa"/>
            <w:vAlign w:val="bottom"/>
          </w:tcPr>
          <w:p>
            <w:pPr>
              <w:ind w:left="20"/>
              <w:spacing w:after="0"/>
              <w:rPr>
                <w:sz w:val="20"/>
                <w:szCs w:val="20"/>
                <w:color w:val="auto"/>
              </w:rPr>
            </w:pPr>
            <w:r>
              <w:rPr>
                <w:rFonts w:ascii="Arial" w:cs="Arial" w:eastAsia="Arial" w:hAnsi="Arial"/>
                <w:sz w:val="15"/>
                <w:szCs w:val="15"/>
                <w:color w:val="auto"/>
              </w:rPr>
              <w:t>2021</w:t>
            </w:r>
          </w:p>
        </w:tc>
        <w:tc>
          <w:tcPr>
            <w:tcW w:w="860" w:type="dxa"/>
            <w:vAlign w:val="bottom"/>
          </w:tcPr>
          <w:p>
            <w:pPr>
              <w:spacing w:after="0"/>
              <w:rPr>
                <w:sz w:val="18"/>
                <w:szCs w:val="18"/>
                <w:color w:val="auto"/>
              </w:rPr>
            </w:pPr>
          </w:p>
        </w:tc>
        <w:tc>
          <w:tcPr>
            <w:tcW w:w="2800" w:type="dxa"/>
            <w:vAlign w:val="bottom"/>
          </w:tcPr>
          <w:p>
            <w:pPr>
              <w:jc w:val="right"/>
              <w:ind w:right="5"/>
              <w:spacing w:after="0"/>
              <w:rPr>
                <w:sz w:val="20"/>
                <w:szCs w:val="20"/>
                <w:color w:val="auto"/>
              </w:rPr>
            </w:pPr>
            <w:r>
              <w:rPr>
                <w:rFonts w:ascii="Arial" w:cs="Arial" w:eastAsia="Arial" w:hAnsi="Arial"/>
                <w:sz w:val="15"/>
                <w:szCs w:val="15"/>
                <w:color w:val="auto"/>
              </w:rPr>
              <w:t>179,800</w:t>
            </w:r>
          </w:p>
        </w:tc>
      </w:tr>
      <w:tr>
        <w:trPr>
          <w:trHeight w:val="24"/>
        </w:trPr>
        <w:tc>
          <w:tcPr>
            <w:tcW w:w="3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1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86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185,194</w:t>
            </w:r>
          </w:p>
        </w:tc>
      </w:tr>
      <w:tr>
        <w:trPr>
          <w:trHeight w:val="209"/>
        </w:trPr>
        <w:tc>
          <w:tcPr>
            <w:tcW w:w="3640" w:type="dxa"/>
            <w:vAlign w:val="bottom"/>
          </w:tcPr>
          <w:p>
            <w:pPr>
              <w:ind w:left="20"/>
              <w:spacing w:after="0"/>
              <w:rPr>
                <w:sz w:val="20"/>
                <w:szCs w:val="20"/>
                <w:color w:val="auto"/>
              </w:rPr>
            </w:pPr>
            <w:r>
              <w:rPr>
                <w:rFonts w:ascii="Arial" w:cs="Arial" w:eastAsia="Arial" w:hAnsi="Arial"/>
                <w:sz w:val="15"/>
                <w:szCs w:val="15"/>
                <w:color w:val="auto"/>
              </w:rPr>
              <w:t>2023</w:t>
            </w:r>
          </w:p>
        </w:tc>
        <w:tc>
          <w:tcPr>
            <w:tcW w:w="860" w:type="dxa"/>
            <w:vAlign w:val="bottom"/>
          </w:tcPr>
          <w:p>
            <w:pPr>
              <w:spacing w:after="0"/>
              <w:rPr>
                <w:sz w:val="18"/>
                <w:szCs w:val="18"/>
                <w:color w:val="auto"/>
              </w:rPr>
            </w:pPr>
          </w:p>
        </w:tc>
        <w:tc>
          <w:tcPr>
            <w:tcW w:w="2800" w:type="dxa"/>
            <w:vAlign w:val="bottom"/>
          </w:tcPr>
          <w:p>
            <w:pPr>
              <w:jc w:val="right"/>
              <w:ind w:right="5"/>
              <w:spacing w:after="0"/>
              <w:rPr>
                <w:sz w:val="20"/>
                <w:szCs w:val="20"/>
                <w:color w:val="auto"/>
              </w:rPr>
            </w:pPr>
            <w:r>
              <w:rPr>
                <w:rFonts w:ascii="Arial" w:cs="Arial" w:eastAsia="Arial" w:hAnsi="Arial"/>
                <w:sz w:val="15"/>
                <w:szCs w:val="15"/>
                <w:color w:val="auto"/>
              </w:rPr>
              <w:t>190,750</w:t>
            </w:r>
          </w:p>
        </w:tc>
      </w:tr>
      <w:tr>
        <w:trPr>
          <w:trHeight w:val="24"/>
        </w:trPr>
        <w:tc>
          <w:tcPr>
            <w:tcW w:w="3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86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113,604</w:t>
            </w:r>
          </w:p>
        </w:tc>
      </w:tr>
      <w:tr>
        <w:trPr>
          <w:trHeight w:val="200"/>
        </w:trPr>
        <w:tc>
          <w:tcPr>
            <w:tcW w:w="3640" w:type="dxa"/>
            <w:vAlign w:val="bottom"/>
          </w:tcPr>
          <w:p>
            <w:pPr>
              <w:spacing w:after="0"/>
              <w:rPr>
                <w:sz w:val="17"/>
                <w:szCs w:val="17"/>
                <w:color w:val="auto"/>
              </w:rPr>
            </w:pPr>
          </w:p>
        </w:tc>
        <w:tc>
          <w:tcPr>
            <w:tcW w:w="860" w:type="dxa"/>
            <w:vAlign w:val="bottom"/>
            <w:tcBorders>
              <w:top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28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843,911</w:t>
            </w:r>
          </w:p>
        </w:tc>
      </w:tr>
      <w:tr>
        <w:trPr>
          <w:trHeight w:val="24"/>
        </w:trPr>
        <w:tc>
          <w:tcPr>
            <w:tcW w:w="3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548"/>
        </w:trPr>
        <w:tc>
          <w:tcPr>
            <w:tcW w:w="4500" w:type="dxa"/>
            <w:vAlign w:val="bottom"/>
            <w:gridSpan w:val="2"/>
          </w:tcPr>
          <w:p>
            <w:pPr>
              <w:ind w:left="3520"/>
              <w:spacing w:after="0"/>
              <w:rPr>
                <w:sz w:val="20"/>
                <w:szCs w:val="20"/>
                <w:color w:val="auto"/>
              </w:rPr>
            </w:pPr>
            <w:r>
              <w:rPr>
                <w:rFonts w:ascii="Arial" w:cs="Arial" w:eastAsia="Arial" w:hAnsi="Arial"/>
                <w:sz w:val="15"/>
                <w:szCs w:val="15"/>
                <w:color w:val="auto"/>
              </w:rPr>
              <w:t>124</w:t>
            </w:r>
          </w:p>
        </w:tc>
        <w:tc>
          <w:tcPr>
            <w:tcW w:w="2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-1259840</wp:posOffset>
            </wp:positionV>
            <wp:extent cx="230759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07590"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6" w:name="page127"/>
    <w:bookmarkEnd w:id="12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NOTE 8—FINANCIAL HIGHLIGHTS</w:t>
      </w:r>
    </w:p>
    <w:p>
      <w:pPr>
        <w:spacing w:after="0" w:line="149"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9"/>
              </w:rPr>
              <w:t>Year Ended December 31,</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24"/>
        </w:trPr>
        <w:tc>
          <w:tcPr>
            <w:tcW w:w="38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b w:val="1"/>
                <w:bCs w:val="1"/>
                <w:color w:val="auto"/>
                <w:w w:val="89"/>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1"/>
              <w:spacing w:after="0"/>
              <w:rPr>
                <w:sz w:val="20"/>
                <w:szCs w:val="20"/>
                <w:color w:val="auto"/>
              </w:rPr>
            </w:pPr>
            <w:r>
              <w:rPr>
                <w:rFonts w:ascii="Arial" w:cs="Arial" w:eastAsia="Arial" w:hAnsi="Arial"/>
                <w:sz w:val="12"/>
                <w:szCs w:val="12"/>
                <w:b w:val="1"/>
                <w:bCs w:val="1"/>
                <w:color w:val="auto"/>
                <w:w w:val="89"/>
              </w:rPr>
              <w:t>2015</w:t>
            </w: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Per Basic Share Data</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4"/>
                <w:szCs w:val="14"/>
                <w:color w:val="auto"/>
              </w:rPr>
              <w:t>Net asset value at beginning of the year</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7"/>
                <w:szCs w:val="17"/>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14.80</w:t>
            </w:r>
          </w:p>
        </w:tc>
      </w:tr>
      <w:tr>
        <w:trPr>
          <w:trHeight w:val="28"/>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investment loss</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(2.52)</w:t>
            </w:r>
          </w:p>
        </w:tc>
      </w:tr>
      <w:tr>
        <w:trPr>
          <w:trHeight w:val="232"/>
        </w:trPr>
        <w:tc>
          <w:tcPr>
            <w:tcW w:w="3880" w:type="dxa"/>
            <w:vAlign w:val="bottom"/>
          </w:tcPr>
          <w:p>
            <w:pPr>
              <w:ind w:left="140"/>
              <w:spacing w:after="0"/>
              <w:rPr>
                <w:sz w:val="20"/>
                <w:szCs w:val="20"/>
                <w:color w:val="auto"/>
              </w:rPr>
            </w:pPr>
            <w:r>
              <w:rPr>
                <w:rFonts w:ascii="Arial" w:cs="Arial" w:eastAsia="Arial" w:hAnsi="Arial"/>
                <w:sz w:val="14"/>
                <w:szCs w:val="14"/>
                <w:color w:val="auto"/>
              </w:rPr>
              <w:t>Net realized gain/(loss) on investments</w:t>
            </w:r>
            <w:r>
              <w:rPr>
                <w:rFonts w:ascii="Arial" w:cs="Arial" w:eastAsia="Arial" w:hAnsi="Arial"/>
                <w:sz w:val="18"/>
                <w:szCs w:val="18"/>
                <w:color w:val="auto"/>
                <w:vertAlign w:val="superscript"/>
              </w:rPr>
              <w:t>(1)</w:t>
            </w:r>
          </w:p>
        </w:tc>
        <w:tc>
          <w:tcPr>
            <w:tcW w:w="38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2.80</w:t>
            </w:r>
          </w:p>
        </w:tc>
      </w:tr>
      <w:tr>
        <w:trPr>
          <w:trHeight w:val="232"/>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 from taxes on net realized loss of investments</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0.02</w:t>
            </w:r>
          </w:p>
        </w:tc>
      </w:tr>
      <w:tr>
        <w:trPr>
          <w:trHeight w:val="188"/>
        </w:trPr>
        <w:tc>
          <w:tcPr>
            <w:tcW w:w="3880" w:type="dxa"/>
            <w:vAlign w:val="bottom"/>
          </w:tcPr>
          <w:p>
            <w:pPr>
              <w:ind w:left="140"/>
              <w:spacing w:after="0"/>
              <w:rPr>
                <w:sz w:val="20"/>
                <w:szCs w:val="20"/>
                <w:color w:val="auto"/>
              </w:rPr>
            </w:pPr>
            <w:r>
              <w:rPr>
                <w:rFonts w:ascii="Arial" w:cs="Arial" w:eastAsia="Arial" w:hAnsi="Arial"/>
                <w:sz w:val="14"/>
                <w:szCs w:val="14"/>
                <w:color w:val="auto"/>
                <w:w w:val="93"/>
              </w:rPr>
              <w:t>Realized loss on partial repurchase of 5.25% Convertible Senior</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3880" w:type="dxa"/>
            <w:vAlign w:val="bottom"/>
          </w:tcPr>
          <w:p>
            <w:pPr>
              <w:ind w:left="280"/>
              <w:spacing w:after="0"/>
              <w:rPr>
                <w:sz w:val="20"/>
                <w:szCs w:val="20"/>
                <w:color w:val="auto"/>
              </w:rPr>
            </w:pPr>
            <w:r>
              <w:rPr>
                <w:rFonts w:ascii="Arial" w:cs="Arial" w:eastAsia="Arial" w:hAnsi="Arial"/>
                <w:sz w:val="14"/>
                <w:szCs w:val="14"/>
                <w:color w:val="auto"/>
              </w:rPr>
              <w:t>Notes due 2018</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r>
      <w:tr>
        <w:trPr>
          <w:trHeight w:val="188"/>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change in unrealized appreciation/(depreciation) of</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(0.69)</w:t>
            </w:r>
          </w:p>
        </w:tc>
      </w:tr>
      <w:tr>
        <w:trPr>
          <w:trHeight w:val="232"/>
        </w:trPr>
        <w:tc>
          <w:tcPr>
            <w:tcW w:w="3880" w:type="dxa"/>
            <w:vAlign w:val="bottom"/>
          </w:tcPr>
          <w:p>
            <w:pPr>
              <w:ind w:left="140"/>
              <w:spacing w:after="0"/>
              <w:rPr>
                <w:sz w:val="20"/>
                <w:szCs w:val="20"/>
                <w:color w:val="auto"/>
              </w:rPr>
            </w:pPr>
            <w:r>
              <w:rPr>
                <w:rFonts w:ascii="Arial" w:cs="Arial" w:eastAsia="Arial" w:hAnsi="Arial"/>
                <w:sz w:val="14"/>
                <w:szCs w:val="14"/>
                <w:color w:val="auto"/>
                <w:w w:val="95"/>
              </w:rPr>
              <w:t>Benefit from taxes on unrealized depreciation of investments</w:t>
            </w:r>
            <w:r>
              <w:rPr>
                <w:rFonts w:ascii="Arial" w:cs="Arial" w:eastAsia="Arial" w:hAnsi="Arial"/>
                <w:sz w:val="18"/>
                <w:szCs w:val="18"/>
                <w:color w:val="auto"/>
                <w:w w:val="95"/>
                <w:vertAlign w:val="superscript"/>
              </w:rPr>
              <w:t>(1)</w:t>
            </w:r>
          </w:p>
        </w:tc>
        <w:tc>
          <w:tcPr>
            <w:tcW w:w="38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0.83</w:t>
            </w:r>
          </w:p>
        </w:tc>
      </w:tr>
      <w:tr>
        <w:trPr>
          <w:trHeight w:val="212"/>
        </w:trPr>
        <w:tc>
          <w:tcPr>
            <w:tcW w:w="3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(2.76)</w:t>
            </w:r>
          </w:p>
        </w:tc>
      </w:tr>
      <w:tr>
        <w:trPr>
          <w:trHeight w:val="205"/>
        </w:trPr>
        <w:tc>
          <w:tcPr>
            <w:tcW w:w="38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7"/>
                <w:szCs w:val="17"/>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r>
      <w:tr>
        <w:trPr>
          <w:trHeight w:val="28"/>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r>
      <w:tr>
        <w:trPr>
          <w:trHeight w:val="244"/>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asset value at end of year</w:t>
            </w: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11.38</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9.64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12.08</w:t>
            </w:r>
          </w:p>
        </w:tc>
      </w:tr>
      <w:tr>
        <w:trPr>
          <w:trHeight w:val="18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 share market value at end of year</w:t>
            </w: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9.37</w:t>
            </w:r>
          </w:p>
        </w:tc>
      </w:tr>
      <w:tr>
        <w:trPr>
          <w:trHeight w:val="232"/>
        </w:trPr>
        <w:tc>
          <w:tcPr>
            <w:tcW w:w="3880" w:type="dxa"/>
            <w:vAlign w:val="bottom"/>
          </w:tcPr>
          <w:p>
            <w:pPr>
              <w:ind w:left="20"/>
              <w:spacing w:after="0"/>
              <w:rPr>
                <w:sz w:val="20"/>
                <w:szCs w:val="20"/>
                <w:color w:val="auto"/>
              </w:rPr>
            </w:pPr>
            <w:r>
              <w:rPr>
                <w:rFonts w:ascii="Arial" w:cs="Arial" w:eastAsia="Arial" w:hAnsi="Arial"/>
                <w:sz w:val="14"/>
                <w:szCs w:val="14"/>
                <w:color w:val="auto"/>
              </w:rPr>
              <w:t>Total return based on market value</w:t>
            </w:r>
            <w:r>
              <w:rPr>
                <w:rFonts w:ascii="Arial" w:cs="Arial" w:eastAsia="Arial" w:hAnsi="Arial"/>
                <w:sz w:val="18"/>
                <w:szCs w:val="18"/>
                <w:color w:val="auto"/>
                <w:vertAlign w:val="superscript"/>
              </w:rPr>
              <w:t>(2)</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8.57 %</w:t>
            </w:r>
          </w:p>
        </w:tc>
      </w:tr>
      <w:tr>
        <w:trPr>
          <w:trHeight w:val="232"/>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return based on net asset value</w:t>
            </w:r>
            <w:r>
              <w:rPr>
                <w:rFonts w:ascii="Arial" w:cs="Arial" w:eastAsia="Arial" w:hAnsi="Arial"/>
                <w:sz w:val="18"/>
                <w:szCs w:val="18"/>
                <w:color w:val="auto"/>
                <w:vertAlign w:val="superscript"/>
              </w:rPr>
              <w:t>(2)</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r>
      <w:tr>
        <w:trPr>
          <w:trHeight w:val="205"/>
        </w:trPr>
        <w:tc>
          <w:tcPr>
            <w:tcW w:w="3880" w:type="dxa"/>
            <w:vAlign w:val="bottom"/>
          </w:tcPr>
          <w:p>
            <w:pPr>
              <w:ind w:left="20"/>
              <w:spacing w:after="0"/>
              <w:rPr>
                <w:sz w:val="20"/>
                <w:szCs w:val="20"/>
                <w:color w:val="auto"/>
              </w:rPr>
            </w:pPr>
            <w:r>
              <w:rPr>
                <w:rFonts w:ascii="Arial" w:cs="Arial" w:eastAsia="Arial" w:hAnsi="Arial"/>
                <w:sz w:val="14"/>
                <w:szCs w:val="14"/>
                <w:color w:val="auto"/>
              </w:rPr>
              <w:t>Shares outstanding at end of year</w:t>
            </w:r>
          </w:p>
        </w:tc>
        <w:tc>
          <w:tcPr>
            <w:tcW w:w="3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17,564,244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31"/>
              <w:spacing w:after="0"/>
              <w:rPr>
                <w:sz w:val="20"/>
                <w:szCs w:val="20"/>
                <w:color w:val="auto"/>
              </w:rPr>
            </w:pPr>
            <w:r>
              <w:rPr>
                <w:rFonts w:ascii="Arial" w:cs="Arial" w:eastAsia="Arial" w:hAnsi="Arial"/>
                <w:sz w:val="14"/>
                <w:szCs w:val="14"/>
                <w:color w:val="auto"/>
                <w:w w:val="88"/>
              </w:rPr>
              <w:t>19,762,647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21,246,345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31"/>
              <w:spacing w:after="0"/>
              <w:rPr>
                <w:sz w:val="20"/>
                <w:szCs w:val="20"/>
                <w:color w:val="auto"/>
              </w:rPr>
            </w:pPr>
            <w:r>
              <w:rPr>
                <w:rFonts w:ascii="Arial" w:cs="Arial" w:eastAsia="Arial" w:hAnsi="Arial"/>
                <w:sz w:val="14"/>
                <w:szCs w:val="14"/>
                <w:color w:val="auto"/>
                <w:w w:val="91"/>
              </w:rPr>
              <w:t>22,181,003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31"/>
              <w:spacing w:after="0"/>
              <w:rPr>
                <w:sz w:val="20"/>
                <w:szCs w:val="20"/>
                <w:color w:val="auto"/>
              </w:rPr>
            </w:pPr>
            <w:r>
              <w:rPr>
                <w:rFonts w:ascii="Arial" w:cs="Arial" w:eastAsia="Arial" w:hAnsi="Arial"/>
                <w:sz w:val="14"/>
                <w:szCs w:val="14"/>
                <w:color w:val="auto"/>
                <w:w w:val="91"/>
              </w:rPr>
              <w:t>22,181,003</w:t>
            </w:r>
          </w:p>
        </w:tc>
      </w:tr>
      <w:tr>
        <w:trPr>
          <w:trHeight w:val="28"/>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Ratios/Supplemental Data:</w:t>
            </w: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4"/>
                <w:szCs w:val="14"/>
                <w:color w:val="auto"/>
              </w:rPr>
              <w:t>Net assets at end of year</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0"/>
                <w:szCs w:val="20"/>
                <w:color w:val="auto"/>
              </w:rPr>
            </w:pPr>
            <w:r>
              <w:rPr>
                <w:rFonts w:ascii="Arial" w:cs="Arial" w:eastAsia="Arial" w:hAnsi="Arial"/>
                <w:sz w:val="14"/>
                <w:szCs w:val="14"/>
                <w:color w:val="auto"/>
              </w:rPr>
              <w:t>199,917,289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51"/>
              <w:spacing w:after="0"/>
              <w:rPr>
                <w:sz w:val="20"/>
                <w:szCs w:val="20"/>
                <w:color w:val="auto"/>
              </w:rPr>
            </w:pPr>
            <w:r>
              <w:rPr>
                <w:rFonts w:ascii="Arial" w:cs="Arial" w:eastAsia="Arial" w:hAnsi="Arial"/>
                <w:sz w:val="14"/>
                <w:szCs w:val="14"/>
                <w:color w:val="auto"/>
                <w:w w:val="88"/>
              </w:rPr>
              <w:t>$195,378,159</w:t>
            </w:r>
          </w:p>
        </w:tc>
        <w:tc>
          <w:tcPr>
            <w:tcW w:w="100" w:type="dxa"/>
            <w:vAlign w:val="bottom"/>
          </w:tcPr>
          <w:p>
            <w:pPr>
              <w:spacing w:after="0"/>
              <w:rPr>
                <w:sz w:val="17"/>
                <w:szCs w:val="17"/>
                <w:color w:val="auto"/>
              </w:rPr>
            </w:pP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1020" w:type="dxa"/>
            <w:vAlign w:val="bottom"/>
          </w:tcPr>
          <w:p>
            <w:pPr>
              <w:spacing w:after="0"/>
              <w:rPr>
                <w:sz w:val="20"/>
                <w:szCs w:val="20"/>
                <w:color w:val="auto"/>
              </w:rPr>
            </w:pPr>
            <w:r>
              <w:rPr>
                <w:rFonts w:ascii="Arial" w:cs="Arial" w:eastAsia="Arial" w:hAnsi="Arial"/>
                <w:sz w:val="14"/>
                <w:szCs w:val="14"/>
                <w:color w:val="auto"/>
              </w:rPr>
              <w:t>204,762,866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31"/>
              <w:spacing w:after="0"/>
              <w:rPr>
                <w:sz w:val="20"/>
                <w:szCs w:val="20"/>
                <w:color w:val="auto"/>
              </w:rPr>
            </w:pPr>
            <w:r>
              <w:rPr>
                <w:rFonts w:ascii="Arial" w:cs="Arial" w:eastAsia="Arial" w:hAnsi="Arial"/>
                <w:sz w:val="14"/>
                <w:szCs w:val="14"/>
                <w:color w:val="auto"/>
                <w:w w:val="88"/>
              </w:rPr>
              <w:t>$192,128,810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31"/>
              <w:spacing w:after="0"/>
              <w:rPr>
                <w:sz w:val="20"/>
                <w:szCs w:val="20"/>
                <w:color w:val="auto"/>
              </w:rPr>
            </w:pPr>
            <w:r>
              <w:rPr>
                <w:rFonts w:ascii="Arial" w:cs="Arial" w:eastAsia="Arial" w:hAnsi="Arial"/>
                <w:sz w:val="14"/>
                <w:szCs w:val="14"/>
                <w:color w:val="auto"/>
                <w:w w:val="88"/>
              </w:rPr>
              <w:t>$268,010,945</w:t>
            </w:r>
          </w:p>
        </w:tc>
      </w:tr>
      <w:tr>
        <w:trPr>
          <w:trHeight w:val="28"/>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net assets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209,261,190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4"/>
                <w:szCs w:val="14"/>
                <w:color w:val="auto"/>
                <w:w w:val="88"/>
              </w:rPr>
              <w:t>$208,678,731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199,457,678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4"/>
                <w:szCs w:val="14"/>
                <w:color w:val="auto"/>
                <w:w w:val="88"/>
              </w:rPr>
              <w:t>$243,577,514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4"/>
                <w:szCs w:val="14"/>
                <w:color w:val="auto"/>
                <w:w w:val="88"/>
              </w:rPr>
              <w:t>$296,560,393</w:t>
            </w:r>
          </w:p>
        </w:tc>
      </w:tr>
      <w:tr>
        <w:trPr>
          <w:trHeight w:val="232"/>
        </w:trPr>
        <w:tc>
          <w:tcPr>
            <w:tcW w:w="3880" w:type="dxa"/>
            <w:vAlign w:val="bottom"/>
          </w:tcPr>
          <w:p>
            <w:pPr>
              <w:ind w:left="20"/>
              <w:spacing w:after="0"/>
              <w:rPr>
                <w:sz w:val="20"/>
                <w:szCs w:val="20"/>
                <w:color w:val="auto"/>
              </w:rPr>
            </w:pPr>
            <w:r>
              <w:rPr>
                <w:rFonts w:ascii="Arial" w:cs="Arial" w:eastAsia="Arial" w:hAnsi="Arial"/>
                <w:sz w:val="14"/>
                <w:szCs w:val="14"/>
                <w:color w:val="auto"/>
              </w:rPr>
              <w:t>Ratio of gross operating expenses to average net assets</w:t>
            </w:r>
            <w:r>
              <w:rPr>
                <w:rFonts w:ascii="Arial" w:cs="Arial" w:eastAsia="Arial" w:hAnsi="Arial"/>
                <w:sz w:val="18"/>
                <w:szCs w:val="18"/>
                <w:color w:val="auto"/>
                <w:vertAlign w:val="superscript"/>
              </w:rPr>
              <w:t>(3)</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0.82 %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9.10 %</w:t>
            </w:r>
          </w:p>
        </w:tc>
      </w:tr>
      <w:tr>
        <w:trPr>
          <w:trHeight w:val="21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incentive fee waiver to average net assets</w:t>
            </w: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5"/>
        </w:trPr>
        <w:tc>
          <w:tcPr>
            <w:tcW w:w="3880" w:type="dxa"/>
            <w:vAlign w:val="bottom"/>
          </w:tcPr>
          <w:p>
            <w:pPr>
              <w:ind w:left="20"/>
              <w:spacing w:after="0"/>
              <w:rPr>
                <w:sz w:val="20"/>
                <w:szCs w:val="20"/>
                <w:color w:val="auto"/>
              </w:rPr>
            </w:pPr>
            <w:r>
              <w:rPr>
                <w:rFonts w:ascii="Arial" w:cs="Arial" w:eastAsia="Arial" w:hAnsi="Arial"/>
                <w:sz w:val="14"/>
                <w:szCs w:val="14"/>
                <w:color w:val="auto"/>
              </w:rPr>
              <w:t>Ratio of management fee waiver to average net assets</w:t>
            </w:r>
          </w:p>
        </w:tc>
        <w:tc>
          <w:tcPr>
            <w:tcW w:w="380" w:type="dxa"/>
            <w:vAlign w:val="bottom"/>
          </w:tcPr>
          <w:p>
            <w:pPr>
              <w:spacing w:after="0"/>
              <w:rPr>
                <w:sz w:val="17"/>
                <w:szCs w:val="17"/>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r>
      <w:tr>
        <w:trPr>
          <w:trHeight w:val="28"/>
        </w:trPr>
        <w:tc>
          <w:tcPr>
            <w:tcW w:w="3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Ratio of income tax provision to average net assets</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52"/>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Ratio of net operating expenses to average net assets</w:t>
            </w:r>
            <w:r>
              <w:rPr>
                <w:rFonts w:ascii="Arial" w:cs="Arial" w:eastAsia="Arial" w:hAnsi="Arial"/>
                <w:sz w:val="18"/>
                <w:szCs w:val="18"/>
                <w:color w:val="auto"/>
                <w:vertAlign w:val="superscript"/>
              </w:rPr>
              <w:t>(3)</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5.66 %</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1.04 %</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9.51 %</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7.22 %</w:t>
            </w:r>
          </w:p>
        </w:tc>
      </w:tr>
      <w:tr>
        <w:trPr>
          <w:trHeight w:val="195"/>
        </w:trPr>
        <w:tc>
          <w:tcPr>
            <w:tcW w:w="3880" w:type="dxa"/>
            <w:vAlign w:val="bottom"/>
            <w:shd w:val="clear" w:color="auto" w:fill="CCEEFF"/>
          </w:tcPr>
          <w:p>
            <w:pPr>
              <w:ind w:left="20"/>
              <w:spacing w:after="0" w:line="195" w:lineRule="exact"/>
              <w:rPr>
                <w:sz w:val="20"/>
                <w:szCs w:val="20"/>
                <w:color w:val="auto"/>
              </w:rPr>
            </w:pPr>
            <w:r>
              <w:rPr>
                <w:rFonts w:ascii="Arial" w:cs="Arial" w:eastAsia="Arial" w:hAnsi="Arial"/>
                <w:sz w:val="14"/>
                <w:szCs w:val="14"/>
                <w:color w:val="auto"/>
              </w:rPr>
              <w:t>Ratio of net investment loss to average net assets</w:t>
            </w:r>
            <w:r>
              <w:rPr>
                <w:rFonts w:ascii="Arial" w:cs="Arial" w:eastAsia="Arial" w:hAnsi="Arial"/>
                <w:sz w:val="18"/>
                <w:szCs w:val="18"/>
                <w:color w:val="auto"/>
                <w:vertAlign w:val="superscript"/>
              </w:rPr>
              <w:t>(3)</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r>
      <w:tr>
        <w:trPr>
          <w:trHeight w:val="205"/>
        </w:trPr>
        <w:tc>
          <w:tcPr>
            <w:tcW w:w="3880" w:type="dxa"/>
            <w:vAlign w:val="bottom"/>
          </w:tcPr>
          <w:p>
            <w:pPr>
              <w:ind w:left="20"/>
              <w:spacing w:after="0"/>
              <w:rPr>
                <w:sz w:val="20"/>
                <w:szCs w:val="20"/>
                <w:color w:val="auto"/>
              </w:rPr>
            </w:pPr>
            <w:r>
              <w:rPr>
                <w:rFonts w:ascii="Arial" w:cs="Arial" w:eastAsia="Arial" w:hAnsi="Arial"/>
                <w:sz w:val="14"/>
                <w:szCs w:val="14"/>
                <w:color w:val="auto"/>
              </w:rPr>
              <w:t>Portfolio Turnover Ratio</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8.30 %</w:t>
            </w:r>
          </w:p>
        </w:tc>
      </w:tr>
      <w:tr>
        <w:trPr>
          <w:trHeight w:val="205"/>
        </w:trPr>
        <w:tc>
          <w:tcPr>
            <w:tcW w:w="3880" w:type="dxa"/>
            <w:vAlign w:val="bottom"/>
          </w:tcPr>
          <w:p>
            <w:pPr>
              <w:spacing w:after="0"/>
              <w:rPr>
                <w:sz w:val="20"/>
                <w:szCs w:val="20"/>
                <w:color w:val="auto"/>
              </w:rPr>
            </w:pPr>
            <w:r>
              <w:rPr>
                <w:rFonts w:ascii="Arial" w:cs="Arial" w:eastAsia="Arial" w:hAnsi="Arial"/>
                <w:sz w:val="14"/>
                <w:szCs w:val="14"/>
                <w:b w:val="1"/>
                <w:bCs w:val="1"/>
                <w:color w:val="auto"/>
              </w:rPr>
              <w:t>__________________</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ind w:left="427" w:hanging="427"/>
        <w:spacing w:after="0"/>
        <w:tabs>
          <w:tab w:leader="none" w:pos="4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weighted-average number of shares outstanding for the relevant period.</w:t>
      </w:r>
    </w:p>
    <w:p>
      <w:pPr>
        <w:spacing w:after="0" w:line="1" w:lineRule="exact"/>
        <w:rPr>
          <w:rFonts w:ascii="Arial" w:cs="Arial" w:eastAsia="Arial" w:hAnsi="Arial"/>
          <w:sz w:val="14"/>
          <w:szCs w:val="14"/>
          <w:color w:val="auto"/>
        </w:rPr>
      </w:pPr>
    </w:p>
    <w:p>
      <w:pPr>
        <w:ind w:left="427" w:right="20" w:hanging="427"/>
        <w:spacing w:after="0" w:line="242" w:lineRule="auto"/>
        <w:tabs>
          <w:tab w:leader="none" w:pos="4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ind w:left="427" w:right="20" w:hanging="427"/>
        <w:spacing w:after="0" w:line="287" w:lineRule="auto"/>
        <w:tabs>
          <w:tab w:leader="none" w:pos="427" w:val="left"/>
        </w:tabs>
        <w:numPr>
          <w:ilvl w:val="0"/>
          <w:numId w:val="72"/>
        </w:numPr>
        <w:rPr>
          <w:rFonts w:ascii="Arial" w:cs="Arial" w:eastAsia="Arial" w:hAnsi="Arial"/>
          <w:sz w:val="13"/>
          <w:szCs w:val="13"/>
          <w:color w:val="auto"/>
        </w:rPr>
      </w:pPr>
      <w:r>
        <w:rPr>
          <w:rFonts w:ascii="Arial" w:cs="Arial" w:eastAsia="Arial" w:hAnsi="Arial"/>
          <w:sz w:val="13"/>
          <w:szCs w:val="13"/>
          <w:color w:val="auto"/>
        </w:rPr>
        <w:t>For the year ended December 31, 2019, the Company excluded $1,769,820 of non-recurring reduction in expenses. For year ended December 31, 2018, the Company excluded $352,667 of non-recurring expenses. Because the ratios are calculated for the Company’s common stock taken as a whole, an individual investor’s ratios may vary from these ratios.</w:t>
      </w:r>
    </w:p>
    <w:p>
      <w:pPr>
        <w:spacing w:after="0" w:line="32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267"/>
          </w:cols>
          <w:pgMar w:left="313" w:top="124" w:right="319" w:bottom="1440" w:gutter="0" w:footer="0" w:header="0"/>
        </w:sectPr>
      </w:pPr>
    </w:p>
    <w:bookmarkStart w:id="127" w:name="page128"/>
    <w:bookmarkEnd w:id="1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9—INCOME TAXES</w:t>
      </w:r>
    </w:p>
    <w:p>
      <w:pPr>
        <w:spacing w:after="0" w:line="20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39" w:lineRule="exact"/>
        <w:rPr>
          <w:sz w:val="20"/>
          <w:szCs w:val="20"/>
          <w:color w:val="auto"/>
        </w:rPr>
      </w:pPr>
    </w:p>
    <w:p>
      <w:pPr>
        <w:jc w:val="both"/>
        <w:ind w:right="20" w:firstLine="302"/>
        <w:spacing w:after="0" w:line="263" w:lineRule="auto"/>
        <w:rPr>
          <w:sz w:val="20"/>
          <w:szCs w:val="20"/>
          <w:color w:val="auto"/>
        </w:rPr>
      </w:pPr>
      <w:r>
        <w:rPr>
          <w:rFonts w:ascii="Arial" w:cs="Arial" w:eastAsia="Arial" w:hAnsi="Arial"/>
          <w:sz w:val="15"/>
          <w:szCs w:val="15"/>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63"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5"/>
          <w:szCs w:val="15"/>
          <w:i w:val="1"/>
          <w:iCs w:val="1"/>
          <w:color w:val="auto"/>
        </w:rPr>
        <w:t>i.e.</w:t>
      </w:r>
      <w:r>
        <w:rPr>
          <w:rFonts w:ascii="Arial" w:cs="Arial" w:eastAsia="Arial" w:hAnsi="Arial"/>
          <w:sz w:val="15"/>
          <w:szCs w:val="15"/>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59"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48" w:lineRule="exact"/>
        <w:rPr>
          <w:sz w:val="20"/>
          <w:szCs w:val="20"/>
          <w:color w:val="auto"/>
        </w:rPr>
      </w:pPr>
    </w:p>
    <w:p>
      <w:pPr>
        <w:jc w:val="both"/>
        <w:ind w:firstLine="348"/>
        <w:spacing w:after="0" w:line="287" w:lineRule="auto"/>
        <w:rPr>
          <w:sz w:val="20"/>
          <w:szCs w:val="20"/>
          <w:color w:val="auto"/>
        </w:rPr>
      </w:pPr>
      <w:r>
        <w:rPr>
          <w:rFonts w:ascii="Arial" w:cs="Arial" w:eastAsia="Arial" w:hAnsi="Arial"/>
          <w:sz w:val="14"/>
          <w:szCs w:val="14"/>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45"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4"/>
          <w:szCs w:val="14"/>
          <w:color w:val="auto"/>
        </w:rPr>
        <w:t>As of December 31, 2019 and December 31, 2018, the Company recorded a deferred tax liability of approximately $0.0 million and $0.9 million, respectively, of which approximately $0.0 million and $0.9 million relate to the difference in the book and tax basis of certain equity investments and net tax operating losses held by the Taxable Subsidiaries.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260"/>
          </w:cols>
          <w:pgMar w:left="320" w:top="124" w:right="319"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2"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Company and the Taxable Subsidiaries identified their major tax jurisdictions as U.S. federal and California and may be subject to the taxing authorities’ examination for the tax years 2016–2019 and 2015–2019, respectively. Further, the Company and the Taxable Subsidiaries accrue all interest and penalties related to uncertain tax positions as incurred. As of December 31, 2019, there were no material interest or penalties incurred related to uncertain tax positions.</w:t>
      </w:r>
    </w:p>
    <w:p>
      <w:pPr>
        <w:spacing w:after="0" w:line="152"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2019 and 2018, the Company reclassified for book purposes amounts arising from permanent book/tax differences related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46"/>
              <w:spacing w:after="0"/>
              <w:rPr>
                <w:sz w:val="20"/>
                <w:szCs w:val="20"/>
                <w:color w:val="auto"/>
              </w:rPr>
            </w:pPr>
            <w:r>
              <w:rPr>
                <w:rFonts w:ascii="Arial" w:cs="Arial" w:eastAsia="Arial" w:hAnsi="Arial"/>
                <w:sz w:val="12"/>
                <w:szCs w:val="12"/>
                <w:b w:val="1"/>
                <w:bCs w:val="1"/>
                <w:color w:val="auto"/>
              </w:rPr>
              <w:t>Year Ended December 31,</w:t>
            </w:r>
          </w:p>
        </w:tc>
      </w:tr>
      <w:tr>
        <w:trPr>
          <w:trHeight w:val="224"/>
        </w:trPr>
        <w:tc>
          <w:tcPr>
            <w:tcW w:w="8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2018</w:t>
            </w: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 in excess of par value</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(14,113,460)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(7,254,108)</w:t>
            </w:r>
          </w:p>
        </w:tc>
      </w:tr>
      <w:tr>
        <w:trPr>
          <w:trHeight w:val="209"/>
        </w:trPr>
        <w:tc>
          <w:tcPr>
            <w:tcW w:w="8200" w:type="dxa"/>
            <w:vAlign w:val="bottom"/>
          </w:tcPr>
          <w:p>
            <w:pPr>
              <w:ind w:left="20"/>
              <w:spacing w:after="0"/>
              <w:rPr>
                <w:sz w:val="20"/>
                <w:szCs w:val="20"/>
                <w:color w:val="auto"/>
              </w:rPr>
            </w:pPr>
            <w:r>
              <w:rPr>
                <w:rFonts w:ascii="Arial" w:cs="Arial" w:eastAsia="Arial" w:hAnsi="Arial"/>
                <w:sz w:val="15"/>
                <w:szCs w:val="15"/>
                <w:color w:val="auto"/>
              </w:rPr>
              <w:t>Accumulated undistributed net investment loss</w:t>
            </w:r>
          </w:p>
        </w:tc>
        <w:tc>
          <w:tcPr>
            <w:tcW w:w="36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14,113,460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7,254,108</w:t>
            </w:r>
          </w:p>
        </w:tc>
      </w:tr>
      <w:tr>
        <w:trPr>
          <w:trHeight w:val="24"/>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net realized gains from investments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r>
      <w:tr>
        <w:trPr>
          <w:trHeight w:val="24"/>
        </w:trPr>
        <w:tc>
          <w:tcPr>
            <w:tcW w:w="8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-448945</wp:posOffset>
            </wp:positionV>
            <wp:extent cx="521271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155"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For income tax purposes, distributions paid to stockholders are reported as ordinary income, return of capital, long term capital gains or a combination thereof. The tax character of distributions declared in the years ended December 31, 2019, 2018, and 2017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224"/>
        </w:trPr>
        <w:tc>
          <w:tcPr>
            <w:tcW w:w="6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2017</w:t>
            </w:r>
          </w:p>
        </w:tc>
      </w:tr>
      <w:tr>
        <w:trPr>
          <w:trHeight w:val="20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Ordinary income</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5"/>
                <w:szCs w:val="15"/>
                <w:color w:val="auto"/>
              </w:rPr>
              <w:t>—   $</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w:t>
            </w:r>
          </w:p>
        </w:tc>
      </w:tr>
      <w:tr>
        <w:trPr>
          <w:trHeight w:val="209"/>
        </w:trPr>
        <w:tc>
          <w:tcPr>
            <w:tcW w:w="6640" w:type="dxa"/>
            <w:vAlign w:val="bottom"/>
          </w:tcPr>
          <w:p>
            <w:pPr>
              <w:ind w:left="20"/>
              <w:spacing w:after="0"/>
              <w:rPr>
                <w:sz w:val="20"/>
                <w:szCs w:val="20"/>
                <w:color w:val="auto"/>
              </w:rPr>
            </w:pPr>
            <w:r>
              <w:rPr>
                <w:rFonts w:ascii="Arial" w:cs="Arial" w:eastAsia="Arial" w:hAnsi="Arial"/>
                <w:sz w:val="15"/>
                <w:szCs w:val="15"/>
                <w:color w:val="auto"/>
              </w:rPr>
              <w:t>Long-term capital gain</w:t>
            </w:r>
          </w:p>
        </w:tc>
        <w:tc>
          <w:tcPr>
            <w:tcW w:w="360" w:type="dxa"/>
            <w:vAlign w:val="bottom"/>
          </w:tcPr>
          <w:p>
            <w:pPr>
              <w:spacing w:after="0"/>
              <w:rPr>
                <w:sz w:val="18"/>
                <w:szCs w:val="18"/>
                <w:color w:val="auto"/>
              </w:rPr>
            </w:pP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5,620,558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3"/>
          </w:tcPr>
          <w:p>
            <w:pPr>
              <w:ind w:left="840"/>
              <w:spacing w:after="0"/>
              <w:rPr>
                <w:sz w:val="20"/>
                <w:szCs w:val="20"/>
                <w:color w:val="auto"/>
              </w:rPr>
            </w:pPr>
            <w:r>
              <w:rPr>
                <w:rFonts w:ascii="Arial" w:cs="Arial" w:eastAsia="Arial" w:hAnsi="Arial"/>
                <w:sz w:val="15"/>
                <w:szCs w:val="15"/>
                <w:color w:val="auto"/>
              </w:rPr>
              <w:t>—</w:t>
            </w:r>
          </w:p>
        </w:tc>
        <w:tc>
          <w:tcPr>
            <w:tcW w:w="1100" w:type="dxa"/>
            <w:vAlign w:val="bottom"/>
          </w:tcPr>
          <w:p>
            <w:pPr>
              <w:ind w:left="840"/>
              <w:spacing w:after="0"/>
              <w:rPr>
                <w:sz w:val="20"/>
                <w:szCs w:val="20"/>
                <w:color w:val="auto"/>
              </w:rPr>
            </w:pPr>
            <w:r>
              <w:rPr>
                <w:rFonts w:ascii="Arial" w:cs="Arial" w:eastAsia="Arial" w:hAnsi="Arial"/>
                <w:sz w:val="15"/>
                <w:szCs w:val="15"/>
                <w:color w:val="auto"/>
              </w:rPr>
              <w:t>—</w:t>
            </w:r>
          </w:p>
        </w:tc>
      </w:tr>
      <w:tr>
        <w:trPr>
          <w:trHeight w:val="24"/>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Return of capital</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5"/>
                <w:szCs w:val="15"/>
                <w:color w:val="auto"/>
              </w:rPr>
              <w:t>—</w:t>
            </w:r>
          </w:p>
        </w:tc>
      </w:tr>
      <w:tr>
        <w:trPr>
          <w:trHeight w:val="209"/>
        </w:trPr>
        <w:tc>
          <w:tcPr>
            <w:tcW w:w="6640" w:type="dxa"/>
            <w:vAlign w:val="bottom"/>
          </w:tcPr>
          <w:p>
            <w:pPr>
              <w:ind w:left="20"/>
              <w:spacing w:after="0"/>
              <w:rPr>
                <w:sz w:val="20"/>
                <w:szCs w:val="20"/>
                <w:color w:val="auto"/>
              </w:rPr>
            </w:pPr>
            <w:r>
              <w:rPr>
                <w:rFonts w:ascii="Arial" w:cs="Arial" w:eastAsia="Arial" w:hAnsi="Arial"/>
                <w:sz w:val="15"/>
                <w:szCs w:val="15"/>
                <w:color w:val="auto"/>
              </w:rPr>
              <w:t>Distributions on a tax basis</w:t>
            </w: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560" w:type="dxa"/>
            <w:vAlign w:val="bottom"/>
            <w:gridSpan w:val="3"/>
          </w:tcPr>
          <w:p>
            <w:pPr>
              <w:ind w:left="840"/>
              <w:spacing w:after="0"/>
              <w:rPr>
                <w:sz w:val="20"/>
                <w:szCs w:val="20"/>
                <w:color w:val="auto"/>
              </w:rPr>
            </w:pPr>
            <w:r>
              <w:rPr>
                <w:rFonts w:ascii="Arial" w:cs="Arial" w:eastAsia="Arial" w:hAnsi="Arial"/>
                <w:sz w:val="15"/>
                <w:szCs w:val="15"/>
                <w:color w:val="auto"/>
              </w:rPr>
              <w:t>—</w:t>
            </w:r>
          </w:p>
        </w:tc>
        <w:tc>
          <w:tcPr>
            <w:tcW w:w="1100" w:type="dxa"/>
            <w:vAlign w:val="bottom"/>
          </w:tcPr>
          <w:p>
            <w:pPr>
              <w:ind w:left="84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-581660</wp:posOffset>
            </wp:positionV>
            <wp:extent cx="42170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17035" cy="7620"/>
                    </a:xfrm>
                    <a:prstGeom prst="rect">
                      <a:avLst/>
                    </a:prstGeom>
                    <a:noFill/>
                  </pic:spPr>
                </pic:pic>
              </a:graphicData>
            </a:graphic>
          </wp:anchor>
        </w:drawing>
      </w:r>
    </w:p>
    <w:p>
      <w:pPr>
        <w:spacing w:after="0" w:line="17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For federal income tax purposes, the tax cost of investments owned at December 31, 2019 and 2018, was $194,194,622 and $265,015,996, respectively. The gross unrealized appreciation and gross unrealized depreciation on investments owned at December 31, 2019 was $87,999,577 and $40,608,621, respectively, and on investments owned at December 31, 2018, was $90,435,707 and $56,641,871, respectively. The net unrealized appreciation/(depreciation) on investments owned at December 31, 2019 and 2018, was $47,390,956 and $33,793,836, respectively.</w:t>
      </w:r>
    </w:p>
    <w:p>
      <w:pPr>
        <w:spacing w:after="0" w:line="156" w:lineRule="exact"/>
        <w:rPr>
          <w:sz w:val="20"/>
          <w:szCs w:val="20"/>
          <w:color w:val="auto"/>
        </w:rPr>
      </w:pPr>
    </w:p>
    <w:p>
      <w:pPr>
        <w:jc w:val="both"/>
        <w:ind w:right="20" w:firstLine="302"/>
        <w:spacing w:after="0" w:line="274" w:lineRule="auto"/>
        <w:rPr>
          <w:sz w:val="20"/>
          <w:szCs w:val="20"/>
          <w:color w:val="auto"/>
        </w:rPr>
      </w:pPr>
      <w:r>
        <w:rPr>
          <w:rFonts w:ascii="Arial" w:cs="Arial" w:eastAsia="Arial" w:hAnsi="Arial"/>
          <w:sz w:val="15"/>
          <w:szCs w:val="15"/>
          <w:color w:val="auto"/>
        </w:rPr>
        <w:t>At December 31, 2019 and 2018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46"/>
              <w:spacing w:after="0"/>
              <w:rPr>
                <w:sz w:val="20"/>
                <w:szCs w:val="20"/>
                <w:color w:val="auto"/>
              </w:rPr>
            </w:pPr>
            <w:r>
              <w:rPr>
                <w:rFonts w:ascii="Arial" w:cs="Arial" w:eastAsia="Arial" w:hAnsi="Arial"/>
                <w:sz w:val="12"/>
                <w:szCs w:val="12"/>
                <w:b w:val="1"/>
                <w:bCs w:val="1"/>
                <w:color w:val="auto"/>
              </w:rPr>
              <w:t>Year Ended December 31,</w:t>
            </w:r>
          </w:p>
        </w:tc>
      </w:tr>
      <w:tr>
        <w:trPr>
          <w:trHeight w:val="224"/>
        </w:trPr>
        <w:tc>
          <w:tcPr>
            <w:tcW w:w="428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2018</w:t>
            </w: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net realized losses on investments</w:t>
            </w:r>
          </w:p>
        </w:tc>
        <w:tc>
          <w:tcPr>
            <w:tcW w:w="428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(330,522)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(13,821,840)</w:t>
            </w:r>
          </w:p>
        </w:tc>
      </w:tr>
      <w:tr>
        <w:trPr>
          <w:trHeight w:val="209"/>
        </w:trPr>
        <w:tc>
          <w:tcPr>
            <w:tcW w:w="4280" w:type="dxa"/>
            <w:vAlign w:val="bottom"/>
          </w:tcPr>
          <w:p>
            <w:pPr>
              <w:ind w:left="20"/>
              <w:spacing w:after="0"/>
              <w:rPr>
                <w:sz w:val="20"/>
                <w:szCs w:val="20"/>
                <w:color w:val="auto"/>
              </w:rPr>
            </w:pPr>
            <w:r>
              <w:rPr>
                <w:rFonts w:ascii="Arial" w:cs="Arial" w:eastAsia="Arial" w:hAnsi="Arial"/>
                <w:sz w:val="15"/>
                <w:szCs w:val="15"/>
                <w:color w:val="auto"/>
              </w:rPr>
              <w:t>Unrealized appreciation</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
              <w:spacing w:after="0"/>
              <w:rPr>
                <w:sz w:val="20"/>
                <w:szCs w:val="20"/>
                <w:color w:val="auto"/>
              </w:rPr>
            </w:pPr>
            <w:r>
              <w:rPr>
                <w:rFonts w:ascii="Arial" w:cs="Arial" w:eastAsia="Arial" w:hAnsi="Arial"/>
                <w:sz w:val="15"/>
                <w:szCs w:val="15"/>
                <w:color w:val="auto"/>
              </w:rPr>
              <w:t>47,390,956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32,908,270</w:t>
            </w:r>
          </w:p>
        </w:tc>
      </w:tr>
      <w:tr>
        <w:trPr>
          <w:trHeight w:val="24"/>
        </w:trPr>
        <w:tc>
          <w:tcPr>
            <w:tcW w:w="42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Components of distributable earnings at year end</w:t>
            </w:r>
          </w:p>
        </w:tc>
        <w:tc>
          <w:tcPr>
            <w:tcW w:w="39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47,060,434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19,086,430</w:t>
            </w:r>
          </w:p>
        </w:tc>
      </w:tr>
      <w:tr>
        <w:trPr>
          <w:trHeight w:val="548"/>
        </w:trPr>
        <w:tc>
          <w:tcPr>
            <w:tcW w:w="4280" w:type="dxa"/>
            <w:vAlign w:val="bottom"/>
            <w:tcBorders>
              <w:top w:val="single" w:sz="8" w:color="CCEEFF"/>
            </w:tcBorders>
          </w:tcPr>
          <w:p>
            <w:pPr>
              <w:spacing w:after="0"/>
              <w:rPr>
                <w:sz w:val="24"/>
                <w:szCs w:val="24"/>
                <w:color w:val="auto"/>
              </w:rPr>
            </w:pPr>
          </w:p>
        </w:tc>
        <w:tc>
          <w:tcPr>
            <w:tcW w:w="3920" w:type="dxa"/>
            <w:vAlign w:val="bottom"/>
            <w:tcBorders>
              <w:top w:val="single" w:sz="8" w:color="CCEEFF"/>
            </w:tcBorders>
          </w:tcPr>
          <w:p>
            <w:pPr>
              <w:jc w:val="right"/>
              <w:ind w:right="2383"/>
              <w:spacing w:after="0"/>
              <w:rPr>
                <w:sz w:val="20"/>
                <w:szCs w:val="20"/>
                <w:color w:val="auto"/>
              </w:rPr>
            </w:pPr>
            <w:r>
              <w:rPr>
                <w:rFonts w:ascii="Arial" w:cs="Arial" w:eastAsia="Arial" w:hAnsi="Arial"/>
                <w:sz w:val="15"/>
                <w:szCs w:val="15"/>
                <w:color w:val="auto"/>
              </w:rPr>
              <w:t>127</w:t>
            </w: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-514985</wp:posOffset>
            </wp:positionV>
            <wp:extent cx="521271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71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-817245</wp:posOffset>
            </wp:positionV>
            <wp:extent cx="52127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9" w:name="page130"/>
    <w:bookmarkEnd w:id="1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10—DEBT CAPITAL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4.75% Convertible Senior Notes due 2023</w:t>
      </w:r>
    </w:p>
    <w:p>
      <w:pPr>
        <w:spacing w:after="0" w:line="205" w:lineRule="exact"/>
        <w:rPr>
          <w:sz w:val="20"/>
          <w:szCs w:val="20"/>
          <w:color w:val="auto"/>
        </w:rPr>
      </w:pPr>
    </w:p>
    <w:p>
      <w:pPr>
        <w:jc w:val="both"/>
        <w:ind w:firstLine="302"/>
        <w:spacing w:after="0" w:line="262" w:lineRule="auto"/>
        <w:rPr>
          <w:sz w:val="20"/>
          <w:szCs w:val="20"/>
          <w:color w:val="auto"/>
        </w:rPr>
      </w:pPr>
      <w:r>
        <w:rPr>
          <w:rFonts w:ascii="Arial" w:cs="Arial" w:eastAsia="Arial" w:hAnsi="Arial"/>
          <w:sz w:val="15"/>
          <w:szCs w:val="15"/>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63" w:lineRule="exact"/>
        <w:rPr>
          <w:sz w:val="20"/>
          <w:szCs w:val="20"/>
          <w:color w:val="auto"/>
        </w:rPr>
      </w:pPr>
    </w:p>
    <w:p>
      <w:pPr>
        <w:jc w:val="both"/>
        <w:ind w:firstLine="279"/>
        <w:spacing w:after="0" w:line="262" w:lineRule="auto"/>
        <w:rPr>
          <w:sz w:val="20"/>
          <w:szCs w:val="20"/>
          <w:color w:val="auto"/>
        </w:rPr>
      </w:pPr>
      <w:r>
        <w:rPr>
          <w:rFonts w:ascii="Arial" w:cs="Arial" w:eastAsia="Arial" w:hAnsi="Arial"/>
          <w:sz w:val="15"/>
          <w:szCs w:val="15"/>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97.9448 shares of the Company’s common stock for each $1,000 principal amount of the 4.75% Convertible Senior Notes due 2023, which represents a current conversion price of approximately $10.21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63"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52"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table below shows a reconciliation from the aggregate principal amount of 4.75% Convertible Senior Notes due 2023 to the balance shown on the Consolidated Statements of Assets and Liabilities.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1220" w:type="dxa"/>
            <w:vAlign w:val="bottom"/>
          </w:tcPr>
          <w:p>
            <w:pPr>
              <w:jc w:val="right"/>
              <w:ind w:right="309"/>
              <w:spacing w:after="0"/>
              <w:rPr>
                <w:sz w:val="20"/>
                <w:szCs w:val="20"/>
                <w:color w:val="auto"/>
              </w:rPr>
            </w:pPr>
            <w:r>
              <w:rPr>
                <w:rFonts w:ascii="Arial" w:cs="Arial" w:eastAsia="Arial" w:hAnsi="Arial"/>
                <w:sz w:val="12"/>
                <w:szCs w:val="12"/>
                <w:b w:val="1"/>
                <w:bCs w:val="1"/>
                <w:color w:val="auto"/>
              </w:rPr>
              <w:t>December 31,</w:t>
            </w:r>
          </w:p>
        </w:tc>
      </w:tr>
      <w:tr>
        <w:trPr>
          <w:trHeight w:val="165"/>
        </w:trPr>
        <w:tc>
          <w:tcPr>
            <w:tcW w:w="8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2018</w:t>
            </w:r>
          </w:p>
        </w:tc>
      </w:tr>
      <w:tr>
        <w:trPr>
          <w:trHeight w:val="20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Aggregate principal amount of 4.75% Convertible Senior Notes due 2023</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40,000,000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40,000,000</w:t>
            </w:r>
          </w:p>
        </w:tc>
      </w:tr>
      <w:tr>
        <w:trPr>
          <w:trHeight w:val="209"/>
        </w:trPr>
        <w:tc>
          <w:tcPr>
            <w:tcW w:w="8200" w:type="dxa"/>
            <w:vAlign w:val="bottom"/>
          </w:tcPr>
          <w:p>
            <w:pPr>
              <w:ind w:left="20"/>
              <w:spacing w:after="0"/>
              <w:rPr>
                <w:sz w:val="20"/>
                <w:szCs w:val="20"/>
                <w:color w:val="auto"/>
              </w:rPr>
            </w:pPr>
            <w:r>
              <w:rPr>
                <w:rFonts w:ascii="Arial" w:cs="Arial" w:eastAsia="Arial" w:hAnsi="Arial"/>
                <w:sz w:val="15"/>
                <w:szCs w:val="15"/>
                <w:color w:val="auto"/>
              </w:rPr>
              <w:t>Direct deduction of deferred debt issuance costs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(1,196,365)</w:t>
            </w:r>
          </w:p>
        </w:tc>
        <w:tc>
          <w:tcPr>
            <w:tcW w:w="12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(1,565,489)</w:t>
            </w:r>
          </w:p>
        </w:tc>
      </w:tr>
      <w:tr>
        <w:trPr>
          <w:trHeight w:val="24"/>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4.75% Convertible Senior Notes due 2023 Payable</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38,803,635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38,434,511</w:t>
            </w:r>
          </w:p>
        </w:tc>
      </w:tr>
      <w:tr>
        <w:trPr>
          <w:trHeight w:val="20"/>
        </w:trPr>
        <w:tc>
          <w:tcPr>
            <w:tcW w:w="8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-463550</wp:posOffset>
            </wp:positionV>
            <wp:extent cx="521271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15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As of December 31, 2019 the principal amount of the 4.75% Convertible Senior Notes due 2023 exceeded the value of the underlying shares multiplied by the per share closing price of the Company’s common stock.</w:t>
      </w:r>
    </w:p>
    <w:p>
      <w:pPr>
        <w:spacing w:after="0" w:line="139" w:lineRule="exact"/>
        <w:rPr>
          <w:sz w:val="20"/>
          <w:szCs w:val="20"/>
          <w:color w:val="auto"/>
        </w:rPr>
      </w:pPr>
    </w:p>
    <w:p>
      <w:pPr>
        <w:jc w:val="both"/>
        <w:ind w:firstLine="302"/>
        <w:spacing w:after="0" w:line="269" w:lineRule="auto"/>
        <w:rPr>
          <w:sz w:val="20"/>
          <w:szCs w:val="20"/>
          <w:color w:val="auto"/>
        </w:rPr>
      </w:pPr>
      <w:r>
        <w:rPr>
          <w:rFonts w:ascii="Arial" w:cs="Arial" w:eastAsia="Arial" w:hAnsi="Arial"/>
          <w:sz w:val="15"/>
          <w:szCs w:val="15"/>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260"/>
          </w:cols>
          <w:pgMar w:left="320" w:top="124" w:right="319" w:bottom="1440" w:gutter="0" w:footer="0" w:header="0"/>
        </w:sectPr>
      </w:pPr>
    </w:p>
    <w:bookmarkStart w:id="130" w:name="page131"/>
    <w:bookmarkEnd w:id="1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in accordance to the agreement, the Company did not to incur any indebtedness other than certain permitted debt, including, without limitation, up to $12.0 million in borrowings under the then current Credit Facility.</w:t>
      </w:r>
    </w:p>
    <w:p>
      <w:pPr>
        <w:spacing w:after="0" w:line="135" w:lineRule="exact"/>
        <w:rPr>
          <w:sz w:val="20"/>
          <w:szCs w:val="20"/>
          <w:color w:val="auto"/>
        </w:rPr>
      </w:pPr>
    </w:p>
    <w:p>
      <w:pPr>
        <w:jc w:val="both"/>
        <w:ind w:firstLine="279"/>
        <w:spacing w:after="0" w:line="287" w:lineRule="auto"/>
        <w:rPr>
          <w:sz w:val="20"/>
          <w:szCs w:val="20"/>
          <w:color w:val="auto"/>
        </w:rPr>
      </w:pPr>
      <w:r>
        <w:rPr>
          <w:rFonts w:ascii="Arial" w:cs="Arial" w:eastAsia="Arial" w:hAnsi="Arial"/>
          <w:sz w:val="14"/>
          <w:szCs w:val="14"/>
          <w:color w:val="auto"/>
        </w:rPr>
        <w:t>In connection with the issuance of the 4.75% Convertible Senior Notes due 2023, the Company was required under the terms of the Credit Facility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5.25% Convertible Senior Notes due 2018</w:t>
      </w:r>
    </w:p>
    <w:p>
      <w:pPr>
        <w:spacing w:after="0" w:line="205"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matured on September 15, 2018 (the "5.25% Convertible Senior Notes due 2018"), unless previously repurchased or converted in accordance with their terms. The Company does not have the right to redeem the 5.25% Convertible Senior Notes due 2018 prior to maturity.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58" w:lineRule="exact"/>
        <w:rPr>
          <w:sz w:val="20"/>
          <w:szCs w:val="20"/>
          <w:color w:val="auto"/>
        </w:rPr>
      </w:pPr>
    </w:p>
    <w:p>
      <w:pPr>
        <w:jc w:val="both"/>
        <w:ind w:firstLine="302"/>
        <w:spacing w:after="0" w:line="265" w:lineRule="auto"/>
        <w:rPr>
          <w:sz w:val="20"/>
          <w:szCs w:val="20"/>
          <w:color w:val="auto"/>
        </w:rPr>
      </w:pPr>
      <w:r>
        <w:rPr>
          <w:rFonts w:ascii="Arial" w:cs="Arial" w:eastAsia="Arial" w:hAnsi="Arial"/>
          <w:sz w:val="15"/>
          <w:szCs w:val="15"/>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were validly tendered and not validly withdrawn pursuant to the Tender Offer. On March 27, 2018, the Company repurchased an additional $14.2 million aggregate principal amount of the outstanding 5.25% Convertible Senior Notes due 2018. On September 15, 2018, we repaid the remaining outstanding aggregate principal amount of the 5.25% Convertible Senior Notes due 2018, including accrued but unpaid interest, and the 5.25% Convertible Senior Notes were no longer outstanding as of such date.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Western Alliance Bank Credit Facility</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The Credit Facility (defined below) matured on May 31, 2019. There were no borrowings by the Company from the Credit Facility during the year ended December 31, 2019.</w:t>
      </w:r>
    </w:p>
    <w:p>
      <w:pPr>
        <w:spacing w:after="0" w:line="211"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3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52" w:lineRule="exact"/>
        <w:rPr>
          <w:sz w:val="20"/>
          <w:szCs w:val="20"/>
          <w:color w:val="auto"/>
        </w:rPr>
      </w:pPr>
    </w:p>
    <w:p>
      <w:pPr>
        <w:jc w:val="both"/>
        <w:ind w:firstLine="302"/>
        <w:spacing w:after="0" w:line="302" w:lineRule="auto"/>
        <w:rPr>
          <w:sz w:val="20"/>
          <w:szCs w:val="20"/>
          <w:color w:val="auto"/>
        </w:rPr>
      </w:pPr>
      <w:r>
        <w:rPr>
          <w:rFonts w:ascii="Arial" w:cs="Arial" w:eastAsia="Arial" w:hAnsi="Arial"/>
          <w:sz w:val="14"/>
          <w:szCs w:val="14"/>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260"/>
          </w:cols>
          <w:pgMar w:left="320" w:top="124" w:right="319" w:bottom="1440" w:gutter="0" w:footer="0" w:header="0"/>
        </w:sectPr>
      </w:pPr>
    </w:p>
    <w:bookmarkStart w:id="131" w:name="page132"/>
    <w:bookmarkEnd w:id="1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5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Credit Facility was secured by substantially all of the Company’s property and assets. As of December 31, 2019, the Company had no borrowings outstanding under the Credit Facility, as the Credit Facility matured on May 31, 2019.</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 the years ended December 31, 2019 and 2018, the Company had no borrowings under the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11—STOCK-BASED COMPENSATION</w:t>
      </w:r>
    </w:p>
    <w:p>
      <w:pPr>
        <w:spacing w:after="0" w:line="205"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5"/>
          <w:szCs w:val="15"/>
          <w:color w:val="auto"/>
        </w:rPr>
        <w:t>On June 5, 2019, our Board of Directors adopted, and our stockholders approved, an equity-based incentive plan (“the 2019 Plan”), which authorizes equity awards to be granted for up to 1,976,264 shares of our common stock. Under the 2019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163" w:lineRule="exact"/>
        <w:rPr>
          <w:sz w:val="20"/>
          <w:szCs w:val="20"/>
          <w:color w:val="auto"/>
        </w:rPr>
      </w:pPr>
    </w:p>
    <w:p>
      <w:pPr>
        <w:jc w:val="both"/>
        <w:ind w:firstLine="279"/>
        <w:spacing w:after="0" w:line="274" w:lineRule="auto"/>
        <w:rPr>
          <w:sz w:val="20"/>
          <w:szCs w:val="20"/>
          <w:color w:val="auto"/>
        </w:rPr>
      </w:pPr>
      <w:r>
        <w:rPr>
          <w:rFonts w:ascii="Arial" w:cs="Arial" w:eastAsia="Arial" w:hAnsi="Arial"/>
          <w:sz w:val="15"/>
          <w:szCs w:val="15"/>
          <w:color w:val="auto"/>
        </w:rPr>
        <w:t>On July 17, 2019, stock options providing the right to purchase up to 1,165,000 shares were granted under the 2019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272" w:lineRule="exact"/>
        <w:rPr>
          <w:sz w:val="20"/>
          <w:szCs w:val="20"/>
          <w:color w:val="auto"/>
        </w:rPr>
      </w:pPr>
    </w:p>
    <w:tbl>
      <w:tblPr>
        <w:tblLayout w:type="fixed"/>
        <w:tblInd w:w="100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1820" w:type="dxa"/>
            <w:vAlign w:val="bottom"/>
            <w:vMerge w:val="restart"/>
          </w:tcPr>
          <w:p>
            <w:pPr>
              <w:jc w:val="right"/>
              <w:ind w:right="345"/>
              <w:spacing w:after="0"/>
              <w:rPr>
                <w:sz w:val="20"/>
                <w:szCs w:val="20"/>
                <w:color w:val="auto"/>
              </w:rPr>
            </w:pPr>
            <w:r>
              <w:rPr>
                <w:rFonts w:ascii="Arial" w:cs="Arial" w:eastAsia="Arial" w:hAnsi="Arial"/>
                <w:sz w:val="12"/>
                <w:szCs w:val="12"/>
                <w:b w:val="1"/>
                <w:bCs w:val="1"/>
                <w:color w:val="auto"/>
              </w:rPr>
              <w:t>Number of Shares</w:t>
            </w:r>
          </w:p>
        </w:tc>
        <w:tc>
          <w:tcPr>
            <w:tcW w:w="1980" w:type="dxa"/>
            <w:vAlign w:val="bottom"/>
            <w:gridSpan w:val="2"/>
            <w:vMerge w:val="restart"/>
          </w:tcPr>
          <w:p>
            <w:pPr>
              <w:jc w:val="right"/>
              <w:ind w:right="63"/>
              <w:spacing w:after="0"/>
              <w:rPr>
                <w:sz w:val="20"/>
                <w:szCs w:val="20"/>
                <w:color w:val="auto"/>
              </w:rPr>
            </w:pPr>
            <w:r>
              <w:rPr>
                <w:rFonts w:ascii="Arial" w:cs="Arial" w:eastAsia="Arial" w:hAnsi="Arial"/>
                <w:sz w:val="12"/>
                <w:szCs w:val="12"/>
                <w:b w:val="1"/>
                <w:bCs w:val="1"/>
                <w:color w:val="auto"/>
                <w:w w:val="95"/>
              </w:rPr>
              <w:t>Weighted-Average Exercise Price</w:t>
            </w:r>
          </w:p>
        </w:tc>
        <w:tc>
          <w:tcPr>
            <w:tcW w:w="1740" w:type="dxa"/>
            <w:vAlign w:val="bottom"/>
          </w:tcPr>
          <w:p>
            <w:pPr>
              <w:jc w:val="right"/>
              <w:ind w:right="46"/>
              <w:spacing w:after="0"/>
              <w:rPr>
                <w:sz w:val="20"/>
                <w:szCs w:val="20"/>
                <w:color w:val="auto"/>
              </w:rPr>
            </w:pPr>
            <w:r>
              <w:rPr>
                <w:rFonts w:ascii="Arial" w:cs="Arial" w:eastAsia="Arial" w:hAnsi="Arial"/>
                <w:sz w:val="12"/>
                <w:szCs w:val="12"/>
                <w:b w:val="1"/>
                <w:bCs w:val="1"/>
                <w:color w:val="auto"/>
                <w:w w:val="94"/>
              </w:rPr>
              <w:t>Weighted-Average Grant Date</w:t>
            </w:r>
          </w:p>
        </w:tc>
        <w:tc>
          <w:tcPr>
            <w:tcW w:w="0" w:type="dxa"/>
            <w:vAlign w:val="bottom"/>
          </w:tcPr>
          <w:p>
            <w:pPr>
              <w:spacing w:after="0"/>
              <w:rPr>
                <w:sz w:val="1"/>
                <w:szCs w:val="1"/>
                <w:color w:val="auto"/>
              </w:rPr>
            </w:pPr>
          </w:p>
        </w:tc>
      </w:tr>
      <w:tr>
        <w:trPr>
          <w:trHeight w:val="165"/>
        </w:trPr>
        <w:tc>
          <w:tcPr>
            <w:tcW w:w="37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auto"/>
            </w:tcBorders>
            <w:gridSpan w:val="2"/>
            <w:vMerge w:val="continue"/>
          </w:tcPr>
          <w:p>
            <w:pPr>
              <w:spacing w:after="0"/>
              <w:rPr>
                <w:sz w:val="14"/>
                <w:szCs w:val="14"/>
                <w:color w:val="auto"/>
              </w:rPr>
            </w:pPr>
          </w:p>
        </w:tc>
        <w:tc>
          <w:tcPr>
            <w:tcW w:w="174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December 31, 2018</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5"/>
                <w:szCs w:val="15"/>
                <w:color w:val="auto"/>
              </w:rPr>
              <w:t>Granted</w:t>
            </w:r>
          </w:p>
        </w:tc>
        <w:tc>
          <w:tcPr>
            <w:tcW w:w="1820" w:type="dxa"/>
            <w:vAlign w:val="bottom"/>
          </w:tcPr>
          <w:p>
            <w:pPr>
              <w:jc w:val="right"/>
              <w:spacing w:after="0"/>
              <w:rPr>
                <w:sz w:val="20"/>
                <w:szCs w:val="20"/>
                <w:color w:val="auto"/>
              </w:rPr>
            </w:pPr>
            <w:r>
              <w:rPr>
                <w:rFonts w:ascii="Arial" w:cs="Arial" w:eastAsia="Arial" w:hAnsi="Arial"/>
                <w:sz w:val="15"/>
                <w:szCs w:val="15"/>
                <w:color w:val="auto"/>
              </w:rPr>
              <w:t>1,165,000</w:t>
            </w:r>
          </w:p>
        </w:tc>
        <w:tc>
          <w:tcPr>
            <w:tcW w:w="840" w:type="dxa"/>
            <w:vAlign w:val="bottom"/>
          </w:tcPr>
          <w:p>
            <w:pPr>
              <w:spacing w:after="0"/>
              <w:rPr>
                <w:sz w:val="18"/>
                <w:szCs w:val="18"/>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6.57</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388,333</w:t>
            </w:r>
          </w:p>
        </w:tc>
        <w:tc>
          <w:tcPr>
            <w:tcW w:w="8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6.57</w:t>
            </w:r>
          </w:p>
        </w:tc>
        <w:tc>
          <w:tcPr>
            <w:tcW w:w="1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5"/>
                <w:szCs w:val="15"/>
                <w:color w:val="auto"/>
              </w:rPr>
              <w:t>Exercised</w:t>
            </w:r>
          </w:p>
        </w:tc>
        <w:tc>
          <w:tcPr>
            <w:tcW w:w="18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8"/>
                <w:szCs w:val="18"/>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6,667</w:t>
            </w:r>
          </w:p>
        </w:tc>
        <w:tc>
          <w:tcPr>
            <w:tcW w:w="8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6.57</w:t>
            </w:r>
          </w:p>
        </w:tc>
        <w:tc>
          <w:tcPr>
            <w:tcW w:w="1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5"/>
                <w:szCs w:val="15"/>
                <w:color w:val="auto"/>
              </w:rPr>
              <w:t>Expired</w:t>
            </w:r>
          </w:p>
        </w:tc>
        <w:tc>
          <w:tcPr>
            <w:tcW w:w="1820" w:type="dxa"/>
            <w:vAlign w:val="bottom"/>
          </w:tcPr>
          <w:p>
            <w:pPr>
              <w:jc w:val="right"/>
              <w:spacing w:after="0"/>
              <w:rPr>
                <w:sz w:val="20"/>
                <w:szCs w:val="20"/>
                <w:color w:val="auto"/>
              </w:rPr>
            </w:pPr>
            <w:r>
              <w:rPr>
                <w:rFonts w:ascii="Arial" w:cs="Arial" w:eastAsia="Arial" w:hAnsi="Arial"/>
                <w:sz w:val="15"/>
                <w:szCs w:val="15"/>
                <w:color w:val="auto"/>
              </w:rPr>
              <w:t>3,333</w:t>
            </w:r>
          </w:p>
        </w:tc>
        <w:tc>
          <w:tcPr>
            <w:tcW w:w="840" w:type="dxa"/>
            <w:vAlign w:val="bottom"/>
          </w:tcPr>
          <w:p>
            <w:pPr>
              <w:spacing w:after="0"/>
              <w:rPr>
                <w:sz w:val="18"/>
                <w:szCs w:val="18"/>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color w:val="auto"/>
              </w:rPr>
              <w:t>6.57</w:t>
            </w:r>
          </w:p>
        </w:tc>
        <w:tc>
          <w:tcPr>
            <w:tcW w:w="1740" w:type="dxa"/>
            <w:vAlign w:val="bottom"/>
          </w:tcPr>
          <w:p>
            <w:pPr>
              <w:jc w:val="right"/>
              <w:ind w:right="6"/>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Exercisable as of December 31, 2019</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385,000</w:t>
            </w:r>
          </w:p>
        </w:tc>
        <w:tc>
          <w:tcPr>
            <w:tcW w:w="8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6.57</w:t>
            </w:r>
          </w:p>
        </w:tc>
        <w:tc>
          <w:tcPr>
            <w:tcW w:w="174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86"/>
        </w:trPr>
        <w:tc>
          <w:tcPr>
            <w:tcW w:w="3700" w:type="dxa"/>
            <w:vAlign w:val="bottom"/>
            <w:shd w:val="clear" w:color="auto" w:fill="CCEEFF"/>
          </w:tcPr>
          <w:p>
            <w:pPr>
              <w:spacing w:after="0"/>
              <w:rPr>
                <w:sz w:val="16"/>
                <w:szCs w:val="16"/>
                <w:color w:val="auto"/>
              </w:rPr>
            </w:pPr>
          </w:p>
        </w:tc>
        <w:tc>
          <w:tcPr>
            <w:tcW w:w="182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-272415</wp:posOffset>
            </wp:positionV>
            <wp:extent cx="23520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2040" cy="762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-574675</wp:posOffset>
            </wp:positionV>
            <wp:extent cx="23520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52040" cy="762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-876935</wp:posOffset>
            </wp:positionV>
            <wp:extent cx="23520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52040" cy="762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-1179195</wp:posOffset>
            </wp:positionV>
            <wp:extent cx="235204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52040" cy="7620"/>
                    </a:xfrm>
                    <a:prstGeom prst="rect">
                      <a:avLst/>
                    </a:prstGeom>
                    <a:noFill/>
                  </pic:spPr>
                </pic:pic>
              </a:graphicData>
            </a:graphic>
          </wp:anchor>
        </w:drawing>
      </w:r>
    </w:p>
    <w:p>
      <w:pPr>
        <w:spacing w:after="0" w:line="155" w:lineRule="exact"/>
        <w:rPr>
          <w:sz w:val="20"/>
          <w:szCs w:val="20"/>
          <w:color w:val="auto"/>
        </w:rPr>
      </w:pPr>
    </w:p>
    <w:p>
      <w:pPr>
        <w:ind w:firstLine="279"/>
        <w:spacing w:after="0" w:line="291" w:lineRule="auto"/>
        <w:rPr>
          <w:sz w:val="20"/>
          <w:szCs w:val="20"/>
          <w:color w:val="auto"/>
        </w:rPr>
      </w:pPr>
      <w:r>
        <w:rPr>
          <w:rFonts w:ascii="Arial" w:cs="Arial" w:eastAsia="Arial" w:hAnsi="Arial"/>
          <w:sz w:val="15"/>
          <w:szCs w:val="15"/>
          <w:color w:val="auto"/>
        </w:rPr>
        <w:t>The time-based options granted on July 17, 2019 have a weighted-average fair value of $2.57 per share. For the time-based options valued using the Black-Scholes option-pricing model, we used the following assumption inputs:</w:t>
      </w:r>
    </w:p>
    <w:p>
      <w:pPr>
        <w:spacing w:after="0" w:line="269" w:lineRule="exact"/>
        <w:rPr>
          <w:sz w:val="20"/>
          <w:szCs w:val="20"/>
          <w:color w:val="auto"/>
        </w:rPr>
      </w:pPr>
    </w:p>
    <w:tbl>
      <w:tblPr>
        <w:tblLayout w:type="fixed"/>
        <w:tblInd w:w="1980" w:type="dxa"/>
        <w:tblCellMar>
          <w:top w:w="0" w:type="dxa"/>
          <w:left w:w="0" w:type="dxa"/>
          <w:bottom w:w="0" w:type="dxa"/>
          <w:right w:w="0" w:type="dxa"/>
        </w:tblCellMar>
      </w:tblPr>
      <w:tr>
        <w:trPr>
          <w:trHeight w:val="165"/>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Assumption Inputs</w:t>
            </w:r>
          </w:p>
        </w:tc>
        <w:tc>
          <w:tcPr>
            <w:tcW w:w="1080" w:type="dxa"/>
            <w:vAlign w:val="bottom"/>
            <w:tcBorders>
              <w:bottom w:val="single" w:sz="8" w:color="CCEEFF"/>
            </w:tcBorders>
          </w:tcPr>
          <w:p>
            <w:pPr>
              <w:spacing w:after="0"/>
              <w:rPr>
                <w:sz w:val="14"/>
                <w:szCs w:val="14"/>
                <w:color w:val="auto"/>
              </w:rPr>
            </w:pPr>
          </w:p>
        </w:tc>
        <w:tc>
          <w:tcPr>
            <w:tcW w:w="3700" w:type="dxa"/>
            <w:vAlign w:val="bottom"/>
            <w:tcBorders>
              <w:bottom w:val="single" w:sz="8" w:color="auto"/>
            </w:tcBorders>
          </w:tcPr>
          <w:p>
            <w:pPr>
              <w:jc w:val="right"/>
              <w:ind w:right="1070"/>
              <w:spacing w:after="0"/>
              <w:rPr>
                <w:sz w:val="20"/>
                <w:szCs w:val="20"/>
                <w:color w:val="auto"/>
              </w:rPr>
            </w:pPr>
            <w:r>
              <w:rPr>
                <w:rFonts w:ascii="Arial" w:cs="Arial" w:eastAsia="Arial" w:hAnsi="Arial"/>
                <w:sz w:val="12"/>
                <w:szCs w:val="12"/>
                <w:b w:val="1"/>
                <w:bCs w:val="1"/>
                <w:color w:val="auto"/>
              </w:rPr>
              <w:t>Amount as of July 17, 2019</w:t>
            </w:r>
          </w:p>
        </w:tc>
      </w:tr>
      <w:tr>
        <w:trPr>
          <w:trHeight w:val="209"/>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Term to exercise (years)</w:t>
            </w:r>
          </w:p>
        </w:tc>
        <w:tc>
          <w:tcPr>
            <w:tcW w:w="47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rPr>
              <w:t>5.55</w:t>
            </w:r>
          </w:p>
        </w:tc>
      </w:tr>
      <w:tr>
        <w:trPr>
          <w:trHeight w:val="209"/>
        </w:trPr>
        <w:tc>
          <w:tcPr>
            <w:tcW w:w="2520" w:type="dxa"/>
            <w:vAlign w:val="bottom"/>
          </w:tcPr>
          <w:p>
            <w:pPr>
              <w:ind w:left="20"/>
              <w:spacing w:after="0"/>
              <w:rPr>
                <w:sz w:val="20"/>
                <w:szCs w:val="20"/>
                <w:color w:val="auto"/>
              </w:rPr>
            </w:pPr>
            <w:r>
              <w:rPr>
                <w:rFonts w:ascii="Arial" w:cs="Arial" w:eastAsia="Arial" w:hAnsi="Arial"/>
                <w:sz w:val="15"/>
                <w:szCs w:val="15"/>
                <w:color w:val="auto"/>
              </w:rPr>
              <w:t>Volatility</w:t>
            </w:r>
          </w:p>
        </w:tc>
        <w:tc>
          <w:tcPr>
            <w:tcW w:w="4780" w:type="dxa"/>
            <w:vAlign w:val="bottom"/>
            <w:gridSpan w:val="2"/>
          </w:tcPr>
          <w:p>
            <w:pPr>
              <w:jc w:val="right"/>
              <w:spacing w:after="0"/>
              <w:rPr>
                <w:sz w:val="20"/>
                <w:szCs w:val="20"/>
                <w:color w:val="auto"/>
              </w:rPr>
            </w:pPr>
            <w:r>
              <w:rPr>
                <w:rFonts w:ascii="Arial" w:cs="Arial" w:eastAsia="Arial" w:hAnsi="Arial"/>
                <w:sz w:val="15"/>
                <w:szCs w:val="15"/>
                <w:color w:val="auto"/>
              </w:rPr>
              <w:t>39.47%</w:t>
            </w:r>
          </w:p>
        </w:tc>
      </w:tr>
      <w:tr>
        <w:trPr>
          <w:trHeight w:val="24"/>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2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4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1.86%</w:t>
            </w:r>
          </w:p>
        </w:tc>
      </w:tr>
      <w:tr>
        <w:trPr>
          <w:trHeight w:val="209"/>
        </w:trPr>
        <w:tc>
          <w:tcPr>
            <w:tcW w:w="252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1080" w:type="dxa"/>
            <w:vAlign w:val="bottom"/>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95"/>
        </w:trPr>
        <w:tc>
          <w:tcPr>
            <w:tcW w:w="2520" w:type="dxa"/>
            <w:vAlign w:val="bottom"/>
          </w:tcPr>
          <w:p>
            <w:pPr>
              <w:spacing w:after="0"/>
              <w:rPr>
                <w:sz w:val="24"/>
                <w:szCs w:val="24"/>
                <w:color w:val="auto"/>
              </w:rPr>
            </w:pPr>
          </w:p>
        </w:tc>
        <w:tc>
          <w:tcPr>
            <w:tcW w:w="4780" w:type="dxa"/>
            <w:vAlign w:val="bottom"/>
            <w:gridSpan w:val="2"/>
          </w:tcPr>
          <w:p>
            <w:pPr>
              <w:jc w:val="right"/>
              <w:ind w:right="3470"/>
              <w:spacing w:after="0"/>
              <w:rPr>
                <w:sz w:val="20"/>
                <w:szCs w:val="20"/>
                <w:color w:val="auto"/>
              </w:rPr>
            </w:pPr>
            <w:r>
              <w:rPr>
                <w:rFonts w:ascii="Arial" w:cs="Arial" w:eastAsia="Arial" w:hAnsi="Arial"/>
                <w:sz w:val="15"/>
                <w:szCs w:val="15"/>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-537210</wp:posOffset>
            </wp:positionV>
            <wp:extent cx="228536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85365" cy="762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-839470</wp:posOffset>
            </wp:positionV>
            <wp:extent cx="228536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85365" cy="762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32" w:name="page133"/>
    <w:bookmarkEnd w:id="132"/>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375" w:lineRule="exact"/>
        <w:rPr>
          <w:sz w:val="20"/>
          <w:szCs w:val="20"/>
          <w:color w:val="auto"/>
        </w:rPr>
      </w:pPr>
    </w:p>
    <w:p>
      <w:pPr>
        <w:jc w:val="both"/>
        <w:ind w:left="7" w:right="20" w:firstLine="279"/>
        <w:spacing w:after="0" w:line="274" w:lineRule="auto"/>
        <w:rPr>
          <w:sz w:val="20"/>
          <w:szCs w:val="20"/>
          <w:color w:val="auto"/>
        </w:rPr>
      </w:pPr>
      <w:r>
        <w:rPr>
          <w:rFonts w:ascii="Arial" w:cs="Arial" w:eastAsia="Arial" w:hAnsi="Arial"/>
          <w:sz w:val="15"/>
          <w:szCs w:val="15"/>
          <w:color w:val="auto"/>
        </w:rPr>
        <w:t>For the year ended December 31, 2019, we recognized the stock-based compensation expense of $998,355, and amount of cash received from the exercise of stock options was $0. As of December 31, 2019, there was $1,979,570 of total unrecognized compensation cost related to non-vested stock options granted under the 2019 Plan. The remaining cost is expected to be recognized over the remaining weighted-average vesting period of 1.05 years.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NOTE 12—SUBSEQUENT EVENTS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Portfolio Activity</w:t>
      </w:r>
    </w:p>
    <w:p>
      <w:pPr>
        <w:spacing w:after="0" w:line="205" w:lineRule="exact"/>
        <w:rPr>
          <w:sz w:val="20"/>
          <w:szCs w:val="20"/>
          <w:color w:val="auto"/>
        </w:rPr>
      </w:pPr>
    </w:p>
    <w:p>
      <w:pPr>
        <w:ind w:left="287"/>
        <w:spacing w:after="0"/>
        <w:rPr>
          <w:sz w:val="20"/>
          <w:szCs w:val="20"/>
          <w:color w:val="auto"/>
        </w:rPr>
      </w:pPr>
      <w:r>
        <w:rPr>
          <w:rFonts w:ascii="Arial" w:cs="Arial" w:eastAsia="Arial" w:hAnsi="Arial"/>
          <w:sz w:val="15"/>
          <w:szCs w:val="15"/>
          <w:color w:val="auto"/>
        </w:rPr>
        <w:t>From January 1, 2020 through March 13, 2020, the Company sold investments of $10,786,346 as shown in the following table:</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6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Transaction Date</w:t>
            </w:r>
          </w:p>
        </w:tc>
        <w:tc>
          <w:tcPr>
            <w:tcW w:w="1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Shares Sold</w:t>
            </w:r>
          </w:p>
        </w:tc>
        <w:tc>
          <w:tcPr>
            <w:tcW w:w="1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Average Net Share Price</w:t>
            </w:r>
          </w:p>
        </w:tc>
        <w:tc>
          <w:tcPr>
            <w:tcW w:w="1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Proceeds</w:t>
            </w:r>
            <w:r>
              <w:rPr>
                <w:rFonts w:ascii="Arial" w:cs="Arial" w:eastAsia="Arial" w:hAnsi="Arial"/>
                <w:sz w:val="7"/>
                <w:szCs w:val="7"/>
                <w:b w:val="1"/>
                <w:bCs w:val="1"/>
                <w:color w:val="auto"/>
                <w:w w:val="89"/>
              </w:rPr>
              <w:t>(1)</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3"/>
              </w:rPr>
              <w:t>Realized Gain</w:t>
            </w:r>
          </w:p>
        </w:tc>
      </w:tr>
      <w:tr>
        <w:trPr>
          <w:trHeight w:val="209"/>
        </w:trPr>
        <w:tc>
          <w:tcPr>
            <w:tcW w:w="20" w:type="dxa"/>
            <w:vAlign w:val="bottom"/>
          </w:tcPr>
          <w:p>
            <w:pPr>
              <w:spacing w:after="0"/>
              <w:rPr>
                <w:sz w:val="18"/>
                <w:szCs w:val="18"/>
                <w:color w:val="auto"/>
              </w:rPr>
            </w:pPr>
          </w:p>
        </w:tc>
        <w:tc>
          <w:tcPr>
            <w:tcW w:w="32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5"/>
                <w:szCs w:val="15"/>
                <w:color w:val="auto"/>
                <w:shd w:val="clear" w:color="auto" w:fill="CCEEFF"/>
              </w:rPr>
              <w:t>Parchment, Inc.</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jc w:val="right"/>
              <w:ind w:right="214"/>
              <w:spacing w:after="0"/>
              <w:rPr>
                <w:sz w:val="20"/>
                <w:szCs w:val="20"/>
                <w:color w:val="auto"/>
              </w:rPr>
            </w:pPr>
            <w:r>
              <w:rPr>
                <w:rFonts w:ascii="Arial" w:cs="Arial" w:eastAsia="Arial" w:hAnsi="Arial"/>
                <w:sz w:val="14"/>
                <w:szCs w:val="14"/>
                <w:color w:val="auto"/>
              </w:rPr>
              <w:t>1/31/2020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jc w:val="right"/>
              <w:ind w:right="454"/>
              <w:spacing w:after="0"/>
              <w:rPr>
                <w:sz w:val="20"/>
                <w:szCs w:val="20"/>
                <w:color w:val="auto"/>
              </w:rPr>
            </w:pPr>
            <w:r>
              <w:rPr>
                <w:rFonts w:ascii="Arial" w:cs="Arial" w:eastAsia="Arial" w:hAnsi="Arial"/>
                <w:sz w:val="14"/>
                <w:szCs w:val="14"/>
                <w:color w:val="auto"/>
              </w:rPr>
              <w:t>3,200,512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jc w:val="right"/>
              <w:ind w:right="574"/>
              <w:spacing w:after="0"/>
              <w:rPr>
                <w:sz w:val="20"/>
                <w:szCs w:val="20"/>
                <w:color w:val="auto"/>
              </w:rPr>
            </w:pPr>
            <w:r>
              <w:rPr>
                <w:rFonts w:ascii="Arial" w:cs="Arial" w:eastAsia="Arial" w:hAnsi="Arial"/>
                <w:sz w:val="14"/>
                <w:szCs w:val="14"/>
                <w:color w:val="auto"/>
              </w:rPr>
              <w:t>$3.37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4"/>
                <w:szCs w:val="14"/>
                <w:color w:val="auto"/>
              </w:rPr>
              <w:t>10,786,346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CCEEFF"/>
            </w:tcBorders>
            <w:shd w:val="clear" w:color="auto" w:fill="CCEEFF"/>
          </w:tcPr>
          <w:p>
            <w:pPr>
              <w:jc w:val="right"/>
              <w:ind w:right="434"/>
              <w:spacing w:after="0"/>
              <w:rPr>
                <w:sz w:val="20"/>
                <w:szCs w:val="20"/>
                <w:color w:val="auto"/>
              </w:rPr>
            </w:pPr>
            <w:r>
              <w:rPr>
                <w:rFonts w:ascii="Arial" w:cs="Arial" w:eastAsia="Arial" w:hAnsi="Arial"/>
                <w:sz w:val="14"/>
                <w:szCs w:val="14"/>
                <w:color w:val="auto"/>
              </w:rPr>
              <w:t>6,785,364</w:t>
            </w:r>
          </w:p>
        </w:tc>
      </w:tr>
      <w:tr>
        <w:trPr>
          <w:trHeight w:val="166"/>
        </w:trPr>
        <w:tc>
          <w:tcPr>
            <w:tcW w:w="20" w:type="dxa"/>
            <w:vAlign w:val="bottom"/>
          </w:tcPr>
          <w:p>
            <w:pPr>
              <w:spacing w:after="0"/>
              <w:rPr>
                <w:sz w:val="14"/>
                <w:szCs w:val="14"/>
                <w:color w:val="auto"/>
              </w:rPr>
            </w:pPr>
          </w:p>
        </w:tc>
        <w:tc>
          <w:tcPr>
            <w:tcW w:w="3240" w:type="dxa"/>
            <w:vAlign w:val="bottom"/>
          </w:tcPr>
          <w:p>
            <w:pPr>
              <w:jc w:val="right"/>
              <w:ind w:right="1950"/>
              <w:spacing w:after="0"/>
              <w:rPr>
                <w:sz w:val="20"/>
                <w:szCs w:val="20"/>
                <w:color w:val="auto"/>
              </w:rPr>
            </w:pPr>
            <w:r>
              <w:rPr>
                <w:rFonts w:ascii="Arial" w:cs="Arial" w:eastAsia="Arial" w:hAnsi="Arial"/>
                <w:sz w:val="14"/>
                <w:szCs w:val="14"/>
                <w:b w:val="1"/>
                <w:bCs w:val="1"/>
                <w:color w:val="auto"/>
                <w:w w:val="85"/>
              </w:rPr>
              <w:t>__________________</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ind w:left="427" w:hanging="427"/>
        <w:spacing w:after="0" w:line="249" w:lineRule="auto"/>
        <w:tabs>
          <w:tab w:leader="none" w:pos="4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January 31, 2020, Parchment, Inc. closed a merger with Credentials Solutions. As a result of the transaction, we have received $10,786,346 in net proceeds and expect to receive approximately $110,000 in additional proceeds held in escrow.</w:t>
      </w:r>
    </w:p>
    <w:p>
      <w:pPr>
        <w:spacing w:after="0" w:line="325" w:lineRule="exact"/>
        <w:rPr>
          <w:sz w:val="20"/>
          <w:szCs w:val="20"/>
          <w:color w:val="auto"/>
        </w:rPr>
      </w:pPr>
    </w:p>
    <w:p>
      <w:pPr>
        <w:ind w:left="307"/>
        <w:spacing w:after="0"/>
        <w:rPr>
          <w:sz w:val="20"/>
          <w:szCs w:val="20"/>
          <w:color w:val="auto"/>
        </w:rPr>
      </w:pPr>
      <w:r>
        <w:rPr>
          <w:rFonts w:ascii="Arial" w:cs="Arial" w:eastAsia="Arial" w:hAnsi="Arial"/>
          <w:sz w:val="15"/>
          <w:szCs w:val="15"/>
          <w:color w:val="auto"/>
        </w:rPr>
        <w:t>From January 1, 2020 through March 13, 2020, the Company did not purchase any investments.</w:t>
      </w:r>
    </w:p>
    <w:p>
      <w:pPr>
        <w:spacing w:after="0" w:line="199" w:lineRule="exact"/>
        <w:rPr>
          <w:sz w:val="20"/>
          <w:szCs w:val="20"/>
          <w:color w:val="auto"/>
        </w:rPr>
      </w:pPr>
    </w:p>
    <w:p>
      <w:pPr>
        <w:jc w:val="both"/>
        <w:ind w:left="7" w:right="20" w:firstLine="302"/>
        <w:spacing w:after="0" w:line="266" w:lineRule="auto"/>
        <w:rPr>
          <w:sz w:val="20"/>
          <w:szCs w:val="20"/>
          <w:color w:val="auto"/>
        </w:rPr>
      </w:pPr>
      <w:r>
        <w:rPr>
          <w:rFonts w:ascii="Arial" w:cs="Arial" w:eastAsia="Arial" w:hAnsi="Arial"/>
          <w:sz w:val="15"/>
          <w:szCs w:val="15"/>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Share Repurchase Program</w:t>
      </w:r>
    </w:p>
    <w:p>
      <w:pPr>
        <w:spacing w:after="0" w:line="205" w:lineRule="exact"/>
        <w:rPr>
          <w:sz w:val="20"/>
          <w:szCs w:val="20"/>
          <w:color w:val="auto"/>
        </w:rPr>
      </w:pPr>
    </w:p>
    <w:p>
      <w:pPr>
        <w:jc w:val="both"/>
        <w:ind w:left="7" w:firstLine="279"/>
        <w:spacing w:after="0" w:line="266" w:lineRule="auto"/>
        <w:rPr>
          <w:sz w:val="20"/>
          <w:szCs w:val="20"/>
          <w:color w:val="auto"/>
        </w:rPr>
      </w:pPr>
      <w:r>
        <w:rPr>
          <w:rFonts w:ascii="Arial" w:cs="Arial" w:eastAsia="Arial" w:hAnsi="Arial"/>
          <w:sz w:val="15"/>
          <w:szCs w:val="15"/>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Please refer to "Note 5—Share Repurchase Program, Equity Offerings and Related Expenses” for additional information on the Share Repurchase Program.</w:t>
      </w:r>
    </w:p>
    <w:p>
      <w:pPr>
        <w:spacing w:after="0" w:line="159" w:lineRule="exact"/>
        <w:rPr>
          <w:sz w:val="20"/>
          <w:szCs w:val="20"/>
          <w:color w:val="auto"/>
        </w:rPr>
      </w:pPr>
    </w:p>
    <w:p>
      <w:pPr>
        <w:jc w:val="both"/>
        <w:ind w:left="7" w:firstLine="279"/>
        <w:spacing w:after="0" w:line="291" w:lineRule="auto"/>
        <w:rPr>
          <w:sz w:val="20"/>
          <w:szCs w:val="20"/>
          <w:color w:val="auto"/>
        </w:rPr>
      </w:pPr>
      <w:r>
        <w:rPr>
          <w:rFonts w:ascii="Arial" w:cs="Arial" w:eastAsia="Arial" w:hAnsi="Arial"/>
          <w:sz w:val="15"/>
          <w:szCs w:val="15"/>
          <w:color w:val="auto"/>
        </w:rPr>
        <w:t>From January 1, 2020 through March 13, 2020, we repurchased an additional 237,612 shares under the Share Repurchase Program for an aggregate purchase price of $1.5 million.</w:t>
      </w:r>
    </w:p>
    <w:p>
      <w:pPr>
        <w:spacing w:after="0" w:line="13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Appointment of CCO</w:t>
      </w:r>
    </w:p>
    <w:p>
      <w:pPr>
        <w:spacing w:after="0" w:line="205" w:lineRule="exact"/>
        <w:rPr>
          <w:sz w:val="20"/>
          <w:szCs w:val="20"/>
          <w:color w:val="auto"/>
        </w:rPr>
      </w:pPr>
    </w:p>
    <w:p>
      <w:pPr>
        <w:jc w:val="both"/>
        <w:ind w:left="7" w:firstLine="279"/>
        <w:spacing w:after="0" w:line="328" w:lineRule="auto"/>
        <w:rPr>
          <w:sz w:val="20"/>
          <w:szCs w:val="20"/>
          <w:color w:val="auto"/>
        </w:rPr>
      </w:pPr>
      <w:r>
        <w:rPr>
          <w:rFonts w:ascii="Arial" w:cs="Arial" w:eastAsia="Arial" w:hAnsi="Arial"/>
          <w:sz w:val="14"/>
          <w:szCs w:val="14"/>
          <w:color w:val="auto"/>
        </w:rPr>
        <w:t>On March 9, 2020, our Board of Directors appointed Allison Green, our Chief Financial Officer, Treasurer and Secretary, to serve as our Chief Compliance Officer effective March 15, 2020. Carl Rizzo served as our Chief Compliance Officer pursuant to an agreement between us and Alaric Compliance Services LLC until March 15, 2020.</w:t>
      </w:r>
    </w:p>
    <w:p>
      <w:pPr>
        <w:spacing w:after="0" w:line="30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267"/>
          </w:cols>
          <w:pgMar w:left="313" w:top="124" w:right="319" w:bottom="1440" w:gutter="0" w:footer="0" w:header="0"/>
        </w:sectPr>
      </w:pPr>
    </w:p>
    <w:bookmarkStart w:id="133" w:name="page134"/>
    <w:bookmarkEnd w:id="1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13—SELECTED QUARTERLY FINANCIAL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2019</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2019</w:t>
            </w:r>
          </w:p>
        </w:tc>
        <w:tc>
          <w:tcPr>
            <w:tcW w:w="3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June 30, 2019</w:t>
            </w: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Arial" w:cs="Arial" w:eastAsia="Arial" w:hAnsi="Arial"/>
                <w:sz w:val="12"/>
                <w:szCs w:val="12"/>
                <w:b w:val="1"/>
                <w:bCs w:val="1"/>
                <w:color w:val="auto"/>
              </w:rPr>
              <w:t>March 31, 2019</w:t>
            </w: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Investment Income</w:t>
            </w:r>
          </w:p>
        </w:tc>
        <w:tc>
          <w:tcPr>
            <w:tcW w:w="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400,296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380,226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487,952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227,250</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2,963,631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5,082,430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3,293,183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(392,452)</w:t>
            </w:r>
          </w:p>
        </w:tc>
        <w:tc>
          <w:tcPr>
            <w:tcW w:w="0" w:type="dxa"/>
            <w:vAlign w:val="bottom"/>
          </w:tcPr>
          <w:p>
            <w:pPr>
              <w:spacing w:after="0"/>
              <w:rPr>
                <w:sz w:val="1"/>
                <w:szCs w:val="1"/>
                <w:color w:val="auto"/>
              </w:rPr>
            </w:pPr>
          </w:p>
        </w:tc>
      </w:tr>
      <w:tr>
        <w:trPr>
          <w:trHeight w:val="28"/>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Investment Gain/(Loss)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(2,563,335)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(4,702,204)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(2,805,231)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619,702</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Net Realized Gain/(Loss) on Investments</w:t>
            </w:r>
          </w:p>
        </w:tc>
        <w:tc>
          <w:tcPr>
            <w:tcW w:w="18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7,881,839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1,772,961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13,590,233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(4,065,693)</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Unrealized Appreciation/(Depreciation) of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(3,110,267)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8,190,695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(12,440,320)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20,699,751</w:t>
            </w:r>
          </w:p>
        </w:tc>
        <w:tc>
          <w:tcPr>
            <w:tcW w:w="0" w:type="dxa"/>
            <w:vAlign w:val="bottom"/>
          </w:tcPr>
          <w:p>
            <w:pPr>
              <w:spacing w:after="0"/>
              <w:rPr>
                <w:sz w:val="1"/>
                <w:szCs w:val="1"/>
                <w:color w:val="auto"/>
              </w:rPr>
            </w:pPr>
          </w:p>
        </w:tc>
      </w:tr>
      <w:tr>
        <w:trPr>
          <w:trHeight w:val="189"/>
        </w:trPr>
        <w:tc>
          <w:tcPr>
            <w:tcW w:w="5040" w:type="dxa"/>
            <w:vAlign w:val="bottom"/>
          </w:tcPr>
          <w:p>
            <w:pPr>
              <w:ind w:left="40"/>
              <w:spacing w:after="0"/>
              <w:rPr>
                <w:sz w:val="20"/>
                <w:szCs w:val="20"/>
                <w:color w:val="auto"/>
              </w:rPr>
            </w:pPr>
            <w:r>
              <w:rPr>
                <w:rFonts w:ascii="Arial" w:cs="Arial" w:eastAsia="Arial" w:hAnsi="Arial"/>
                <w:sz w:val="14"/>
                <w:szCs w:val="14"/>
                <w:color w:val="auto"/>
              </w:rPr>
              <w:t>Benefit from/(Provision for) Taxes on Unrealized Depreciation/(Appreciation) of</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979,713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(94,147)</w:t>
            </w:r>
          </w:p>
        </w:tc>
        <w:tc>
          <w:tcPr>
            <w:tcW w:w="0" w:type="dxa"/>
            <w:vAlign w:val="bottom"/>
          </w:tcPr>
          <w:p>
            <w:pPr>
              <w:spacing w:after="0"/>
              <w:rPr>
                <w:sz w:val="1"/>
                <w:szCs w:val="1"/>
                <w:color w:val="auto"/>
              </w:rPr>
            </w:pPr>
          </w:p>
        </w:tc>
      </w:tr>
      <w:tr>
        <w:trPr>
          <w:trHeight w:val="28"/>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Increase/(Decrease) in Net Assets Resulting from Operations</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2,208,237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5,261,452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(675,605)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17,159,613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Net Increase/(Decrease) in Net Assets from Operations per Common Share:</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205"/>
        </w:trPr>
        <w:tc>
          <w:tcPr>
            <w:tcW w:w="50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7"/>
                <w:szCs w:val="17"/>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Outstanding–Basic</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18,372,212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19,472,785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19,719,706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19,762,647</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Outstanding–Diluted</w:t>
            </w:r>
          </w:p>
        </w:tc>
        <w:tc>
          <w:tcPr>
            <w:tcW w:w="18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18,372,212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23,204,129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19,719,706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23,493,991</w:t>
            </w:r>
          </w:p>
        </w:tc>
        <w:tc>
          <w:tcPr>
            <w:tcW w:w="0" w:type="dxa"/>
            <w:vAlign w:val="bottom"/>
          </w:tcPr>
          <w:p>
            <w:pPr>
              <w:spacing w:after="0"/>
              <w:rPr>
                <w:sz w:val="1"/>
                <w:szCs w:val="1"/>
                <w:color w:val="auto"/>
              </w:rPr>
            </w:pPr>
          </w:p>
        </w:tc>
      </w:tr>
      <w:tr>
        <w:trPr>
          <w:trHeight w:val="498"/>
        </w:trPr>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2018</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2018</w:t>
            </w:r>
          </w:p>
        </w:tc>
        <w:tc>
          <w:tcPr>
            <w:tcW w:w="3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June 30, 2018</w:t>
            </w:r>
          </w:p>
        </w:tc>
        <w:tc>
          <w:tcPr>
            <w:tcW w:w="200" w:type="dxa"/>
            <w:vAlign w:val="bottom"/>
          </w:tcPr>
          <w:p>
            <w:pPr>
              <w:spacing w:after="0"/>
              <w:rPr>
                <w:sz w:val="19"/>
                <w:szCs w:val="19"/>
                <w:color w:val="auto"/>
              </w:rPr>
            </w:pPr>
          </w:p>
        </w:tc>
        <w:tc>
          <w:tcPr>
            <w:tcW w:w="1240" w:type="dxa"/>
            <w:vAlign w:val="bottom"/>
          </w:tcPr>
          <w:p>
            <w:pPr>
              <w:jc w:val="right"/>
              <w:ind w:right="231"/>
              <w:spacing w:after="0"/>
              <w:rPr>
                <w:sz w:val="20"/>
                <w:szCs w:val="20"/>
                <w:color w:val="auto"/>
              </w:rPr>
            </w:pPr>
            <w:r>
              <w:rPr>
                <w:rFonts w:ascii="Arial" w:cs="Arial" w:eastAsia="Arial" w:hAnsi="Arial"/>
                <w:sz w:val="12"/>
                <w:szCs w:val="12"/>
                <w:b w:val="1"/>
                <w:bCs w:val="1"/>
                <w:color w:val="auto"/>
              </w:rPr>
              <w:t>March 31, 2018</w:t>
            </w:r>
          </w:p>
        </w:tc>
        <w:tc>
          <w:tcPr>
            <w:tcW w:w="0" w:type="dxa"/>
            <w:vAlign w:val="bottom"/>
          </w:tcPr>
          <w:p>
            <w:pPr>
              <w:spacing w:after="0"/>
              <w:rPr>
                <w:sz w:val="1"/>
                <w:szCs w:val="1"/>
                <w:color w:val="auto"/>
              </w:rPr>
            </w:pPr>
          </w:p>
        </w:tc>
      </w:tr>
      <w:tr>
        <w:trPr>
          <w:trHeight w:val="19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Investment Income</w:t>
            </w:r>
          </w:p>
        </w:tc>
        <w:tc>
          <w:tcPr>
            <w:tcW w:w="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530,076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246,352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592,073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249,335</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(1,152,869)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4,556,625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6,344,272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5,396,806</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Management Fee Waiver</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(402,074)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(335,403)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(154,944)</w:t>
            </w:r>
          </w:p>
        </w:tc>
        <w:tc>
          <w:tcPr>
            <w:tcW w:w="0" w:type="dxa"/>
            <w:vAlign w:val="bottom"/>
          </w:tcPr>
          <w:p>
            <w:pPr>
              <w:spacing w:after="0"/>
              <w:rPr>
                <w:sz w:val="1"/>
                <w:szCs w:val="1"/>
                <w:color w:val="auto"/>
              </w:rPr>
            </w:pPr>
          </w:p>
        </w:tc>
      </w:tr>
      <w:tr>
        <w:trPr>
          <w:trHeight w:val="193"/>
        </w:trPr>
        <w:tc>
          <w:tcPr>
            <w:tcW w:w="5040" w:type="dxa"/>
            <w:vAlign w:val="bottom"/>
          </w:tcPr>
          <w:p>
            <w:pPr>
              <w:ind w:left="140"/>
              <w:spacing w:after="0"/>
              <w:rPr>
                <w:sz w:val="20"/>
                <w:szCs w:val="20"/>
                <w:color w:val="auto"/>
              </w:rPr>
            </w:pPr>
            <w:r>
              <w:rPr>
                <w:rFonts w:ascii="Arial" w:cs="Arial" w:eastAsia="Arial" w:hAnsi="Arial"/>
                <w:sz w:val="14"/>
                <w:szCs w:val="14"/>
                <w:color w:val="auto"/>
              </w:rPr>
              <w:t>Incentive Fee Waiver</w:t>
            </w:r>
          </w:p>
        </w:tc>
        <w:tc>
          <w:tcPr>
            <w:tcW w:w="18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8"/>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Investment Gain/(Loss)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1,682,945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(3,908,199)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(5,416,796)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7,473</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Net Realized Gain/(Loss) on Investments</w:t>
            </w:r>
          </w:p>
        </w:tc>
        <w:tc>
          <w:tcPr>
            <w:tcW w:w="18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99,544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(10,119,771)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3,363,333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(776,725)</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(397,846)</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Net Change in Unrealized Appreciation/(Depreciation) of Investments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(22,507,314)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14,142,375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9,872,595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8,133,394</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Benefit from Taxes on Unrealized Depreciation of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5,491,460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214,404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1,010,871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Increase/(Decrease) in Net Assets Resulting from Operations</w:t>
            </w: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(15,233,365)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328,809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8,830,003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6,966,296</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Increase/(Decrease) in Net Assets from Operations per Common Share:</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14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17"/>
                <w:szCs w:val="17"/>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Outstanding–Basic</w:t>
            </w:r>
          </w:p>
        </w:tc>
        <w:tc>
          <w:tcPr>
            <w:tcW w:w="18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19,904,807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20,462,626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20,968,850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21,150,662</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Outstanding–Diluted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19,904,807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20,462,626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28,866,674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26,713,656</w:t>
            </w:r>
          </w:p>
        </w:tc>
        <w:tc>
          <w:tcPr>
            <w:tcW w:w="0" w:type="dxa"/>
            <w:vAlign w:val="bottom"/>
          </w:tcPr>
          <w:p>
            <w:pPr>
              <w:spacing w:after="0"/>
              <w:rPr>
                <w:sz w:val="1"/>
                <w:szCs w:val="1"/>
                <w:color w:val="auto"/>
              </w:rPr>
            </w:pPr>
          </w:p>
        </w:tc>
      </w:tr>
      <w:tr>
        <w:trPr>
          <w:trHeight w:val="28"/>
        </w:trPr>
        <w:tc>
          <w:tcPr>
            <w:tcW w:w="5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-3597275</wp:posOffset>
            </wp:positionV>
            <wp:extent cx="319976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99765" cy="762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-4585335</wp:posOffset>
            </wp:positionV>
            <wp:extent cx="319976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99765" cy="762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-2233295</wp:posOffset>
            </wp:positionV>
            <wp:extent cx="319976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9765" cy="7620"/>
                    </a:xfrm>
                    <a:prstGeom prst="rect">
                      <a:avLst/>
                    </a:prstGeom>
                    <a:noFill/>
                  </pic:spPr>
                </pic:pic>
              </a:graphicData>
            </a:graphic>
          </wp:anchor>
        </w:drawing>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220"/>
          </w:cols>
          <w:pgMar w:left="320" w:top="124" w:right="359" w:bottom="1440" w:gutter="0" w:footer="0" w:header="0"/>
        </w:sectPr>
      </w:pPr>
    </w:p>
    <w:bookmarkStart w:id="134" w:name="page135"/>
    <w:bookmarkEnd w:id="1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December 31,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4"/>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2017</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2017</w:t>
            </w:r>
          </w:p>
        </w:tc>
        <w:tc>
          <w:tcPr>
            <w:tcW w:w="2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June 30, 2017</w:t>
            </w:r>
          </w:p>
        </w:tc>
        <w:tc>
          <w:tcPr>
            <w:tcW w:w="180" w:type="dxa"/>
            <w:vAlign w:val="bottom"/>
          </w:tcPr>
          <w:p>
            <w:pPr>
              <w:spacing w:after="0"/>
              <w:rPr>
                <w:sz w:val="19"/>
                <w:szCs w:val="19"/>
                <w:color w:val="auto"/>
              </w:rPr>
            </w:pPr>
          </w:p>
        </w:tc>
        <w:tc>
          <w:tcPr>
            <w:tcW w:w="1160" w:type="dxa"/>
            <w:vAlign w:val="bottom"/>
          </w:tcPr>
          <w:p>
            <w:pPr>
              <w:jc w:val="right"/>
              <w:ind w:right="191"/>
              <w:spacing w:after="0"/>
              <w:rPr>
                <w:sz w:val="20"/>
                <w:szCs w:val="20"/>
                <w:color w:val="auto"/>
              </w:rPr>
            </w:pPr>
            <w:r>
              <w:rPr>
                <w:rFonts w:ascii="Arial" w:cs="Arial" w:eastAsia="Arial" w:hAnsi="Arial"/>
                <w:sz w:val="12"/>
                <w:szCs w:val="12"/>
                <w:b w:val="1"/>
                <w:bCs w:val="1"/>
                <w:color w:val="auto"/>
              </w:rPr>
              <w:t>March 31, 2017</w:t>
            </w:r>
          </w:p>
        </w:tc>
      </w:tr>
      <w:tr>
        <w:trPr>
          <w:trHeight w:val="197"/>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Investment Income/(Reversal of Investment Income)</w:t>
            </w:r>
          </w:p>
        </w:tc>
        <w:tc>
          <w:tcPr>
            <w:tcW w:w="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(31,196)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174,912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370,593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338,459</w:t>
            </w:r>
          </w:p>
        </w:tc>
      </w:tr>
      <w:tr>
        <w:trPr>
          <w:trHeight w:val="205"/>
        </w:trPr>
        <w:tc>
          <w:tcPr>
            <w:tcW w:w="52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3,712,391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6,975,539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6,423,452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5,328,473</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Management Fee Waiver</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(181,906)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(169,898)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(181,802)</w:t>
            </w:r>
          </w:p>
        </w:tc>
      </w:tr>
      <w:tr>
        <w:trPr>
          <w:trHeight w:val="185"/>
        </w:trPr>
        <w:tc>
          <w:tcPr>
            <w:tcW w:w="52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Investment Loss</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(3,561,681)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(6,625,961)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(5,882,961)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(4,808,212)</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Gain/(Loss) on Investments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25,241,064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1,033,577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(671,492)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(24,689,167)</w:t>
            </w:r>
          </w:p>
        </w:tc>
      </w:tr>
      <w:tr>
        <w:trPr>
          <w:trHeight w:val="205"/>
        </w:trPr>
        <w:tc>
          <w:tcPr>
            <w:tcW w:w="5280" w:type="dxa"/>
            <w:vAlign w:val="bottom"/>
          </w:tcPr>
          <w:p>
            <w:pPr>
              <w:ind w:left="20"/>
              <w:spacing w:after="0"/>
              <w:rPr>
                <w:sz w:val="20"/>
                <w:szCs w:val="20"/>
                <w:color w:val="auto"/>
              </w:rPr>
            </w:pPr>
            <w:r>
              <w:rPr>
                <w:rFonts w:ascii="Arial" w:cs="Arial" w:eastAsia="Arial" w:hAnsi="Arial"/>
                <w:sz w:val="14"/>
                <w:szCs w:val="14"/>
                <w:color w:val="auto"/>
              </w:rPr>
              <w:t>Net Change in Unrealized Appreciation/(Depreciation) of Investments</w:t>
            </w:r>
          </w:p>
        </w:tc>
        <w:tc>
          <w:tcPr>
            <w:tcW w:w="16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(26,893,780)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15,636,683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12,752,528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33,280,265</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from Taxes on Unrealized Depreciation of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2,730,365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26,705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r>
      <w:tr>
        <w:trPr>
          <w:trHeight w:val="244"/>
        </w:trPr>
        <w:tc>
          <w:tcPr>
            <w:tcW w:w="52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4"/>
                <w:szCs w:val="14"/>
                <w:color w:val="auto"/>
              </w:rPr>
              <w:t>Net Increase/(Decrease) in Net Assets Resulting from Operations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(2,484,032)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10,071,004</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6,198,075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3,782,886</w:t>
            </w:r>
          </w:p>
        </w:tc>
      </w:tr>
      <w:tr>
        <w:trPr>
          <w:trHeight w:val="19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Increase/(Decrease) in Net Assets from Operations per Common Share:</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0.17</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0.17</w:t>
            </w:r>
          </w:p>
        </w:tc>
      </w:tr>
      <w:tr>
        <w:trPr>
          <w:trHeight w:val="205"/>
        </w:trPr>
        <w:tc>
          <w:tcPr>
            <w:tcW w:w="528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Outstanding–Basic</w:t>
            </w: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21,343,746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color w:val="auto"/>
              </w:rPr>
              <w:t>22,000,571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22,181,003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22,181,003</w:t>
            </w:r>
          </w:p>
        </w:tc>
      </w:tr>
      <w:tr>
        <w:trPr>
          <w:trHeight w:val="28"/>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5"/>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Outstanding–Diluted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21,343,746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27,752,386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27,932,818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22,181,003</w:t>
            </w:r>
          </w:p>
        </w:tc>
      </w:tr>
      <w:tr>
        <w:trPr>
          <w:trHeight w:val="28"/>
        </w:trPr>
        <w:tc>
          <w:tcPr>
            <w:tcW w:w="5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-1938655</wp:posOffset>
            </wp:positionV>
            <wp:extent cx="33547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4705" cy="762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14—SUPPLEMENTAL FINANCIAL DATA</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Summarized Financial Information of Unconsolidated Subsidiaries</w:t>
      </w:r>
    </w:p>
    <w:p>
      <w:pPr>
        <w:spacing w:after="0" w:line="205"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December 31, 2019,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 xml:space="preserve">Balance Sheet Data as of: </w:t>
            </w:r>
            <w:r>
              <w:rPr>
                <w:rFonts w:ascii="Arial" w:cs="Arial" w:eastAsia="Arial" w:hAnsi="Arial"/>
                <w:sz w:val="7"/>
                <w:szCs w:val="7"/>
                <w:b w:val="1"/>
                <w:bCs w:val="1"/>
                <w:color w:val="auto"/>
              </w:rPr>
              <w:t>(1)(2)</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2"/>
                <w:szCs w:val="12"/>
                <w:b w:val="1"/>
                <w:bCs w:val="1"/>
                <w:color w:val="auto"/>
              </w:rPr>
              <w:t>December 31, 2019</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2"/>
                <w:szCs w:val="12"/>
                <w:b w:val="1"/>
                <w:bCs w:val="1"/>
                <w:color w:val="auto"/>
                <w:w w:val="94"/>
              </w:rPr>
              <w:t>December 31, 2018</w:t>
            </w:r>
          </w:p>
        </w:tc>
      </w:tr>
      <w:tr>
        <w:trPr>
          <w:trHeight w:val="197"/>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3"/>
            <w:shd w:val="clear" w:color="auto" w:fill="CCEEFF"/>
          </w:tcPr>
          <w:p>
            <w:pPr>
              <w:jc w:val="right"/>
              <w:ind w:right="774"/>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124,780</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9,343,138</w:t>
            </w:r>
          </w:p>
        </w:tc>
      </w:tr>
      <w:tr>
        <w:trPr>
          <w:trHeight w:val="205"/>
        </w:trPr>
        <w:tc>
          <w:tcPr>
            <w:tcW w:w="6880" w:type="dxa"/>
            <w:vAlign w:val="bottom"/>
            <w:gridSpan w:val="2"/>
          </w:tcPr>
          <w:p>
            <w:pPr>
              <w:ind w:left="2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w w:val="99"/>
              </w:rPr>
              <w:t>1,466,808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6,411,138</w:t>
            </w: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21,748,571</w:t>
            </w:r>
          </w:p>
        </w:tc>
      </w:tr>
      <w:tr>
        <w:trPr>
          <w:trHeight w:val="205"/>
        </w:trPr>
        <w:tc>
          <w:tcPr>
            <w:tcW w:w="6880" w:type="dxa"/>
            <w:vAlign w:val="bottom"/>
            <w:gridSpan w:val="2"/>
          </w:tcPr>
          <w:p>
            <w:pPr>
              <w:ind w:left="20"/>
              <w:spacing w:after="0"/>
              <w:rPr>
                <w:sz w:val="20"/>
                <w:szCs w:val="20"/>
                <w:color w:val="auto"/>
              </w:rPr>
            </w:pPr>
            <w:r>
              <w:rPr>
                <w:rFonts w:ascii="Arial" w:cs="Arial" w:eastAsia="Arial" w:hAnsi="Arial"/>
                <w:sz w:val="14"/>
                <w:szCs w:val="14"/>
                <w:color w:val="auto"/>
              </w:rPr>
              <w:t>Noncurrent liabilities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7,685,923</w:t>
            </w: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5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Income Statement Data for the Year Ended: </w:t>
            </w:r>
            <w:r>
              <w:rPr>
                <w:rFonts w:ascii="Arial" w:cs="Arial" w:eastAsia="Arial" w:hAnsi="Arial"/>
                <w:sz w:val="7"/>
                <w:szCs w:val="7"/>
                <w:b w:val="1"/>
                <w:bCs w:val="1"/>
                <w:color w:val="auto"/>
              </w:rPr>
              <w:t>(1)(2)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2"/>
                <w:szCs w:val="12"/>
                <w:b w:val="1"/>
                <w:bCs w:val="1"/>
                <w:color w:val="auto"/>
                <w:w w:val="98"/>
              </w:rPr>
              <w:t>December 31, 2019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b w:val="1"/>
                <w:bCs w:val="1"/>
                <w:color w:val="auto"/>
                <w:w w:val="94"/>
              </w:rPr>
              <w:t>December 31, 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2"/>
              </w:rPr>
              <w:t>December 31, 2017</w:t>
            </w:r>
          </w:p>
        </w:tc>
      </w:tr>
      <w:tr>
        <w:trPr>
          <w:trHeight w:val="197"/>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4"/>
                <w:szCs w:val="14"/>
                <w:color w:val="auto"/>
              </w:rPr>
              <w:t>16,658,581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21,143,859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23,668,762</w:t>
            </w:r>
          </w:p>
        </w:tc>
      </w:tr>
      <w:tr>
        <w:trPr>
          <w:trHeight w:val="205"/>
        </w:trPr>
        <w:tc>
          <w:tcPr>
            <w:tcW w:w="6880" w:type="dxa"/>
            <w:vAlign w:val="bottom"/>
            <w:gridSpan w:val="2"/>
          </w:tcPr>
          <w:p>
            <w:pPr>
              <w:ind w:left="2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7"/>
                <w:szCs w:val="17"/>
                <w:color w:val="auto"/>
              </w:rPr>
            </w:pPr>
          </w:p>
        </w:tc>
        <w:tc>
          <w:tcPr>
            <w:tcW w:w="1320" w:type="dxa"/>
            <w:vAlign w:val="bottom"/>
            <w:gridSpan w:val="3"/>
          </w:tcPr>
          <w:p>
            <w:pPr>
              <w:jc w:val="right"/>
              <w:ind w:right="54"/>
              <w:spacing w:after="0"/>
              <w:rPr>
                <w:sz w:val="20"/>
                <w:szCs w:val="20"/>
                <w:color w:val="auto"/>
              </w:rPr>
            </w:pPr>
            <w:r>
              <w:rPr>
                <w:rFonts w:ascii="Arial" w:cs="Arial" w:eastAsia="Arial" w:hAnsi="Arial"/>
                <w:sz w:val="14"/>
                <w:szCs w:val="14"/>
                <w:color w:val="auto"/>
              </w:rPr>
              <w:t>11,782,727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4"/>
                <w:szCs w:val="14"/>
                <w:color w:val="auto"/>
              </w:rPr>
              <w:t>15,323,694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19,176,169</w:t>
            </w: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(2,873,964)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(7,958,029)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(4,258,110)</w:t>
            </w:r>
          </w:p>
        </w:tc>
      </w:tr>
      <w:tr>
        <w:trPr>
          <w:trHeight w:val="205"/>
        </w:trPr>
        <w:tc>
          <w:tcPr>
            <w:tcW w:w="6880" w:type="dxa"/>
            <w:vAlign w:val="bottom"/>
            <w:gridSpan w:val="2"/>
          </w:tcPr>
          <w:p>
            <w:pPr>
              <w:ind w:left="20"/>
              <w:spacing w:after="0"/>
              <w:rPr>
                <w:sz w:val="20"/>
                <w:szCs w:val="20"/>
                <w:color w:val="auto"/>
              </w:rPr>
            </w:pPr>
            <w:r>
              <w:rPr>
                <w:rFonts w:ascii="Arial" w:cs="Arial" w:eastAsia="Arial" w:hAnsi="Arial"/>
                <w:sz w:val="14"/>
                <w:szCs w:val="14"/>
                <w:color w:val="auto"/>
              </w:rPr>
              <w:t>Total net loss including net loss attributable to non-controlling interest</w:t>
            </w:r>
          </w:p>
        </w:tc>
        <w:tc>
          <w:tcPr>
            <w:tcW w:w="160" w:type="dxa"/>
            <w:vAlign w:val="bottom"/>
          </w:tcPr>
          <w:p>
            <w:pPr>
              <w:spacing w:after="0"/>
              <w:rPr>
                <w:sz w:val="17"/>
                <w:szCs w:val="17"/>
                <w:color w:val="auto"/>
              </w:rPr>
            </w:pPr>
          </w:p>
        </w:tc>
        <w:tc>
          <w:tcPr>
            <w:tcW w:w="1320" w:type="dxa"/>
            <w:vAlign w:val="bottom"/>
            <w:gridSpan w:val="3"/>
          </w:tcPr>
          <w:p>
            <w:pPr>
              <w:jc w:val="right"/>
              <w:ind w:right="14"/>
              <w:spacing w:after="0"/>
              <w:rPr>
                <w:sz w:val="20"/>
                <w:szCs w:val="20"/>
                <w:color w:val="auto"/>
              </w:rPr>
            </w:pPr>
            <w:r>
              <w:rPr>
                <w:rFonts w:ascii="Arial" w:cs="Arial" w:eastAsia="Arial" w:hAnsi="Arial"/>
                <w:sz w:val="14"/>
                <w:szCs w:val="14"/>
                <w:color w:val="auto"/>
              </w:rPr>
              <w:t>(2,873,964)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(7,958,029)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(4,258,110)</w:t>
            </w:r>
          </w:p>
        </w:tc>
      </w:tr>
      <w:tr>
        <w:trPr>
          <w:trHeight w:val="28"/>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5"/>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8"/>
        </w:trPr>
        <w:tc>
          <w:tcPr>
            <w:tcW w:w="6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260"/>
          </w:cols>
          <w:pgMar w:left="320" w:top="124" w:right="319" w:bottom="1440" w:gutter="0" w:footer="0" w:header="0"/>
        </w:sectPr>
      </w:pPr>
    </w:p>
    <w:bookmarkStart w:id="135" w:name="page136"/>
    <w:bookmarkEnd w:id="13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2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SUTTER ROCK CAPITAL CORP. AND SUBSIDIARIES</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December 31, 2019</w:t>
      </w:r>
    </w:p>
    <w:p>
      <w:pPr>
        <w:spacing w:after="0" w:line="373"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__________________</w:t>
      </w:r>
    </w:p>
    <w:p>
      <w:pPr>
        <w:spacing w:after="0" w:line="18" w:lineRule="exact"/>
        <w:rPr>
          <w:sz w:val="20"/>
          <w:szCs w:val="20"/>
          <w:color w:val="auto"/>
        </w:rPr>
      </w:pPr>
    </w:p>
    <w:p>
      <w:pPr>
        <w:jc w:val="both"/>
        <w:ind w:left="427" w:hanging="427"/>
        <w:spacing w:after="0" w:line="260" w:lineRule="auto"/>
        <w:tabs>
          <w:tab w:leader="none" w:pos="427" w:val="left"/>
        </w:tabs>
        <w:numPr>
          <w:ilvl w:val="0"/>
          <w:numId w:val="74"/>
        </w:numPr>
        <w:rPr>
          <w:rFonts w:ascii="Arial" w:cs="Arial" w:eastAsia="Arial" w:hAnsi="Arial"/>
          <w:sz w:val="13"/>
          <w:szCs w:val="13"/>
          <w:color w:val="auto"/>
        </w:rPr>
      </w:pPr>
      <w:r>
        <w:rPr>
          <w:rFonts w:ascii="Arial" w:cs="Arial" w:eastAsia="Arial" w:hAnsi="Arial"/>
          <w:sz w:val="13"/>
          <w:szCs w:val="13"/>
          <w:color w:val="auto"/>
        </w:rPr>
        <w:t>On August 23, 2019, Sutter Rock Capital Corp. amended the structure of its investment in NestGSV, Inc. (d/b/a GSV Labs, Inc.). Under the amended structure, Sutter Rock Capital Corp.’s fully diluted ownership of voting securities decreased from 50.0% to 8.5%. As such, Sutter Rock Capital Corp.'s investments in NestGSV, Inc. (d/b/a GSV Labs, Inc.) have been recategorized from controlled investments to non-controlled/affiliated investments and NestGSV, Inc. (d/b/a GSV Labs, Inc.) is no longer considered a significant subsidiary.</w:t>
      </w:r>
    </w:p>
    <w:p>
      <w:pPr>
        <w:spacing w:after="0" w:line="1" w:lineRule="exact"/>
        <w:rPr>
          <w:rFonts w:ascii="Arial" w:cs="Arial" w:eastAsia="Arial" w:hAnsi="Arial"/>
          <w:sz w:val="13"/>
          <w:szCs w:val="13"/>
          <w:color w:val="auto"/>
        </w:rPr>
      </w:pPr>
    </w:p>
    <w:p>
      <w:pPr>
        <w:jc w:val="both"/>
        <w:ind w:left="427" w:hanging="427"/>
        <w:spacing w:after="0" w:line="246" w:lineRule="auto"/>
        <w:tabs>
          <w:tab w:leader="none" w:pos="427"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 and StormWind, LLC is no longer considered a significant subsidiary.</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267"/>
          </w:cols>
          <w:pgMar w:left="313" w:top="124" w:right="319" w:bottom="1440" w:gutter="0" w:footer="0" w:header="0"/>
        </w:sectPr>
      </w:pPr>
    </w:p>
    <w:bookmarkStart w:id="136" w:name="page137"/>
    <w:bookmarkEnd w:id="136"/>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Evaluation of Disclosure Controls and Procedures</w:t>
      </w:r>
    </w:p>
    <w:p>
      <w:pPr>
        <w:spacing w:after="0" w:line="205"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4"/>
          <w:szCs w:val="14"/>
          <w:color w:val="auto"/>
        </w:rPr>
        <w:t>As of December 31, 2019,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Management’s Report on Internal Control Over Financial Reporting</w:t>
      </w:r>
    </w:p>
    <w:p>
      <w:pPr>
        <w:spacing w:after="0" w:line="205" w:lineRule="exact"/>
        <w:rPr>
          <w:sz w:val="20"/>
          <w:szCs w:val="20"/>
          <w:color w:val="auto"/>
        </w:rPr>
      </w:pPr>
    </w:p>
    <w:p>
      <w:pPr>
        <w:jc w:val="both"/>
        <w:ind w:firstLine="302"/>
        <w:spacing w:after="0" w:line="262"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2019.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63"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39"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5"/>
          <w:szCs w:val="15"/>
          <w:color w:val="auto"/>
        </w:rPr>
        <w:t xml:space="preserve">Management performed an assessment of the effectiveness of our internal control over financial reporting as of December 31, 2019 based upon criteria in Internal Control—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(“COSO”). Based on this assessment, management determined</w:t>
      </w:r>
      <w:r>
        <w:rPr>
          <w:rFonts w:ascii="Arial" w:cs="Arial" w:eastAsia="Arial" w:hAnsi="Arial"/>
          <w:sz w:val="15"/>
          <w:szCs w:val="15"/>
          <w:i w:val="1"/>
          <w:iCs w:val="1"/>
          <w:color w:val="auto"/>
        </w:rPr>
        <w:t xml:space="preserve"> </w:t>
      </w:r>
      <w:r>
        <w:rPr>
          <w:rFonts w:ascii="Arial" w:cs="Arial" w:eastAsia="Arial" w:hAnsi="Arial"/>
          <w:sz w:val="15"/>
          <w:szCs w:val="15"/>
          <w:color w:val="auto"/>
        </w:rPr>
        <w:t>that our internal control over financial reporting was effective as of December 31, 2019.</w:t>
      </w:r>
    </w:p>
    <w:p>
      <w:pPr>
        <w:spacing w:after="0" w:line="152"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 effectiveness of our internal control over financial reporting as of December 31, 2019 has been audited by Marcum LLP, an independent registered public accounting firm, as stated in their report which appears herein.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Report of the Independent Registered Public Accounting Firm</w:t>
      </w:r>
    </w:p>
    <w:p>
      <w:pPr>
        <w:spacing w:after="0" w:line="205" w:lineRule="exact"/>
        <w:rPr>
          <w:sz w:val="20"/>
          <w:szCs w:val="20"/>
          <w:color w:val="auto"/>
        </w:rPr>
      </w:pPr>
    </w:p>
    <w:p>
      <w:pPr>
        <w:jc w:val="both"/>
        <w:ind w:firstLine="302"/>
        <w:spacing w:after="0" w:line="291" w:lineRule="auto"/>
        <w:rPr>
          <w:rFonts w:ascii="Arial" w:cs="Arial" w:eastAsia="Arial" w:hAnsi="Arial"/>
          <w:sz w:val="15"/>
          <w:szCs w:val="15"/>
          <w:color w:val="0000EE"/>
        </w:rPr>
      </w:pPr>
      <w:r>
        <w:rPr>
          <w:rFonts w:ascii="Arial" w:cs="Arial" w:eastAsia="Arial" w:hAnsi="Arial"/>
          <w:sz w:val="15"/>
          <w:szCs w:val="15"/>
          <w:color w:val="auto"/>
        </w:rPr>
        <w:t xml:space="preserve">Marcum LLP, our independent registered public accounting firm, has issued a report on the effectiveness of our internal control over financial reporting, which appears on page </w:t>
      </w:r>
      <w:hyperlink w:anchor="page76">
        <w:r>
          <w:rPr>
            <w:rFonts w:ascii="Arial" w:cs="Arial" w:eastAsia="Arial" w:hAnsi="Arial"/>
            <w:sz w:val="15"/>
            <w:szCs w:val="15"/>
            <w:u w:val="single" w:color="auto"/>
            <w:color w:val="0000EE"/>
          </w:rPr>
          <w:t>72</w:t>
        </w:r>
        <w:r>
          <w:rPr>
            <w:rFonts w:ascii="Arial" w:cs="Arial" w:eastAsia="Arial" w:hAnsi="Arial"/>
            <w:sz w:val="15"/>
            <w:szCs w:val="15"/>
            <w:color w:val="0000EE"/>
          </w:rPr>
          <w:t xml:space="preserve"> </w:t>
        </w:r>
      </w:hyperlink>
      <w:r>
        <w:rPr>
          <w:rFonts w:ascii="Arial" w:cs="Arial" w:eastAsia="Arial" w:hAnsi="Arial"/>
          <w:sz w:val="15"/>
          <w:szCs w:val="15"/>
          <w:color w:val="000000"/>
        </w:rPr>
        <w:t>of</w:t>
      </w:r>
      <w:r>
        <w:rPr>
          <w:rFonts w:ascii="Arial" w:cs="Arial" w:eastAsia="Arial" w:hAnsi="Arial"/>
          <w:sz w:val="15"/>
          <w:szCs w:val="15"/>
          <w:color w:val="0000EE"/>
        </w:rPr>
        <w:t xml:space="preserve"> </w:t>
      </w:r>
      <w:r>
        <w:rPr>
          <w:rFonts w:ascii="Arial" w:cs="Arial" w:eastAsia="Arial" w:hAnsi="Arial"/>
          <w:sz w:val="15"/>
          <w:szCs w:val="15"/>
          <w:color w:val="000000"/>
        </w:rPr>
        <w:t>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 Changes in Internal Control Over Financial Reporting</w:t>
      </w:r>
    </w:p>
    <w:p>
      <w:pPr>
        <w:spacing w:after="0" w:line="205"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5"/>
          <w:szCs w:val="15"/>
          <w:color w:val="auto"/>
        </w:rPr>
        <w:t>There have been no changes in our internal control over financial reporting (as defined in Rules 13a-15(f) and 15d-15(f) under the Exchange Act) that occurred during the fiscal quarter ended December 31, 2019 that have materially affected, or are reasonably likely to materially affect, our internal control over financial reporting.</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260"/>
          </w:cols>
          <w:pgMar w:left="320" w:top="124" w:right="319" w:bottom="1440" w:gutter="0" w:footer="0" w:header="0"/>
        </w:sectPr>
      </w:pPr>
    </w:p>
    <w:bookmarkStart w:id="137" w:name="page138"/>
    <w:bookmarkEnd w:id="137"/>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Appointment of Chief Compliance Officer</w:t>
      </w:r>
    </w:p>
    <w:p>
      <w:pPr>
        <w:spacing w:after="0" w:line="205" w:lineRule="exact"/>
        <w:rPr>
          <w:sz w:val="20"/>
          <w:szCs w:val="20"/>
          <w:color w:val="auto"/>
        </w:rPr>
      </w:pPr>
    </w:p>
    <w:p>
      <w:pPr>
        <w:jc w:val="both"/>
        <w:ind w:firstLine="302"/>
        <w:spacing w:after="0" w:line="328" w:lineRule="auto"/>
        <w:rPr>
          <w:sz w:val="20"/>
          <w:szCs w:val="20"/>
          <w:color w:val="auto"/>
        </w:rPr>
      </w:pPr>
      <w:r>
        <w:rPr>
          <w:rFonts w:ascii="Arial" w:cs="Arial" w:eastAsia="Arial" w:hAnsi="Arial"/>
          <w:sz w:val="14"/>
          <w:szCs w:val="14"/>
          <w:color w:val="auto"/>
        </w:rPr>
        <w:t>On March 9, 2020, our Board of Directors appointed Allison Green, age 34, our Chief Financial Officer, Treasurer and Secretary, to serve as our Chief Compliance Officer effective March 15, 2020. Carl Rizzo served as our Chief Compliance Officer pursuant to an agreement between us and Alaric Compliance Services LLC until March 15, 2020.</w:t>
      </w:r>
    </w:p>
    <w:p>
      <w:pPr>
        <w:spacing w:after="0" w:line="117" w:lineRule="exact"/>
        <w:rPr>
          <w:sz w:val="20"/>
          <w:szCs w:val="20"/>
          <w:color w:val="auto"/>
        </w:rPr>
      </w:pPr>
    </w:p>
    <w:p>
      <w:pPr>
        <w:jc w:val="both"/>
        <w:ind w:firstLine="302"/>
        <w:spacing w:after="0" w:line="284" w:lineRule="auto"/>
        <w:rPr>
          <w:sz w:val="20"/>
          <w:szCs w:val="20"/>
          <w:color w:val="auto"/>
        </w:rPr>
      </w:pPr>
      <w:r>
        <w:rPr>
          <w:rFonts w:ascii="Arial" w:cs="Arial" w:eastAsia="Arial" w:hAnsi="Arial"/>
          <w:sz w:val="14"/>
          <w:szCs w:val="14"/>
          <w:color w:val="auto"/>
        </w:rPr>
        <w:t>Ms. Green has served as our Chief Financial Officer since April 2019, as our Treasurer and Corporate Secretary since June 2018 and as our Controller from July 2017 to April 2019. Ms. Green served as our Senior Vice President of Finance from May 2018 to April 2019 and as the Vice President of GSV Asset Management, LLC from July 2017 to March</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2019. Prior to joining Sutter Rock Capital Corp. and GSV Asset Management, LLC, the Company’s former investment adviser, she was the Controller and an accounting and financial consultant at Rise Companies Corp., the parent company of Fundrise, a Washington DC-based crowdfunded real estate investment platform, from April 2016 to April 2017. Prior to Rise Companies Corp., Ms. Green was the Controller at the Girl Scout Council of the Nation’s Capital and a ProInspire Fellow at the Council from September 2013 to April 2016. Ms. Green was a member of the Fund Management and Coinvestment teams at The Carlyle Group, focusing on Europe and US Real Estate and Energy Funds from June 2009 to August 2013 and began her career at Deloitte &amp; Touche LLP in Los Angeles as an audit associate focused on financial services clients. Ms. Green is a Certified Public Accountant (CPA) (currently inactive) and graduated with degrees in Accounting and Finance from the University of Southern California. There are no family relationships between Ms. Green and any of the directors or executive officers of the Company, and there are no transactions in which Ms. Green has an interest requiring disclosure under Item 404(a) of Regulation S-K. There is no arrangement or understanding between Ms. Green and any other person pursuant to which Ms. Green was appointed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260"/>
          </w:cols>
          <w:pgMar w:left="320" w:top="124" w:right="319" w:bottom="1440" w:gutter="0" w:footer="0" w:header="0"/>
        </w:sectPr>
      </w:pPr>
    </w:p>
    <w:bookmarkStart w:id="138" w:name="page139"/>
    <w:bookmarkEnd w:id="13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INFORMATION</w:t>
      </w:r>
    </w:p>
    <w:p>
      <w:pPr>
        <w:spacing w:after="0" w:line="29"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89" w:lineRule="exact"/>
        <w:rPr>
          <w:sz w:val="20"/>
          <w:szCs w:val="20"/>
          <w:color w:val="auto"/>
        </w:rPr>
      </w:pPr>
    </w:p>
    <w:p>
      <w:pPr>
        <w:jc w:val="both"/>
        <w:ind w:right="20" w:firstLine="302"/>
        <w:spacing w:after="0" w:line="291" w:lineRule="auto"/>
        <w:rPr>
          <w:sz w:val="20"/>
          <w:szCs w:val="20"/>
          <w:color w:val="auto"/>
        </w:rPr>
      </w:pPr>
      <w:r>
        <w:rPr>
          <w:rFonts w:ascii="Arial" w:cs="Arial" w:eastAsia="Arial" w:hAnsi="Arial"/>
          <w:sz w:val="15"/>
          <w:szCs w:val="15"/>
          <w:color w:val="auto"/>
        </w:rPr>
        <w:t>The information required by Item 10 will be contained in the 2020 Proxy Statement, to be filed with the SEC within 120 days after December 31, 2019, and is incorporated herein by reference. There have been no material changes to the procedures by which stockholders may recommend nominees to our Board of Directors.</w:t>
      </w:r>
    </w:p>
    <w:p>
      <w:pPr>
        <w:spacing w:after="0" w:line="139" w:lineRule="exact"/>
        <w:rPr>
          <w:sz w:val="20"/>
          <w:szCs w:val="20"/>
          <w:color w:val="auto"/>
        </w:rPr>
      </w:pPr>
    </w:p>
    <w:p>
      <w:pPr>
        <w:jc w:val="both"/>
        <w:ind w:firstLine="302"/>
        <w:spacing w:after="0" w:line="266" w:lineRule="auto"/>
        <w:rPr>
          <w:sz w:val="20"/>
          <w:szCs w:val="20"/>
          <w:color w:val="auto"/>
        </w:rPr>
      </w:pPr>
      <w:r>
        <w:rPr>
          <w:rFonts w:ascii="Arial" w:cs="Arial" w:eastAsia="Arial" w:hAnsi="Arial"/>
          <w:sz w:val="15"/>
          <w:szCs w:val="15"/>
          <w:color w:val="auto"/>
        </w:rPr>
        <w:t xml:space="preserve">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w:t>
      </w:r>
      <w:r>
        <w:rPr>
          <w:rFonts w:ascii="Arial" w:cs="Arial" w:eastAsia="Arial" w:hAnsi="Arial"/>
          <w:sz w:val="15"/>
          <w:szCs w:val="15"/>
          <w:i w:val="1"/>
          <w:iCs w:val="1"/>
          <w:color w:val="auto"/>
        </w:rPr>
        <w:t>http://investors.sutterrock.com/committee-details/code-business-conduct-and-ethics.</w:t>
      </w:r>
      <w:r>
        <w:rPr>
          <w:rFonts w:ascii="Arial" w:cs="Arial" w:eastAsia="Arial" w:hAnsi="Arial"/>
          <w:sz w:val="15"/>
          <w:szCs w:val="15"/>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260"/>
          </w:cols>
          <w:pgMar w:left="320" w:top="124" w:right="319" w:bottom="1440" w:gutter="0" w:footer="0" w:header="0"/>
        </w:sectPr>
      </w:pPr>
    </w:p>
    <w:bookmarkStart w:id="139" w:name="page140"/>
    <w:bookmarkEnd w:id="139"/>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326"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205" w:lineRule="exact"/>
        <w:rPr>
          <w:sz w:val="20"/>
          <w:szCs w:val="20"/>
          <w:color w:val="auto"/>
        </w:rPr>
      </w:pPr>
    </w:p>
    <w:p>
      <w:pPr>
        <w:ind w:firstLine="302"/>
        <w:spacing w:after="0" w:line="291" w:lineRule="auto"/>
        <w:rPr>
          <w:sz w:val="20"/>
          <w:szCs w:val="20"/>
          <w:color w:val="auto"/>
        </w:rPr>
      </w:pPr>
      <w:r>
        <w:rPr>
          <w:rFonts w:ascii="Arial" w:cs="Arial" w:eastAsia="Arial" w:hAnsi="Arial"/>
          <w:sz w:val="15"/>
          <w:szCs w:val="15"/>
          <w:color w:val="auto"/>
        </w:rPr>
        <w:t>The information required by Item 11 will be contained in the 2020 Proxy Statement, to be filed with the SEC within 120 days after December 31, 2019, and is incorporated herein by reference.</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05"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The information required by Item 12 will be contained in the 2020 Proxy Statement, to be filed with the SEC within 120 days after December 31, 2019, and is incorporated herein by reference.</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05"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The information required by Item 13 will be contained in the 2020 Proxy Statement, to be filed with the SEC within 120 days after December 31, 2019, and is incorporated herein by reference.</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205" w:lineRule="exact"/>
        <w:rPr>
          <w:sz w:val="20"/>
          <w:szCs w:val="20"/>
          <w:color w:val="auto"/>
        </w:rPr>
      </w:pPr>
    </w:p>
    <w:p>
      <w:pPr>
        <w:ind w:right="20" w:firstLine="302"/>
        <w:spacing w:after="0" w:line="291" w:lineRule="auto"/>
        <w:rPr>
          <w:sz w:val="20"/>
          <w:szCs w:val="20"/>
          <w:color w:val="auto"/>
        </w:rPr>
      </w:pPr>
      <w:r>
        <w:rPr>
          <w:rFonts w:ascii="Arial" w:cs="Arial" w:eastAsia="Arial" w:hAnsi="Arial"/>
          <w:sz w:val="15"/>
          <w:szCs w:val="15"/>
          <w:color w:val="auto"/>
        </w:rPr>
        <w:t>The information required by Item 14 will be contained in the 2020 Proxy Statement, to be filed with the SEC within 120 days after December 31, 2019, and is incorporated herein by reference.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260"/>
          </w:cols>
          <w:pgMar w:left="320" w:top="124" w:right="319" w:bottom="1440" w:gutter="0" w:footer="0" w:header="0"/>
        </w:sectPr>
      </w:pPr>
    </w:p>
    <w:bookmarkStart w:id="140" w:name="page141"/>
    <w:bookmarkEnd w:id="140"/>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300" w:type="dxa"/>
            <w:vAlign w:val="bottom"/>
            <w:gridSpan w:val="5"/>
          </w:tcPr>
          <w:p>
            <w:pPr>
              <w:ind w:left="40"/>
              <w:spacing w:after="0"/>
              <w:rPr>
                <w:sz w:val="20"/>
                <w:szCs w:val="20"/>
                <w:color w:val="auto"/>
              </w:rPr>
            </w:pPr>
            <w:r>
              <w:rPr>
                <w:rFonts w:ascii="Arial" w:cs="Arial" w:eastAsia="Arial" w:hAnsi="Arial"/>
                <w:sz w:val="15"/>
                <w:szCs w:val="15"/>
                <w:b w:val="1"/>
                <w:bCs w:val="1"/>
                <w:color w:val="auto"/>
              </w:rPr>
              <w:t>PART IV</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680" w:type="dxa"/>
            <w:vAlign w:val="bottom"/>
            <w:gridSpan w:val="2"/>
          </w:tcPr>
          <w:p>
            <w:pPr>
              <w:spacing w:after="0"/>
              <w:rPr>
                <w:sz w:val="20"/>
                <w:szCs w:val="20"/>
                <w:color w:val="auto"/>
              </w:rPr>
            </w:pPr>
            <w:r>
              <w:rPr>
                <w:rFonts w:ascii="Arial" w:cs="Arial" w:eastAsia="Arial" w:hAnsi="Arial"/>
                <w:sz w:val="15"/>
                <w:szCs w:val="15"/>
                <w:b w:val="1"/>
                <w:bCs w:val="1"/>
                <w:color w:val="auto"/>
              </w:rPr>
              <w:t>Item 15.</w:t>
            </w:r>
          </w:p>
        </w:tc>
        <w:tc>
          <w:tcPr>
            <w:tcW w:w="9900" w:type="dxa"/>
            <w:vAlign w:val="bottom"/>
            <w:gridSpan w:val="9"/>
          </w:tcPr>
          <w:p>
            <w:pPr>
              <w:ind w:left="140"/>
              <w:spacing w:after="0"/>
              <w:rPr>
                <w:sz w:val="20"/>
                <w:szCs w:val="20"/>
                <w:color w:val="auto"/>
              </w:rPr>
            </w:pPr>
            <w:r>
              <w:rPr>
                <w:rFonts w:ascii="Arial" w:cs="Arial" w:eastAsia="Arial" w:hAnsi="Arial"/>
                <w:sz w:val="15"/>
                <w:szCs w:val="15"/>
                <w:b w:val="1"/>
                <w:bCs w:val="1"/>
                <w:color w:val="auto"/>
              </w:rPr>
              <w:t>Exhibits and Financial Statement Schedules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10560" w:type="dxa"/>
            <w:vAlign w:val="bottom"/>
            <w:gridSpan w:val="10"/>
          </w:tcPr>
          <w:p>
            <w:pPr>
              <w:ind w:left="260"/>
              <w:spacing w:after="0"/>
              <w:rPr>
                <w:sz w:val="20"/>
                <w:szCs w:val="20"/>
                <w:color w:val="auto"/>
              </w:rPr>
            </w:pPr>
            <w:r>
              <w:rPr>
                <w:rFonts w:ascii="Arial" w:cs="Arial" w:eastAsia="Arial" w:hAnsi="Arial"/>
                <w:sz w:val="15"/>
                <w:szCs w:val="15"/>
                <w:color w:val="auto"/>
              </w:rPr>
              <w:t>The following documents are filed or incorporated by reference as part of this annual report on Form 10-K:</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10560" w:type="dxa"/>
            <w:vAlign w:val="bottom"/>
            <w:gridSpan w:val="10"/>
          </w:tcPr>
          <w:p>
            <w:pPr>
              <w:ind w:left="260"/>
              <w:spacing w:after="0"/>
              <w:rPr>
                <w:sz w:val="20"/>
                <w:szCs w:val="20"/>
                <w:color w:val="auto"/>
              </w:rPr>
            </w:pPr>
            <w:r>
              <w:rPr>
                <w:rFonts w:ascii="Arial" w:cs="Arial" w:eastAsia="Arial" w:hAnsi="Arial"/>
                <w:sz w:val="15"/>
                <w:szCs w:val="15"/>
                <w:color w:val="auto"/>
              </w:rPr>
              <w:t>(1) Financial Statements—Refer to Part II, Item 8 of this Form 10-K, which are incorporated herein by reference.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3"/>
              </w:rPr>
              <w:t>Page</w:t>
            </w:r>
          </w:p>
        </w:tc>
      </w:tr>
      <w:tr>
        <w:trPr>
          <w:trHeight w:val="171"/>
        </w:trPr>
        <w:tc>
          <w:tcPr>
            <w:tcW w:w="20" w:type="dxa"/>
            <w:vAlign w:val="bottom"/>
            <w:shd w:val="clear" w:color="auto" w:fill="CCEEFF"/>
          </w:tcPr>
          <w:p>
            <w:pPr>
              <w:spacing w:after="0"/>
              <w:rPr>
                <w:sz w:val="14"/>
                <w:szCs w:val="14"/>
                <w:color w:val="auto"/>
              </w:rPr>
            </w:pPr>
          </w:p>
        </w:tc>
        <w:tc>
          <w:tcPr>
            <w:tcW w:w="10560" w:type="dxa"/>
            <w:vAlign w:val="bottom"/>
            <w:gridSpan w:val="10"/>
            <w:shd w:val="clear" w:color="auto" w:fill="CCEEFF"/>
          </w:tcPr>
          <w:p>
            <w:pPr>
              <w:spacing w:after="0" w:line="171" w:lineRule="exact"/>
              <w:rPr>
                <w:rFonts w:ascii="Arial" w:cs="Arial" w:eastAsia="Arial" w:hAnsi="Arial"/>
                <w:sz w:val="15"/>
                <w:szCs w:val="15"/>
                <w:color w:val="0000EE"/>
              </w:rPr>
            </w:pPr>
            <w:hyperlink w:anchor="page75">
              <w:r>
                <w:rPr>
                  <w:rFonts w:ascii="Arial" w:cs="Arial" w:eastAsia="Arial" w:hAnsi="Arial"/>
                  <w:sz w:val="15"/>
                  <w:szCs w:val="15"/>
                  <w:color w:val="0000EE"/>
                </w:rPr>
                <w:t>Report of Independent Registered Public Accounting Firm</w:t>
              </w:r>
            </w:hyperlink>
          </w:p>
        </w:tc>
        <w:tc>
          <w:tcPr>
            <w:tcW w:w="680" w:type="dxa"/>
            <w:vAlign w:val="bottom"/>
            <w:gridSpan w:val="3"/>
            <w:shd w:val="clear" w:color="auto" w:fill="CCEEFF"/>
          </w:tcPr>
          <w:p>
            <w:pPr>
              <w:jc w:val="center"/>
              <w:spacing w:after="0" w:line="171" w:lineRule="exact"/>
              <w:rPr>
                <w:rFonts w:ascii="Arial" w:cs="Arial" w:eastAsia="Arial" w:hAnsi="Arial"/>
                <w:sz w:val="15"/>
                <w:szCs w:val="15"/>
                <w:color w:val="0000EE"/>
                <w:w w:val="95"/>
              </w:rPr>
            </w:pPr>
            <w:hyperlink w:anchor="page75">
              <w:r>
                <w:rPr>
                  <w:rFonts w:ascii="Arial" w:cs="Arial" w:eastAsia="Arial" w:hAnsi="Arial"/>
                  <w:sz w:val="15"/>
                  <w:szCs w:val="15"/>
                  <w:color w:val="0000EE"/>
                  <w:w w:val="95"/>
                </w:rPr>
                <w:t>73</w:t>
              </w:r>
            </w:hyperlink>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04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9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560" w:type="dxa"/>
            <w:vAlign w:val="bottom"/>
            <w:gridSpan w:val="10"/>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Report of Independent Registered Public Accounting Firm on Internal Control over Financial Reporting</w:t>
              </w:r>
            </w:hyperlink>
          </w:p>
        </w:tc>
        <w:tc>
          <w:tcPr>
            <w:tcW w:w="680" w:type="dxa"/>
            <w:vAlign w:val="bottom"/>
            <w:gridSpan w:val="3"/>
          </w:tcPr>
          <w:p>
            <w:pPr>
              <w:jc w:val="center"/>
              <w:spacing w:after="0"/>
              <w:rPr>
                <w:rFonts w:ascii="Arial" w:cs="Arial" w:eastAsia="Arial" w:hAnsi="Arial"/>
                <w:sz w:val="15"/>
                <w:szCs w:val="15"/>
                <w:color w:val="0000EE"/>
                <w:w w:val="95"/>
              </w:rPr>
            </w:pPr>
            <w:hyperlink w:anchor="page76">
              <w:r>
                <w:rPr>
                  <w:rFonts w:ascii="Arial" w:cs="Arial" w:eastAsia="Arial" w:hAnsi="Arial"/>
                  <w:sz w:val="15"/>
                  <w:szCs w:val="15"/>
                  <w:color w:val="0000EE"/>
                  <w:w w:val="95"/>
                </w:rPr>
                <w:t>74</w:t>
              </w:r>
            </w:hyperlink>
          </w:p>
        </w:tc>
      </w:tr>
      <w:tr>
        <w:trPr>
          <w:trHeight w:val="38"/>
        </w:trPr>
        <w:tc>
          <w:tcPr>
            <w:tcW w:w="20" w:type="dxa"/>
            <w:vAlign w:val="bottom"/>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04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30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r>
      <w:tr>
        <w:trPr>
          <w:trHeight w:val="174"/>
        </w:trPr>
        <w:tc>
          <w:tcPr>
            <w:tcW w:w="20" w:type="dxa"/>
            <w:vAlign w:val="bottom"/>
            <w:shd w:val="clear" w:color="auto" w:fill="CCEEFF"/>
          </w:tcPr>
          <w:p>
            <w:pPr>
              <w:spacing w:after="0"/>
              <w:rPr>
                <w:sz w:val="15"/>
                <w:szCs w:val="15"/>
                <w:color w:val="auto"/>
              </w:rPr>
            </w:pPr>
          </w:p>
        </w:tc>
        <w:tc>
          <w:tcPr>
            <w:tcW w:w="10560" w:type="dxa"/>
            <w:vAlign w:val="bottom"/>
            <w:gridSpan w:val="10"/>
            <w:shd w:val="clear" w:color="auto" w:fill="CCEEFF"/>
          </w:tcPr>
          <w:p>
            <w:pPr>
              <w:spacing w:after="0"/>
              <w:rPr>
                <w:rFonts w:ascii="Arial" w:cs="Arial" w:eastAsia="Arial" w:hAnsi="Arial"/>
                <w:sz w:val="15"/>
                <w:szCs w:val="15"/>
                <w:color w:val="0000EE"/>
              </w:rPr>
            </w:pPr>
            <w:hyperlink w:anchor="page78">
              <w:r>
                <w:rPr>
                  <w:rFonts w:ascii="Arial" w:cs="Arial" w:eastAsia="Arial" w:hAnsi="Arial"/>
                  <w:sz w:val="15"/>
                  <w:szCs w:val="15"/>
                  <w:color w:val="0000EE"/>
                </w:rPr>
                <w:t>Consolidated Statements of Assets and Liabilities as of December 31, 2019 and 2018</w:t>
              </w:r>
            </w:hyperlink>
          </w:p>
        </w:tc>
        <w:tc>
          <w:tcPr>
            <w:tcW w:w="680" w:type="dxa"/>
            <w:vAlign w:val="bottom"/>
            <w:gridSpan w:val="3"/>
            <w:shd w:val="clear" w:color="auto" w:fill="CCEEFF"/>
          </w:tcPr>
          <w:p>
            <w:pPr>
              <w:jc w:val="center"/>
              <w:spacing w:after="0"/>
              <w:rPr>
                <w:rFonts w:ascii="Arial" w:cs="Arial" w:eastAsia="Arial" w:hAnsi="Arial"/>
                <w:sz w:val="15"/>
                <w:szCs w:val="15"/>
                <w:color w:val="0000EE"/>
                <w:w w:val="95"/>
              </w:rPr>
            </w:pPr>
            <w:hyperlink w:anchor="page78">
              <w:r>
                <w:rPr>
                  <w:rFonts w:ascii="Arial" w:cs="Arial" w:eastAsia="Arial" w:hAnsi="Arial"/>
                  <w:sz w:val="15"/>
                  <w:szCs w:val="15"/>
                  <w:color w:val="0000EE"/>
                  <w:w w:val="95"/>
                </w:rPr>
                <w:t>76</w:t>
              </w:r>
            </w:hyperlink>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04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300" w:type="dxa"/>
            <w:vAlign w:val="bottom"/>
            <w:tcBorders>
              <w:top w:val="single" w:sz="8" w:color="0000EE"/>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9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560" w:type="dxa"/>
            <w:vAlign w:val="bottom"/>
            <w:gridSpan w:val="10"/>
          </w:tcPr>
          <w:p>
            <w:pPr>
              <w:spacing w:after="0"/>
              <w:rPr>
                <w:rFonts w:ascii="Arial" w:cs="Arial" w:eastAsia="Arial" w:hAnsi="Arial"/>
                <w:sz w:val="15"/>
                <w:szCs w:val="15"/>
                <w:color w:val="0000EE"/>
              </w:rPr>
            </w:pPr>
            <w:hyperlink w:anchor="page79">
              <w:r>
                <w:rPr>
                  <w:rFonts w:ascii="Arial" w:cs="Arial" w:eastAsia="Arial" w:hAnsi="Arial"/>
                  <w:sz w:val="15"/>
                  <w:szCs w:val="15"/>
                  <w:color w:val="0000EE"/>
                </w:rPr>
                <w:t>Consolidated Statements of Operations for the years ended December 31, 2019, 2018 and 2017</w:t>
              </w:r>
            </w:hyperlink>
          </w:p>
        </w:tc>
        <w:tc>
          <w:tcPr>
            <w:tcW w:w="680" w:type="dxa"/>
            <w:vAlign w:val="bottom"/>
            <w:gridSpan w:val="3"/>
          </w:tcPr>
          <w:p>
            <w:pPr>
              <w:jc w:val="center"/>
              <w:spacing w:after="0"/>
              <w:rPr>
                <w:rFonts w:ascii="Arial" w:cs="Arial" w:eastAsia="Arial" w:hAnsi="Arial"/>
                <w:sz w:val="15"/>
                <w:szCs w:val="15"/>
                <w:color w:val="0000EE"/>
                <w:w w:val="95"/>
              </w:rPr>
            </w:pPr>
            <w:hyperlink w:anchor="page79">
              <w:r>
                <w:rPr>
                  <w:rFonts w:ascii="Arial" w:cs="Arial" w:eastAsia="Arial" w:hAnsi="Arial"/>
                  <w:sz w:val="15"/>
                  <w:szCs w:val="15"/>
                  <w:color w:val="0000EE"/>
                  <w:w w:val="95"/>
                </w:rPr>
                <w:t>77</w:t>
              </w:r>
            </w:hyperlink>
          </w:p>
        </w:tc>
      </w:tr>
      <w:tr>
        <w:trPr>
          <w:trHeight w:val="38"/>
        </w:trPr>
        <w:tc>
          <w:tcPr>
            <w:tcW w:w="20" w:type="dxa"/>
            <w:vAlign w:val="bottom"/>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04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30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r>
      <w:tr>
        <w:trPr>
          <w:trHeight w:val="212"/>
        </w:trPr>
        <w:tc>
          <w:tcPr>
            <w:tcW w:w="20" w:type="dxa"/>
            <w:vAlign w:val="bottom"/>
            <w:shd w:val="clear" w:color="auto" w:fill="CCEEFF"/>
          </w:tcPr>
          <w:p>
            <w:pPr>
              <w:spacing w:after="0"/>
              <w:rPr>
                <w:sz w:val="18"/>
                <w:szCs w:val="18"/>
                <w:color w:val="auto"/>
              </w:rPr>
            </w:pPr>
          </w:p>
        </w:tc>
        <w:tc>
          <w:tcPr>
            <w:tcW w:w="10560" w:type="dxa"/>
            <w:vAlign w:val="bottom"/>
            <w:gridSpan w:val="10"/>
            <w:shd w:val="clear" w:color="auto" w:fill="CCEEFF"/>
          </w:tcPr>
          <w:p>
            <w:pPr>
              <w:spacing w:after="0"/>
              <w:rPr>
                <w:rFonts w:ascii="Arial" w:cs="Arial" w:eastAsia="Arial" w:hAnsi="Arial"/>
                <w:sz w:val="15"/>
                <w:szCs w:val="15"/>
                <w:color w:val="0000EE"/>
              </w:rPr>
            </w:pPr>
            <w:hyperlink w:anchor="page80">
              <w:r>
                <w:rPr>
                  <w:rFonts w:ascii="Arial" w:cs="Arial" w:eastAsia="Arial" w:hAnsi="Arial"/>
                  <w:sz w:val="15"/>
                  <w:szCs w:val="15"/>
                  <w:color w:val="0000EE"/>
                </w:rPr>
                <w:t>Consolidated Statements of Changes in Net Assets for the years ended December 31, 2019, 2018 and 2017</w:t>
              </w:r>
            </w:hyperlink>
          </w:p>
        </w:tc>
        <w:tc>
          <w:tcPr>
            <w:tcW w:w="680" w:type="dxa"/>
            <w:vAlign w:val="bottom"/>
            <w:gridSpan w:val="3"/>
            <w:shd w:val="clear" w:color="auto" w:fill="CCEEFF"/>
          </w:tcPr>
          <w:p>
            <w:pPr>
              <w:jc w:val="center"/>
              <w:spacing w:after="0"/>
              <w:rPr>
                <w:rFonts w:ascii="Arial" w:cs="Arial" w:eastAsia="Arial" w:hAnsi="Arial"/>
                <w:sz w:val="15"/>
                <w:szCs w:val="15"/>
                <w:color w:val="0000EE"/>
                <w:w w:val="95"/>
              </w:rPr>
            </w:pPr>
            <w:hyperlink w:anchor="page80">
              <w:r>
                <w:rPr>
                  <w:rFonts w:ascii="Arial" w:cs="Arial" w:eastAsia="Arial" w:hAnsi="Arial"/>
                  <w:sz w:val="15"/>
                  <w:szCs w:val="15"/>
                  <w:color w:val="0000EE"/>
                  <w:w w:val="95"/>
                </w:rPr>
                <w:t>78</w:t>
              </w:r>
            </w:hyperlink>
          </w:p>
        </w:tc>
      </w:tr>
      <w:tr>
        <w:trPr>
          <w:trHeight w:val="174"/>
        </w:trPr>
        <w:tc>
          <w:tcPr>
            <w:tcW w:w="20" w:type="dxa"/>
            <w:vAlign w:val="bottom"/>
            <w:tcBorders>
              <w:top w:val="single" w:sz="8" w:color="CCEEFF"/>
            </w:tcBorders>
          </w:tcPr>
          <w:p>
            <w:pPr>
              <w:spacing w:after="0"/>
              <w:rPr>
                <w:sz w:val="15"/>
                <w:szCs w:val="15"/>
                <w:color w:val="auto"/>
              </w:rPr>
            </w:pPr>
          </w:p>
        </w:tc>
        <w:tc>
          <w:tcPr>
            <w:tcW w:w="6600" w:type="dxa"/>
            <w:vAlign w:val="bottom"/>
            <w:tcBorders>
              <w:top w:val="single" w:sz="8" w:color="0000EE"/>
            </w:tcBorders>
            <w:gridSpan w:val="9"/>
          </w:tcPr>
          <w:p>
            <w:pPr>
              <w:spacing w:after="0"/>
              <w:rPr>
                <w:rFonts w:ascii="Arial" w:cs="Arial" w:eastAsia="Arial" w:hAnsi="Arial"/>
                <w:sz w:val="15"/>
                <w:szCs w:val="15"/>
                <w:color w:val="0000EE"/>
              </w:rPr>
            </w:pPr>
            <w:hyperlink w:anchor="page81">
              <w:r>
                <w:rPr>
                  <w:rFonts w:ascii="Arial" w:cs="Arial" w:eastAsia="Arial" w:hAnsi="Arial"/>
                  <w:sz w:val="15"/>
                  <w:szCs w:val="15"/>
                  <w:color w:val="0000EE"/>
                </w:rPr>
                <w:t>Consolidated Statements of Cash Flows for the years ended December 31, 2019, 2018 and 2017</w:t>
              </w:r>
            </w:hyperlink>
          </w:p>
        </w:tc>
        <w:tc>
          <w:tcPr>
            <w:tcW w:w="39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jc w:val="center"/>
              <w:spacing w:after="0"/>
              <w:rPr>
                <w:rFonts w:ascii="Arial" w:cs="Arial" w:eastAsia="Arial" w:hAnsi="Arial"/>
                <w:sz w:val="15"/>
                <w:szCs w:val="15"/>
                <w:color w:val="0000EE"/>
                <w:w w:val="95"/>
              </w:rPr>
            </w:pPr>
            <w:hyperlink w:anchor="page81">
              <w:r>
                <w:rPr>
                  <w:rFonts w:ascii="Arial" w:cs="Arial" w:eastAsia="Arial" w:hAnsi="Arial"/>
                  <w:sz w:val="15"/>
                  <w:szCs w:val="15"/>
                  <w:color w:val="0000EE"/>
                  <w:w w:val="95"/>
                </w:rPr>
                <w:t>79</w:t>
              </w:r>
            </w:hyperlink>
          </w:p>
        </w:tc>
        <w:tc>
          <w:tcPr>
            <w:tcW w:w="260" w:type="dxa"/>
            <w:vAlign w:val="bottom"/>
            <w:tcBorders>
              <w:top w:val="single" w:sz="8" w:color="CCEEFF"/>
            </w:tcBorders>
          </w:tcPr>
          <w:p>
            <w:pPr>
              <w:spacing w:after="0"/>
              <w:rPr>
                <w:sz w:val="15"/>
                <w:szCs w:val="15"/>
                <w:color w:val="auto"/>
              </w:rPr>
            </w:pPr>
          </w:p>
        </w:tc>
      </w:tr>
      <w:tr>
        <w:trPr>
          <w:trHeight w:val="38"/>
        </w:trPr>
        <w:tc>
          <w:tcPr>
            <w:tcW w:w="20" w:type="dxa"/>
            <w:vAlign w:val="bottom"/>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04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30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r>
      <w:tr>
        <w:trPr>
          <w:trHeight w:val="174"/>
        </w:trPr>
        <w:tc>
          <w:tcPr>
            <w:tcW w:w="20" w:type="dxa"/>
            <w:vAlign w:val="bottom"/>
            <w:shd w:val="clear" w:color="auto" w:fill="CCEEFF"/>
          </w:tcPr>
          <w:p>
            <w:pPr>
              <w:spacing w:after="0"/>
              <w:rPr>
                <w:sz w:val="15"/>
                <w:szCs w:val="15"/>
                <w:color w:val="auto"/>
              </w:rPr>
            </w:pPr>
          </w:p>
        </w:tc>
        <w:tc>
          <w:tcPr>
            <w:tcW w:w="10560" w:type="dxa"/>
            <w:vAlign w:val="bottom"/>
            <w:gridSpan w:val="10"/>
            <w:shd w:val="clear" w:color="auto" w:fill="CCEEFF"/>
          </w:tcPr>
          <w:p>
            <w:pPr>
              <w:spacing w:after="0"/>
              <w:rPr>
                <w:rFonts w:ascii="Arial" w:cs="Arial" w:eastAsia="Arial" w:hAnsi="Arial"/>
                <w:sz w:val="15"/>
                <w:szCs w:val="15"/>
                <w:color w:val="0000EE"/>
              </w:rPr>
            </w:pPr>
            <w:hyperlink w:anchor="page82">
              <w:r>
                <w:rPr>
                  <w:rFonts w:ascii="Arial" w:cs="Arial" w:eastAsia="Arial" w:hAnsi="Arial"/>
                  <w:sz w:val="15"/>
                  <w:szCs w:val="15"/>
                  <w:color w:val="0000EE"/>
                </w:rPr>
                <w:t>Consolidated Schedule of Investments as of December 31, 2019</w:t>
              </w:r>
            </w:hyperlink>
          </w:p>
        </w:tc>
        <w:tc>
          <w:tcPr>
            <w:tcW w:w="680" w:type="dxa"/>
            <w:vAlign w:val="bottom"/>
            <w:gridSpan w:val="3"/>
            <w:shd w:val="clear" w:color="auto" w:fill="CCEEFF"/>
          </w:tcPr>
          <w:p>
            <w:pPr>
              <w:jc w:val="center"/>
              <w:spacing w:after="0"/>
              <w:rPr>
                <w:rFonts w:ascii="Arial" w:cs="Arial" w:eastAsia="Arial" w:hAnsi="Arial"/>
                <w:sz w:val="15"/>
                <w:szCs w:val="15"/>
                <w:color w:val="0000EE"/>
                <w:w w:val="95"/>
              </w:rPr>
            </w:pPr>
            <w:hyperlink w:anchor="page82">
              <w:r>
                <w:rPr>
                  <w:rFonts w:ascii="Arial" w:cs="Arial" w:eastAsia="Arial" w:hAnsi="Arial"/>
                  <w:sz w:val="15"/>
                  <w:szCs w:val="15"/>
                  <w:color w:val="0000EE"/>
                  <w:w w:val="95"/>
                </w:rPr>
                <w:t>80</w:t>
              </w:r>
            </w:hyperlink>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04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9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560" w:type="dxa"/>
            <w:vAlign w:val="bottom"/>
            <w:gridSpan w:val="10"/>
          </w:tcPr>
          <w:p>
            <w:pPr>
              <w:spacing w:after="0"/>
              <w:rPr>
                <w:rFonts w:ascii="Arial" w:cs="Arial" w:eastAsia="Arial" w:hAnsi="Arial"/>
                <w:sz w:val="15"/>
                <w:szCs w:val="15"/>
                <w:color w:val="0000EE"/>
              </w:rPr>
            </w:pPr>
            <w:hyperlink w:anchor="page86">
              <w:r>
                <w:rPr>
                  <w:rFonts w:ascii="Arial" w:cs="Arial" w:eastAsia="Arial" w:hAnsi="Arial"/>
                  <w:sz w:val="15"/>
                  <w:szCs w:val="15"/>
                  <w:color w:val="0000EE"/>
                </w:rPr>
                <w:t>Consolidated Schedule of Investments as of December 31, 2018</w:t>
              </w:r>
            </w:hyperlink>
          </w:p>
        </w:tc>
        <w:tc>
          <w:tcPr>
            <w:tcW w:w="680" w:type="dxa"/>
            <w:vAlign w:val="bottom"/>
            <w:gridSpan w:val="3"/>
          </w:tcPr>
          <w:p>
            <w:pPr>
              <w:jc w:val="center"/>
              <w:spacing w:after="0"/>
              <w:rPr>
                <w:rFonts w:ascii="Arial" w:cs="Arial" w:eastAsia="Arial" w:hAnsi="Arial"/>
                <w:sz w:val="15"/>
                <w:szCs w:val="15"/>
                <w:color w:val="0000EE"/>
                <w:w w:val="95"/>
              </w:rPr>
            </w:pPr>
            <w:hyperlink w:anchor="page86">
              <w:r>
                <w:rPr>
                  <w:rFonts w:ascii="Arial" w:cs="Arial" w:eastAsia="Arial" w:hAnsi="Arial"/>
                  <w:sz w:val="15"/>
                  <w:szCs w:val="15"/>
                  <w:color w:val="0000EE"/>
                  <w:w w:val="95"/>
                </w:rPr>
                <w:t>84</w:t>
              </w:r>
            </w:hyperlink>
          </w:p>
        </w:tc>
      </w:tr>
      <w:tr>
        <w:trPr>
          <w:trHeight w:val="38"/>
        </w:trPr>
        <w:tc>
          <w:tcPr>
            <w:tcW w:w="20" w:type="dxa"/>
            <w:vAlign w:val="bottom"/>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204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r>
      <w:tr>
        <w:trPr>
          <w:trHeight w:val="174"/>
        </w:trPr>
        <w:tc>
          <w:tcPr>
            <w:tcW w:w="20" w:type="dxa"/>
            <w:vAlign w:val="bottom"/>
            <w:shd w:val="clear" w:color="auto" w:fill="CCEEFF"/>
          </w:tcPr>
          <w:p>
            <w:pPr>
              <w:spacing w:after="0"/>
              <w:rPr>
                <w:sz w:val="15"/>
                <w:szCs w:val="15"/>
                <w:color w:val="auto"/>
              </w:rPr>
            </w:pPr>
          </w:p>
        </w:tc>
        <w:tc>
          <w:tcPr>
            <w:tcW w:w="10560" w:type="dxa"/>
            <w:vAlign w:val="bottom"/>
            <w:gridSpan w:val="10"/>
            <w:shd w:val="clear" w:color="auto" w:fill="CCEEFF"/>
          </w:tcPr>
          <w:p>
            <w:pPr>
              <w:spacing w:after="0"/>
              <w:rPr>
                <w:rFonts w:ascii="Arial" w:cs="Arial" w:eastAsia="Arial" w:hAnsi="Arial"/>
                <w:sz w:val="15"/>
                <w:szCs w:val="15"/>
                <w:color w:val="0000EE"/>
              </w:rPr>
            </w:pPr>
            <w:hyperlink w:anchor="page91">
              <w:r>
                <w:rPr>
                  <w:rFonts w:ascii="Arial" w:cs="Arial" w:eastAsia="Arial" w:hAnsi="Arial"/>
                  <w:sz w:val="15"/>
                  <w:szCs w:val="15"/>
                  <w:color w:val="0000EE"/>
                </w:rPr>
                <w:t>Notes to Consolidated Financial Statements</w:t>
              </w:r>
            </w:hyperlink>
          </w:p>
        </w:tc>
        <w:tc>
          <w:tcPr>
            <w:tcW w:w="680" w:type="dxa"/>
            <w:vAlign w:val="bottom"/>
            <w:gridSpan w:val="3"/>
            <w:shd w:val="clear" w:color="auto" w:fill="CCEEFF"/>
          </w:tcPr>
          <w:p>
            <w:pPr>
              <w:jc w:val="center"/>
              <w:spacing w:after="0"/>
              <w:rPr>
                <w:rFonts w:ascii="Arial" w:cs="Arial" w:eastAsia="Arial" w:hAnsi="Arial"/>
                <w:sz w:val="15"/>
                <w:szCs w:val="15"/>
                <w:color w:val="0000EE"/>
                <w:w w:val="95"/>
              </w:rPr>
            </w:pPr>
            <w:hyperlink w:anchor="page91">
              <w:r>
                <w:rPr>
                  <w:rFonts w:ascii="Arial" w:cs="Arial" w:eastAsia="Arial" w:hAnsi="Arial"/>
                  <w:sz w:val="15"/>
                  <w:szCs w:val="15"/>
                  <w:color w:val="0000EE"/>
                  <w:w w:val="95"/>
                </w:rPr>
                <w:t>89</w:t>
              </w:r>
            </w:hyperlink>
          </w:p>
        </w:tc>
      </w:tr>
      <w:tr>
        <w:trPr>
          <w:trHeight w:val="38"/>
        </w:trPr>
        <w:tc>
          <w:tcPr>
            <w:tcW w:w="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0000EE"/>
            </w:tcBorders>
            <w:shd w:val="clear" w:color="auto" w:fill="CCEEFF"/>
          </w:tcPr>
          <w:p>
            <w:pPr>
              <w:spacing w:after="0"/>
              <w:rPr>
                <w:sz w:val="3"/>
                <w:szCs w:val="3"/>
                <w:color w:val="auto"/>
              </w:rPr>
            </w:pPr>
          </w:p>
        </w:tc>
        <w:tc>
          <w:tcPr>
            <w:tcW w:w="204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9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-1334135</wp:posOffset>
            </wp:positionV>
            <wp:extent cx="672401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24015" cy="7620"/>
                    </a:xfrm>
                    <a:prstGeom prst="rect">
                      <a:avLst/>
                    </a:prstGeom>
                    <a:noFill/>
                  </pic:spPr>
                </pic:pic>
              </a:graphicData>
            </a:graphic>
          </wp:anchor>
        </w:drawing>
      </w:r>
    </w:p>
    <w:p>
      <w:pPr>
        <w:spacing w:after="0" w:line="178" w:lineRule="exact"/>
        <w:rPr>
          <w:sz w:val="20"/>
          <w:szCs w:val="20"/>
          <w:color w:val="auto"/>
        </w:rPr>
      </w:pPr>
    </w:p>
    <w:p>
      <w:pPr>
        <w:ind w:left="560" w:right="20" w:hanging="288"/>
        <w:spacing w:after="0" w:line="355" w:lineRule="auto"/>
        <w:tabs>
          <w:tab w:leader="none" w:pos="5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05" w:lineRule="exact"/>
        <w:rPr>
          <w:rFonts w:ascii="Arial" w:cs="Arial" w:eastAsia="Arial" w:hAnsi="Arial"/>
          <w:sz w:val="15"/>
          <w:szCs w:val="15"/>
          <w:color w:val="auto"/>
        </w:rPr>
      </w:pPr>
    </w:p>
    <w:p>
      <w:pPr>
        <w:ind w:left="560" w:hanging="288"/>
        <w:spacing w:after="0"/>
        <w:tabs>
          <w:tab w:leader="none" w:pos="5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Exhibits</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exhibits are filed as part of this report or hereby incorporated by reference to exhibits previously filed with the SEC:</w:t>
      </w:r>
    </w:p>
    <w:p>
      <w:pPr>
        <w:spacing w:after="0" w:line="152" w:lineRule="exact"/>
        <w:rPr>
          <w:sz w:val="20"/>
          <w:szCs w:val="20"/>
          <w:color w:val="auto"/>
        </w:rPr>
      </w:pPr>
    </w:p>
    <w:p>
      <w:pPr>
        <w:ind w:left="24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3.1</w:t>
      </w:r>
      <w:r>
        <w:rPr>
          <w:sz w:val="20"/>
          <w:szCs w:val="20"/>
          <w:color w:val="auto"/>
        </w:rPr>
        <w:tab/>
      </w:r>
      <w:hyperlink r:id="rId113">
        <w:r>
          <w:rPr>
            <w:rFonts w:ascii="Arial" w:cs="Arial" w:eastAsia="Arial" w:hAnsi="Arial"/>
            <w:sz w:val="13"/>
            <w:szCs w:val="13"/>
            <w:u w:val="single" w:color="auto"/>
            <w:color w:val="0000FF"/>
          </w:rPr>
          <w:t>Articles of Amendment and Restatement</w:t>
        </w:r>
      </w:hyperlink>
      <w:r>
        <w:rPr>
          <w:rFonts w:ascii="Arial" w:cs="Arial" w:eastAsia="Arial" w:hAnsi="Arial"/>
          <w:sz w:val="18"/>
          <w:szCs w:val="18"/>
          <w:color w:val="000000"/>
          <w:vertAlign w:val="superscript"/>
        </w:rPr>
        <w:t>(1)</w:t>
      </w:r>
    </w:p>
    <w:p>
      <w:pPr>
        <w:spacing w:after="0" w:line="33" w:lineRule="exact"/>
        <w:rPr>
          <w:sz w:val="20"/>
          <w:szCs w:val="20"/>
          <w:color w:val="auto"/>
        </w:rPr>
      </w:pPr>
    </w:p>
    <w:p>
      <w:pPr>
        <w:ind w:left="24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3.2</w:t>
      </w:r>
      <w:r>
        <w:rPr>
          <w:sz w:val="20"/>
          <w:szCs w:val="20"/>
          <w:color w:val="auto"/>
        </w:rPr>
        <w:tab/>
      </w:r>
      <w:hyperlink r:id="rId114">
        <w:r>
          <w:rPr>
            <w:rFonts w:ascii="Arial" w:cs="Arial" w:eastAsia="Arial" w:hAnsi="Arial"/>
            <w:sz w:val="14"/>
            <w:szCs w:val="14"/>
            <w:u w:val="single" w:color="auto"/>
            <w:color w:val="0000FF"/>
          </w:rPr>
          <w:t>Articles of Amendment</w:t>
        </w:r>
      </w:hyperlink>
      <w:r>
        <w:rPr>
          <w:rFonts w:ascii="Arial" w:cs="Arial" w:eastAsia="Arial" w:hAnsi="Arial"/>
          <w:sz w:val="19"/>
          <w:szCs w:val="19"/>
          <w:color w:val="000000"/>
          <w:vertAlign w:val="superscript"/>
        </w:rPr>
        <w:t>(2)</w:t>
      </w:r>
    </w:p>
    <w:p>
      <w:pPr>
        <w:spacing w:after="0" w:line="14" w:lineRule="exact"/>
        <w:rPr>
          <w:sz w:val="20"/>
          <w:szCs w:val="20"/>
          <w:color w:val="auto"/>
        </w:rPr>
      </w:pPr>
    </w:p>
    <w:p>
      <w:pPr>
        <w:ind w:left="24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3.3</w:t>
      </w:r>
      <w:r>
        <w:rPr>
          <w:sz w:val="20"/>
          <w:szCs w:val="20"/>
          <w:color w:val="auto"/>
        </w:rPr>
        <w:tab/>
      </w:r>
      <w:hyperlink r:id="rId115">
        <w:r>
          <w:rPr>
            <w:rFonts w:ascii="Arial" w:cs="Arial" w:eastAsia="Arial" w:hAnsi="Arial"/>
            <w:sz w:val="14"/>
            <w:szCs w:val="14"/>
            <w:u w:val="single" w:color="auto"/>
            <w:color w:val="0000FF"/>
          </w:rPr>
          <w:t>Articles of Amendment</w:t>
        </w:r>
      </w:hyperlink>
      <w:r>
        <w:rPr>
          <w:rFonts w:ascii="Arial" w:cs="Arial" w:eastAsia="Arial" w:hAnsi="Arial"/>
          <w:sz w:val="19"/>
          <w:szCs w:val="19"/>
          <w:color w:val="000000"/>
          <w:vertAlign w:val="superscript"/>
        </w:rPr>
        <w:t>(3)</w:t>
      </w:r>
    </w:p>
    <w:p>
      <w:pPr>
        <w:spacing w:after="0" w:line="14" w:lineRule="exact"/>
        <w:rPr>
          <w:sz w:val="20"/>
          <w:szCs w:val="20"/>
          <w:color w:val="auto"/>
        </w:rPr>
      </w:pPr>
    </w:p>
    <w:p>
      <w:pPr>
        <w:ind w:left="24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3.4</w:t>
      </w:r>
      <w:r>
        <w:rPr>
          <w:sz w:val="20"/>
          <w:szCs w:val="20"/>
          <w:color w:val="auto"/>
        </w:rPr>
        <w:tab/>
      </w:r>
      <w:hyperlink r:id="rId116">
        <w:r>
          <w:rPr>
            <w:rFonts w:ascii="Arial" w:cs="Arial" w:eastAsia="Arial" w:hAnsi="Arial"/>
            <w:sz w:val="13"/>
            <w:szCs w:val="13"/>
            <w:u w:val="single" w:color="auto"/>
            <w:color w:val="0000FF"/>
          </w:rPr>
          <w:t>Amended and Restated Bylaws</w:t>
        </w:r>
      </w:hyperlink>
      <w:r>
        <w:rPr>
          <w:rFonts w:ascii="Arial" w:cs="Arial" w:eastAsia="Arial" w:hAnsi="Arial"/>
          <w:sz w:val="18"/>
          <w:szCs w:val="18"/>
          <w:color w:val="000000"/>
          <w:vertAlign w:val="superscript"/>
        </w:rPr>
        <w:t>(3)</w:t>
      </w:r>
    </w:p>
    <w:p>
      <w:pPr>
        <w:spacing w:after="0" w:line="25" w:lineRule="exact"/>
        <w:rPr>
          <w:sz w:val="20"/>
          <w:szCs w:val="20"/>
          <w:color w:val="auto"/>
        </w:rPr>
      </w:pPr>
    </w:p>
    <w:p>
      <w:pPr>
        <w:ind w:left="24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4.1</w:t>
      </w:r>
      <w:r>
        <w:rPr>
          <w:sz w:val="20"/>
          <w:szCs w:val="20"/>
          <w:color w:val="auto"/>
        </w:rPr>
        <w:tab/>
      </w:r>
      <w:hyperlink r:id="rId117">
        <w:r>
          <w:rPr>
            <w:rFonts w:ascii="Arial" w:cs="Arial" w:eastAsia="Arial" w:hAnsi="Arial"/>
            <w:sz w:val="14"/>
            <w:szCs w:val="14"/>
            <w:u w:val="single" w:color="auto"/>
            <w:color w:val="0000FF"/>
          </w:rPr>
          <w:t>Form of Common Stock Certificate</w:t>
        </w:r>
      </w:hyperlink>
      <w:r>
        <w:rPr>
          <w:rFonts w:ascii="Arial" w:cs="Arial" w:eastAsia="Arial" w:hAnsi="Arial"/>
          <w:sz w:val="19"/>
          <w:szCs w:val="19"/>
          <w:color w:val="000000"/>
          <w:vertAlign w:val="superscript"/>
        </w:rPr>
        <w:t>(4)</w:t>
      </w:r>
    </w:p>
    <w:p>
      <w:pPr>
        <w:spacing w:after="0" w:line="193" w:lineRule="exact"/>
        <w:rPr>
          <w:sz w:val="20"/>
          <w:szCs w:val="20"/>
          <w:color w:val="auto"/>
        </w:rPr>
      </w:pPr>
    </w:p>
    <w:p>
      <w:pPr>
        <w:ind w:left="700" w:right="300" w:hanging="461"/>
        <w:spacing w:after="0" w:line="291" w:lineRule="auto"/>
        <w:tabs>
          <w:tab w:leader="none" w:pos="680" w:val="left"/>
        </w:tabs>
        <w:rPr>
          <w:rFonts w:ascii="Arial" w:cs="Arial" w:eastAsia="Arial" w:hAnsi="Arial"/>
          <w:sz w:val="15"/>
          <w:szCs w:val="15"/>
          <w:color w:val="0000FF"/>
        </w:rPr>
      </w:pPr>
      <w:r>
        <w:rPr>
          <w:rFonts w:ascii="Arial" w:cs="Arial" w:eastAsia="Arial" w:hAnsi="Arial"/>
          <w:sz w:val="15"/>
          <w:szCs w:val="15"/>
          <w:color w:val="auto"/>
        </w:rPr>
        <w:t>4.2</w:t>
      </w:r>
      <w:r>
        <w:rPr>
          <w:sz w:val="20"/>
          <w:szCs w:val="20"/>
          <w:color w:val="auto"/>
        </w:rPr>
        <w:tab/>
      </w:r>
      <w:hyperlink r:id="rId118">
        <w:r>
          <w:rPr>
            <w:rFonts w:ascii="Arial" w:cs="Arial" w:eastAsia="Arial" w:hAnsi="Arial"/>
            <w:sz w:val="15"/>
            <w:szCs w:val="15"/>
            <w:u w:val="single" w:color="auto"/>
            <w:color w:val="0000FF"/>
          </w:rPr>
          <w:t>First Supplemental Indenture, dated March 28, 2018, relating to the 4.75% Convertible Senior Notes due 2023, by and between the Company and U.S. Bank National</w:t>
        </w:r>
      </w:hyperlink>
      <w:r>
        <w:rPr>
          <w:rFonts w:ascii="Arial" w:cs="Arial" w:eastAsia="Arial" w:hAnsi="Arial"/>
          <w:sz w:val="15"/>
          <w:szCs w:val="15"/>
          <w:u w:val="single" w:color="auto"/>
          <w:color w:val="0000FF"/>
        </w:rPr>
        <w:t xml:space="preserve"> </w:t>
      </w:r>
      <w:hyperlink r:id="rId118">
        <w:r>
          <w:rPr>
            <w:rFonts w:ascii="Arial" w:cs="Arial" w:eastAsia="Arial" w:hAnsi="Arial"/>
            <w:sz w:val="15"/>
            <w:szCs w:val="15"/>
            <w:u w:val="single" w:color="auto"/>
            <w:color w:val="0000FF"/>
          </w:rPr>
          <w:t>Association, as trustee</w:t>
        </w:r>
        <w:r>
          <w:rPr>
            <w:rFonts w:ascii="Arial" w:cs="Arial" w:eastAsia="Arial" w:hAnsi="Arial"/>
            <w:sz w:val="21"/>
            <w:szCs w:val="21"/>
            <w:color w:val="000000"/>
            <w:vertAlign w:val="superscript"/>
          </w:rPr>
          <w:t>(5)</w:t>
        </w:r>
      </w:hyperlink>
    </w:p>
    <w:p>
      <w:pPr>
        <w:spacing w:after="0" w:line="101" w:lineRule="exact"/>
        <w:rPr>
          <w:sz w:val="20"/>
          <w:szCs w:val="20"/>
          <w:color w:val="auto"/>
        </w:rPr>
      </w:pPr>
    </w:p>
    <w:p>
      <w:pPr>
        <w:ind w:left="24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4.3</w:t>
      </w:r>
      <w:r>
        <w:rPr>
          <w:sz w:val="20"/>
          <w:szCs w:val="20"/>
          <w:color w:val="auto"/>
        </w:rPr>
        <w:tab/>
      </w:r>
      <w:hyperlink r:id="rId119">
        <w:r>
          <w:rPr>
            <w:rFonts w:ascii="Arial" w:cs="Arial" w:eastAsia="Arial" w:hAnsi="Arial"/>
            <w:sz w:val="14"/>
            <w:szCs w:val="14"/>
            <w:u w:val="single" w:color="auto"/>
            <w:color w:val="0000FF"/>
          </w:rPr>
          <w:t>Form of 4.75% Convertible Senior Note due 2023 (incorporated by reference to Exhibit 4.2)</w:t>
        </w:r>
      </w:hyperlink>
      <w:r>
        <w:rPr>
          <w:rFonts w:ascii="Arial" w:cs="Arial" w:eastAsia="Arial" w:hAnsi="Arial"/>
          <w:sz w:val="19"/>
          <w:szCs w:val="19"/>
          <w:color w:val="000000"/>
          <w:vertAlign w:val="superscript"/>
        </w:rPr>
        <w:t>(5)</w:t>
      </w:r>
    </w:p>
    <w:p>
      <w:pPr>
        <w:spacing w:after="0" w:line="201" w:lineRule="exact"/>
        <w:rPr>
          <w:sz w:val="20"/>
          <w:szCs w:val="20"/>
          <w:color w:val="auto"/>
        </w:rPr>
      </w:pPr>
    </w:p>
    <w:p>
      <w:pPr>
        <w:ind w:left="24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4.4</w:t>
      </w:r>
      <w:r>
        <w:rPr>
          <w:sz w:val="20"/>
          <w:szCs w:val="20"/>
          <w:color w:val="auto"/>
        </w:rPr>
        <w:tab/>
      </w:r>
      <w:hyperlink w:anchor="page144">
        <w:r>
          <w:rPr>
            <w:rFonts w:ascii="Arial" w:cs="Arial" w:eastAsia="Arial" w:hAnsi="Arial"/>
            <w:sz w:val="14"/>
            <w:szCs w:val="14"/>
            <w:u w:val="single" w:color="auto"/>
            <w:color w:val="0000FF"/>
          </w:rPr>
          <w:t>Description of Securities</w:t>
        </w:r>
      </w:hyperlink>
      <w:r>
        <w:rPr>
          <w:rFonts w:ascii="Arial" w:cs="Arial" w:eastAsia="Arial" w:hAnsi="Arial"/>
          <w:sz w:val="14"/>
          <w:szCs w:val="14"/>
          <w:color w:val="000000"/>
        </w:rPr>
        <w:t>*</w:t>
      </w:r>
    </w:p>
    <w:p>
      <w:pPr>
        <w:spacing w:after="0" w:line="59"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10.1</w:t>
      </w:r>
      <w:r>
        <w:rPr>
          <w:sz w:val="20"/>
          <w:szCs w:val="20"/>
          <w:color w:val="auto"/>
        </w:rPr>
        <w:tab/>
      </w:r>
      <w:hyperlink r:id="rId120">
        <w:r>
          <w:rPr>
            <w:rFonts w:ascii="Arial" w:cs="Arial" w:eastAsia="Arial" w:hAnsi="Arial"/>
            <w:sz w:val="14"/>
            <w:szCs w:val="14"/>
            <w:u w:val="single" w:color="auto"/>
            <w:color w:val="0000FF"/>
          </w:rPr>
          <w:t>Employment Agreement, dated April 23, 2019, by and between GSV Capital Corp. and Mark D. Klein</w:t>
        </w:r>
      </w:hyperlink>
      <w:r>
        <w:rPr>
          <w:rFonts w:ascii="Arial" w:cs="Arial" w:eastAsia="Arial" w:hAnsi="Arial"/>
          <w:sz w:val="19"/>
          <w:szCs w:val="19"/>
          <w:color w:val="000000"/>
          <w:vertAlign w:val="superscript"/>
        </w:rPr>
        <w:t>(6)</w:t>
      </w:r>
    </w:p>
    <w:p>
      <w:pPr>
        <w:spacing w:after="0" w:line="199"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10.2</w:t>
      </w:r>
      <w:r>
        <w:rPr>
          <w:sz w:val="20"/>
          <w:szCs w:val="20"/>
          <w:color w:val="auto"/>
        </w:rPr>
        <w:tab/>
      </w:r>
      <w:hyperlink r:id="rId121">
        <w:r>
          <w:rPr>
            <w:rFonts w:ascii="Arial" w:cs="Arial" w:eastAsia="Arial" w:hAnsi="Arial"/>
            <w:sz w:val="14"/>
            <w:szCs w:val="14"/>
            <w:u w:val="single" w:color="auto"/>
            <w:color w:val="0000FF"/>
          </w:rPr>
          <w:t>Employment Agreement, dated April 23, 2019, by and between GSV Capital Corp. and Allison Green</w:t>
        </w:r>
      </w:hyperlink>
      <w:r>
        <w:rPr>
          <w:rFonts w:ascii="Arial" w:cs="Arial" w:eastAsia="Arial" w:hAnsi="Arial"/>
          <w:sz w:val="19"/>
          <w:szCs w:val="19"/>
          <w:color w:val="000000"/>
          <w:vertAlign w:val="superscript"/>
        </w:rPr>
        <w:t>(6)</w:t>
      </w:r>
    </w:p>
    <w:p>
      <w:pPr>
        <w:spacing w:after="0" w:line="199" w:lineRule="exact"/>
        <w:rPr>
          <w:sz w:val="20"/>
          <w:szCs w:val="20"/>
          <w:color w:val="auto"/>
        </w:rPr>
      </w:pPr>
    </w:p>
    <w:p>
      <w:pPr>
        <w:ind w:left="20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10.3</w:t>
      </w:r>
      <w:r>
        <w:rPr>
          <w:sz w:val="20"/>
          <w:szCs w:val="20"/>
          <w:color w:val="auto"/>
        </w:rPr>
        <w:tab/>
      </w:r>
      <w:hyperlink r:id="rId122">
        <w:r>
          <w:rPr>
            <w:rFonts w:ascii="Arial" w:cs="Arial" w:eastAsia="Arial" w:hAnsi="Arial"/>
            <w:sz w:val="13"/>
            <w:szCs w:val="13"/>
            <w:u w:val="single" w:color="auto"/>
            <w:color w:val="0000FF"/>
          </w:rPr>
          <w:t>Amended and Restated Trademark License Agreement by and between the Company and GSV Asset Management, LLC</w:t>
        </w:r>
      </w:hyperlink>
      <w:r>
        <w:rPr>
          <w:rFonts w:ascii="Arial" w:cs="Arial" w:eastAsia="Arial" w:hAnsi="Arial"/>
          <w:sz w:val="18"/>
          <w:szCs w:val="18"/>
          <w:color w:val="000000"/>
          <w:vertAlign w:val="superscript"/>
        </w:rPr>
        <w:t>(7)</w:t>
      </w:r>
    </w:p>
    <w:p>
      <w:pPr>
        <w:spacing w:after="0" w:line="33" w:lineRule="exact"/>
        <w:rPr>
          <w:sz w:val="20"/>
          <w:szCs w:val="20"/>
          <w:color w:val="auto"/>
        </w:rPr>
      </w:pPr>
    </w:p>
    <w:p>
      <w:pPr>
        <w:ind w:left="20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10.4</w:t>
      </w:r>
      <w:r>
        <w:rPr>
          <w:sz w:val="20"/>
          <w:szCs w:val="20"/>
          <w:color w:val="auto"/>
        </w:rPr>
        <w:tab/>
      </w:r>
      <w:hyperlink r:id="rId123">
        <w:r>
          <w:rPr>
            <w:rFonts w:ascii="Arial" w:cs="Arial" w:eastAsia="Arial" w:hAnsi="Arial"/>
            <w:sz w:val="13"/>
            <w:szCs w:val="13"/>
            <w:u w:val="single" w:color="auto"/>
            <w:color w:val="0000FF"/>
          </w:rPr>
          <w:t>Consulting Agreement by and between the Company and Michael T. Moe</w:t>
        </w:r>
      </w:hyperlink>
      <w:r>
        <w:rPr>
          <w:rFonts w:ascii="Arial" w:cs="Arial" w:eastAsia="Arial" w:hAnsi="Arial"/>
          <w:sz w:val="18"/>
          <w:szCs w:val="18"/>
          <w:color w:val="000000"/>
          <w:vertAlign w:val="superscript"/>
        </w:rPr>
        <w:t>(7)</w:t>
      </w:r>
    </w:p>
    <w:p>
      <w:pPr>
        <w:spacing w:after="0" w:line="25"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10.5</w:t>
      </w:r>
      <w:r>
        <w:rPr>
          <w:sz w:val="20"/>
          <w:szCs w:val="20"/>
          <w:color w:val="auto"/>
        </w:rPr>
        <w:tab/>
      </w:r>
      <w:hyperlink r:id="rId124">
        <w:r>
          <w:rPr>
            <w:rFonts w:ascii="Arial" w:cs="Arial" w:eastAsia="Arial" w:hAnsi="Arial"/>
            <w:sz w:val="14"/>
            <w:szCs w:val="14"/>
            <w:u w:val="single" w:color="auto"/>
            <w:color w:val="0000FF"/>
          </w:rPr>
          <w:t xml:space="preserve">Sutter Rock Capital Corp. 2019 Equity Incentive Plan </w:t>
        </w:r>
      </w:hyperlink>
      <w:r>
        <w:rPr>
          <w:rFonts w:ascii="Arial" w:cs="Arial" w:eastAsia="Arial" w:hAnsi="Arial"/>
          <w:sz w:val="19"/>
          <w:szCs w:val="19"/>
          <w:color w:val="000000"/>
          <w:vertAlign w:val="superscript"/>
        </w:rPr>
        <w:t>(8)</w:t>
      </w:r>
    </w:p>
    <w:p>
      <w:pPr>
        <w:spacing w:after="0" w:line="14"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10.6</w:t>
      </w:r>
      <w:r>
        <w:rPr>
          <w:sz w:val="20"/>
          <w:szCs w:val="20"/>
          <w:color w:val="auto"/>
        </w:rPr>
        <w:tab/>
      </w:r>
      <w:hyperlink r:id="rId125">
        <w:r>
          <w:rPr>
            <w:rFonts w:ascii="Arial" w:cs="Arial" w:eastAsia="Arial" w:hAnsi="Arial"/>
            <w:sz w:val="14"/>
            <w:szCs w:val="14"/>
            <w:u w:val="single" w:color="auto"/>
            <w:color w:val="0000FF"/>
          </w:rPr>
          <w:t xml:space="preserve">Form of Sutter Rock Capital Corp. Non-Qualified Stock Option Award </w:t>
        </w:r>
      </w:hyperlink>
      <w:r>
        <w:rPr>
          <w:rFonts w:ascii="Arial" w:cs="Arial" w:eastAsia="Arial" w:hAnsi="Arial"/>
          <w:sz w:val="19"/>
          <w:szCs w:val="19"/>
          <w:color w:val="000000"/>
          <w:vertAlign w:val="superscript"/>
        </w:rPr>
        <w:t>(8)</w:t>
      </w:r>
    </w:p>
    <w:p>
      <w:pPr>
        <w:spacing w:after="0" w:line="14" w:lineRule="exact"/>
        <w:rPr>
          <w:sz w:val="20"/>
          <w:szCs w:val="20"/>
          <w:color w:val="auto"/>
        </w:rPr>
      </w:pPr>
    </w:p>
    <w:p>
      <w:pPr>
        <w:ind w:left="20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10.7</w:t>
      </w:r>
      <w:r>
        <w:rPr>
          <w:sz w:val="20"/>
          <w:szCs w:val="20"/>
          <w:color w:val="auto"/>
        </w:rPr>
        <w:tab/>
      </w:r>
      <w:hyperlink r:id="rId126">
        <w:r>
          <w:rPr>
            <w:rFonts w:ascii="Arial" w:cs="Arial" w:eastAsia="Arial" w:hAnsi="Arial"/>
            <w:sz w:val="13"/>
            <w:szCs w:val="13"/>
            <w:u w:val="single" w:color="auto"/>
            <w:color w:val="0000FF"/>
          </w:rPr>
          <w:t>Dividend Reinvestment Plan</w:t>
        </w:r>
      </w:hyperlink>
      <w:r>
        <w:rPr>
          <w:rFonts w:ascii="Arial" w:cs="Arial" w:eastAsia="Arial" w:hAnsi="Arial"/>
          <w:sz w:val="18"/>
          <w:szCs w:val="18"/>
          <w:color w:val="000000"/>
          <w:vertAlign w:val="superscript"/>
        </w:rPr>
        <w:t>(1)</w:t>
      </w:r>
    </w:p>
    <w:p>
      <w:pPr>
        <w:spacing w:after="0" w:line="203"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10.8</w:t>
      </w:r>
      <w:r>
        <w:rPr>
          <w:sz w:val="20"/>
          <w:szCs w:val="20"/>
          <w:color w:val="auto"/>
        </w:rPr>
        <w:tab/>
      </w:r>
      <w:hyperlink r:id="rId127">
        <w:r>
          <w:rPr>
            <w:rFonts w:ascii="Arial" w:cs="Arial" w:eastAsia="Arial" w:hAnsi="Arial"/>
            <w:sz w:val="14"/>
            <w:szCs w:val="14"/>
            <w:u w:val="single" w:color="auto"/>
            <w:color w:val="0000FF"/>
          </w:rPr>
          <w:t>Form of Indemnification Agreement by and between the Company and each of its directors</w:t>
        </w:r>
      </w:hyperlink>
      <w:r>
        <w:rPr>
          <w:rFonts w:ascii="Arial" w:cs="Arial" w:eastAsia="Arial" w:hAnsi="Arial"/>
          <w:sz w:val="19"/>
          <w:szCs w:val="19"/>
          <w:color w:val="000000"/>
          <w:vertAlign w:val="superscript"/>
        </w:rPr>
        <w:t>(1)</w:t>
      </w:r>
    </w:p>
    <w:p>
      <w:pPr>
        <w:spacing w:after="0" w:line="199" w:lineRule="exact"/>
        <w:rPr>
          <w:sz w:val="20"/>
          <w:szCs w:val="20"/>
          <w:color w:val="auto"/>
        </w:rPr>
      </w:pPr>
    </w:p>
    <w:p>
      <w:pPr>
        <w:ind w:left="200"/>
        <w:spacing w:after="0"/>
        <w:tabs>
          <w:tab w:leader="none" w:pos="680" w:val="left"/>
        </w:tabs>
        <w:rPr>
          <w:rFonts w:ascii="Arial" w:cs="Arial" w:eastAsia="Arial" w:hAnsi="Arial"/>
          <w:sz w:val="13"/>
          <w:szCs w:val="13"/>
          <w:u w:val="single" w:color="auto"/>
          <w:color w:val="0000FF"/>
        </w:rPr>
      </w:pPr>
      <w:r>
        <w:rPr>
          <w:rFonts w:ascii="Arial" w:cs="Arial" w:eastAsia="Arial" w:hAnsi="Arial"/>
          <w:sz w:val="15"/>
          <w:szCs w:val="15"/>
          <w:color w:val="auto"/>
        </w:rPr>
        <w:t>10.9</w:t>
      </w:r>
      <w:r>
        <w:rPr>
          <w:sz w:val="20"/>
          <w:szCs w:val="20"/>
          <w:color w:val="auto"/>
        </w:rPr>
        <w:tab/>
      </w:r>
      <w:hyperlink r:id="rId128">
        <w:r>
          <w:rPr>
            <w:rFonts w:ascii="Arial" w:cs="Arial" w:eastAsia="Arial" w:hAnsi="Arial"/>
            <w:sz w:val="13"/>
            <w:szCs w:val="13"/>
            <w:u w:val="single" w:color="auto"/>
            <w:color w:val="0000FF"/>
          </w:rPr>
          <w:t>Custody Agreement by and between the Company and U.S. Bank National Association</w:t>
        </w:r>
      </w:hyperlink>
      <w:r>
        <w:rPr>
          <w:rFonts w:ascii="Arial" w:cs="Arial" w:eastAsia="Arial" w:hAnsi="Arial"/>
          <w:sz w:val="18"/>
          <w:szCs w:val="18"/>
          <w:color w:val="000000"/>
          <w:vertAlign w:val="superscript"/>
        </w:rPr>
        <w:t>(9)</w:t>
      </w:r>
    </w:p>
    <w:p>
      <w:pPr>
        <w:spacing w:after="0" w:line="212"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14.1</w:t>
      </w:r>
      <w:r>
        <w:rPr>
          <w:sz w:val="20"/>
          <w:szCs w:val="20"/>
          <w:color w:val="auto"/>
        </w:rPr>
        <w:tab/>
      </w:r>
      <w:hyperlink w:anchor="page150">
        <w:r>
          <w:rPr>
            <w:rFonts w:ascii="Arial" w:cs="Arial" w:eastAsia="Arial" w:hAnsi="Arial"/>
            <w:sz w:val="14"/>
            <w:szCs w:val="14"/>
            <w:u w:val="single" w:color="auto"/>
            <w:color w:val="0000FF"/>
          </w:rPr>
          <w:t>Code of Ethics</w:t>
        </w:r>
      </w:hyperlink>
      <w:r>
        <w:rPr>
          <w:rFonts w:ascii="Arial" w:cs="Arial" w:eastAsia="Arial" w:hAnsi="Arial"/>
          <w:sz w:val="14"/>
          <w:szCs w:val="14"/>
          <w:color w:val="000000"/>
        </w:rPr>
        <w:t>*</w:t>
      </w:r>
    </w:p>
    <w:p>
      <w:pPr>
        <w:spacing w:after="0" w:line="245"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14.2</w:t>
      </w:r>
      <w:r>
        <w:rPr>
          <w:sz w:val="20"/>
          <w:szCs w:val="20"/>
          <w:color w:val="auto"/>
        </w:rPr>
        <w:tab/>
      </w:r>
      <w:hyperlink w:anchor="page165">
        <w:r>
          <w:rPr>
            <w:rFonts w:ascii="Arial" w:cs="Arial" w:eastAsia="Arial" w:hAnsi="Arial"/>
            <w:sz w:val="14"/>
            <w:szCs w:val="14"/>
            <w:u w:val="single" w:color="auto"/>
            <w:color w:val="0000FF"/>
          </w:rPr>
          <w:t>Code of Business Conduct and Ethics</w:t>
        </w:r>
      </w:hyperlink>
      <w:r>
        <w:rPr>
          <w:rFonts w:ascii="Arial" w:cs="Arial" w:eastAsia="Arial" w:hAnsi="Arial"/>
          <w:sz w:val="14"/>
          <w:szCs w:val="14"/>
          <w:color w:val="000000"/>
        </w:rPr>
        <w:t>*</w:t>
      </w:r>
    </w:p>
    <w:p>
      <w:pPr>
        <w:spacing w:after="0" w:line="60"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4"/>
          <w:szCs w:val="14"/>
          <w:color w:val="auto"/>
        </w:rPr>
        <w:t>List of Subsidiaries (Included in the notes to the consolidated financial statements contained in this report)*</w:t>
      </w:r>
    </w:p>
    <w:p>
      <w:pPr>
        <w:spacing w:after="0" w:line="245" w:lineRule="exact"/>
        <w:rPr>
          <w:sz w:val="20"/>
          <w:szCs w:val="20"/>
          <w:color w:val="auto"/>
        </w:rPr>
      </w:pPr>
    </w:p>
    <w:p>
      <w:pPr>
        <w:ind w:left="200"/>
        <w:spacing w:after="0"/>
        <w:tabs>
          <w:tab w:leader="none" w:pos="680" w:val="left"/>
        </w:tabs>
        <w:rPr>
          <w:rFonts w:ascii="Arial" w:cs="Arial" w:eastAsia="Arial" w:hAnsi="Arial"/>
          <w:sz w:val="14"/>
          <w:szCs w:val="14"/>
          <w:u w:val="single" w:color="auto"/>
          <w:color w:val="0000FF"/>
        </w:rPr>
      </w:pPr>
      <w:r>
        <w:rPr>
          <w:rFonts w:ascii="Arial" w:cs="Arial" w:eastAsia="Arial" w:hAnsi="Arial"/>
          <w:sz w:val="15"/>
          <w:szCs w:val="15"/>
          <w:color w:val="auto"/>
        </w:rPr>
        <w:t>31.1</w:t>
      </w:r>
      <w:r>
        <w:rPr>
          <w:sz w:val="20"/>
          <w:szCs w:val="20"/>
          <w:color w:val="auto"/>
        </w:rPr>
        <w:tab/>
      </w:r>
      <w:hyperlink w:anchor="page175">
        <w:r>
          <w:rPr>
            <w:rFonts w:ascii="Arial" w:cs="Arial" w:eastAsia="Arial" w:hAnsi="Arial"/>
            <w:sz w:val="14"/>
            <w:szCs w:val="14"/>
            <w:u w:val="single" w:color="auto"/>
            <w:color w:val="0000FF"/>
          </w:rPr>
          <w:t>Certification of Chief Executive Officer pursuant to Rule 13a-14 of the Securities Exchange Act of 1934, as amended*</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260"/>
          </w:cols>
          <w:pgMar w:left="320" w:top="124" w:right="319" w:bottom="1440" w:gutter="0" w:footer="0" w:header="0"/>
        </w:sectPr>
      </w:pPr>
    </w:p>
    <w:bookmarkStart w:id="141" w:name="page142"/>
    <w:bookmarkEnd w:id="141"/>
    <w:p>
      <w:pPr>
        <w:ind w:left="7"/>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7"/>
        <w:spacing w:after="0"/>
        <w:tabs>
          <w:tab w:leader="none" w:pos="687" w:val="left"/>
        </w:tabs>
        <w:rPr>
          <w:rFonts w:ascii="Arial" w:cs="Arial" w:eastAsia="Arial" w:hAnsi="Arial"/>
          <w:sz w:val="14"/>
          <w:szCs w:val="14"/>
          <w:u w:val="single" w:color="auto"/>
          <w:color w:val="0000FF"/>
        </w:rPr>
      </w:pPr>
      <w:r>
        <w:rPr>
          <w:rFonts w:ascii="Arial" w:cs="Arial" w:eastAsia="Arial" w:hAnsi="Arial"/>
          <w:sz w:val="15"/>
          <w:szCs w:val="15"/>
          <w:color w:val="auto"/>
        </w:rPr>
        <w:t>31.2</w:t>
      </w:r>
      <w:r>
        <w:rPr>
          <w:sz w:val="20"/>
          <w:szCs w:val="20"/>
          <w:color w:val="auto"/>
        </w:rPr>
        <w:tab/>
      </w:r>
      <w:hyperlink w:anchor="page176">
        <w:r>
          <w:rPr>
            <w:rFonts w:ascii="Arial" w:cs="Arial" w:eastAsia="Arial" w:hAnsi="Arial"/>
            <w:sz w:val="14"/>
            <w:szCs w:val="14"/>
            <w:u w:val="single" w:color="auto"/>
            <w:color w:val="0000FF"/>
          </w:rPr>
          <w:t>Certification of Chief Financial Officer pursuant to Rule 13a-14 of the Securities Exchange Act of 1934, as amended*</w:t>
        </w:r>
      </w:hyperlink>
    </w:p>
    <w:p>
      <w:pPr>
        <w:spacing w:after="0" w:line="60" w:lineRule="exact"/>
        <w:rPr>
          <w:sz w:val="20"/>
          <w:szCs w:val="20"/>
          <w:color w:val="auto"/>
        </w:rPr>
      </w:pPr>
    </w:p>
    <w:p>
      <w:pPr>
        <w:ind w:left="207"/>
        <w:spacing w:after="0"/>
        <w:tabs>
          <w:tab w:leader="none" w:pos="687" w:val="left"/>
        </w:tabs>
        <w:rPr>
          <w:rFonts w:ascii="Arial" w:cs="Arial" w:eastAsia="Arial" w:hAnsi="Arial"/>
          <w:sz w:val="14"/>
          <w:szCs w:val="14"/>
          <w:u w:val="single" w:color="auto"/>
          <w:color w:val="0000FF"/>
        </w:rPr>
      </w:pPr>
      <w:r>
        <w:rPr>
          <w:rFonts w:ascii="Arial" w:cs="Arial" w:eastAsia="Arial" w:hAnsi="Arial"/>
          <w:sz w:val="15"/>
          <w:szCs w:val="15"/>
          <w:color w:val="auto"/>
        </w:rPr>
        <w:t>32.1</w:t>
      </w:r>
      <w:r>
        <w:rPr>
          <w:sz w:val="20"/>
          <w:szCs w:val="20"/>
          <w:color w:val="auto"/>
        </w:rPr>
        <w:tab/>
      </w:r>
      <w:hyperlink w:anchor="page177">
        <w:r>
          <w:rPr>
            <w:rFonts w:ascii="Arial" w:cs="Arial" w:eastAsia="Arial" w:hAnsi="Arial"/>
            <w:sz w:val="14"/>
            <w:szCs w:val="14"/>
            <w:u w:val="single" w:color="auto"/>
            <w:color w:val="0000FF"/>
          </w:rPr>
          <w:t>Certification of Chief Executive Officer pursuant to Section 906 of the Sarbanes-Oxley Act of 2002*</w:t>
        </w:r>
      </w:hyperlink>
    </w:p>
    <w:p>
      <w:pPr>
        <w:spacing w:after="0" w:line="60" w:lineRule="exact"/>
        <w:rPr>
          <w:sz w:val="20"/>
          <w:szCs w:val="20"/>
          <w:color w:val="auto"/>
        </w:rPr>
      </w:pPr>
    </w:p>
    <w:p>
      <w:pPr>
        <w:ind w:left="207"/>
        <w:spacing w:after="0"/>
        <w:tabs>
          <w:tab w:leader="none" w:pos="687" w:val="left"/>
        </w:tabs>
        <w:rPr>
          <w:rFonts w:ascii="Arial" w:cs="Arial" w:eastAsia="Arial" w:hAnsi="Arial"/>
          <w:sz w:val="14"/>
          <w:szCs w:val="14"/>
          <w:u w:val="single" w:color="auto"/>
          <w:color w:val="0000FF"/>
        </w:rPr>
      </w:pPr>
      <w:r>
        <w:rPr>
          <w:rFonts w:ascii="Arial" w:cs="Arial" w:eastAsia="Arial" w:hAnsi="Arial"/>
          <w:sz w:val="15"/>
          <w:szCs w:val="15"/>
          <w:color w:val="auto"/>
        </w:rPr>
        <w:t>32.2</w:t>
      </w:r>
      <w:r>
        <w:rPr>
          <w:sz w:val="20"/>
          <w:szCs w:val="20"/>
          <w:color w:val="auto"/>
        </w:rPr>
        <w:tab/>
      </w:r>
      <w:hyperlink w:anchor="page178">
        <w:r>
          <w:rPr>
            <w:rFonts w:ascii="Arial" w:cs="Arial" w:eastAsia="Arial" w:hAnsi="Arial"/>
            <w:sz w:val="14"/>
            <w:szCs w:val="14"/>
            <w:u w:val="single" w:color="auto"/>
            <w:color w:val="0000FF"/>
          </w:rPr>
          <w:t>Certification of Chief Financial Officer pursuant to Section 906 of the Sarbanes-Oxley Act of 2002*</w:t>
        </w:r>
      </w:hyperlink>
    </w:p>
    <w:p>
      <w:pPr>
        <w:spacing w:after="0" w:line="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__________________</w:t>
      </w:r>
    </w:p>
    <w:p>
      <w:pPr>
        <w:spacing w:after="0" w:line="31" w:lineRule="exact"/>
        <w:rPr>
          <w:sz w:val="20"/>
          <w:szCs w:val="20"/>
          <w:color w:val="auto"/>
        </w:rPr>
      </w:pPr>
    </w:p>
    <w:p>
      <w:pPr>
        <w:ind w:left="427" w:hanging="427"/>
        <w:spacing w:after="0" w:line="291" w:lineRule="auto"/>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2 to the Registrant’s Registration Statement on Form N-2 (File No. 333-171578) filed on March 30, 2011, and incorporated by reference herein.</w:t>
      </w:r>
    </w:p>
    <w:p>
      <w:pPr>
        <w:spacing w:after="0" w:line="173" w:lineRule="exact"/>
        <w:rPr>
          <w:rFonts w:ascii="Arial" w:cs="Arial" w:eastAsia="Arial" w:hAnsi="Arial"/>
          <w:sz w:val="15"/>
          <w:szCs w:val="15"/>
          <w:color w:val="auto"/>
        </w:rPr>
      </w:pPr>
    </w:p>
    <w:p>
      <w:pPr>
        <w:ind w:left="427" w:hanging="427"/>
        <w:spacing w:after="0"/>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June 1, 2011, and incorporated by reference herein.</w:t>
      </w:r>
    </w:p>
    <w:p>
      <w:pPr>
        <w:spacing w:after="0" w:line="199" w:lineRule="exact"/>
        <w:rPr>
          <w:rFonts w:ascii="Arial" w:cs="Arial" w:eastAsia="Arial" w:hAnsi="Arial"/>
          <w:sz w:val="15"/>
          <w:szCs w:val="15"/>
          <w:color w:val="auto"/>
        </w:rPr>
      </w:pPr>
    </w:p>
    <w:p>
      <w:pPr>
        <w:ind w:left="427" w:hanging="427"/>
        <w:spacing w:after="0"/>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Current Report on Form 8-K (File No. 814-00852) filed on August 1, 2019, and incorporated by reference herein.</w:t>
      </w:r>
    </w:p>
    <w:p>
      <w:pPr>
        <w:spacing w:after="0" w:line="199" w:lineRule="exact"/>
        <w:rPr>
          <w:rFonts w:ascii="Arial" w:cs="Arial" w:eastAsia="Arial" w:hAnsi="Arial"/>
          <w:sz w:val="15"/>
          <w:szCs w:val="15"/>
          <w:color w:val="auto"/>
        </w:rPr>
      </w:pPr>
    </w:p>
    <w:p>
      <w:pPr>
        <w:ind w:left="427" w:right="20" w:hanging="427"/>
        <w:spacing w:after="0" w:line="291" w:lineRule="auto"/>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3 to the Registrant’s Registration Statement on Form N-2 (File No. 333-175655) filed on September 20, 2011, and incorporated by reference herein.</w:t>
      </w:r>
    </w:p>
    <w:p>
      <w:pPr>
        <w:spacing w:after="0" w:line="139" w:lineRule="exact"/>
        <w:rPr>
          <w:rFonts w:ascii="Arial" w:cs="Arial" w:eastAsia="Arial" w:hAnsi="Arial"/>
          <w:sz w:val="15"/>
          <w:szCs w:val="15"/>
          <w:color w:val="auto"/>
        </w:rPr>
      </w:pPr>
    </w:p>
    <w:p>
      <w:pPr>
        <w:ind w:left="427" w:hanging="427"/>
        <w:spacing w:after="0" w:line="291" w:lineRule="auto"/>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Post-Effective Amendment No. 3 to the Registrant’s Registration Statement on Form N-2 (File No. 333-191307) filed on March 28, 2018, and incorporated herein by reference.</w:t>
      </w:r>
    </w:p>
    <w:p>
      <w:pPr>
        <w:spacing w:after="0" w:line="139" w:lineRule="exact"/>
        <w:rPr>
          <w:rFonts w:ascii="Arial" w:cs="Arial" w:eastAsia="Arial" w:hAnsi="Arial"/>
          <w:sz w:val="15"/>
          <w:szCs w:val="15"/>
          <w:color w:val="auto"/>
        </w:rPr>
      </w:pPr>
    </w:p>
    <w:p>
      <w:pPr>
        <w:ind w:left="427" w:hanging="427"/>
        <w:spacing w:after="0"/>
        <w:tabs>
          <w:tab w:leader="none" w:pos="4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Previously filed in connection with the Registrant's Quarterly Report on Form 10-Q (File No. 814-00852) filed on May 9, 2019, and incorporated by reference herein.</w:t>
      </w:r>
    </w:p>
    <w:p>
      <w:pPr>
        <w:spacing w:after="0" w:line="210" w:lineRule="exact"/>
        <w:rPr>
          <w:rFonts w:ascii="Arial" w:cs="Arial" w:eastAsia="Arial" w:hAnsi="Arial"/>
          <w:sz w:val="14"/>
          <w:szCs w:val="14"/>
          <w:color w:val="auto"/>
        </w:rPr>
      </w:pPr>
    </w:p>
    <w:p>
      <w:pPr>
        <w:ind w:left="427" w:hanging="427"/>
        <w:spacing w:after="0"/>
        <w:tabs>
          <w:tab w:leader="none" w:pos="4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Previously filed in connection with the Registrant’s Current Report on Form 8-K (File No. 814-00852) filed on March 14, 2019, and incorporated by reference herein.</w:t>
      </w:r>
    </w:p>
    <w:p>
      <w:pPr>
        <w:spacing w:after="0" w:line="210" w:lineRule="exact"/>
        <w:rPr>
          <w:rFonts w:ascii="Arial" w:cs="Arial" w:eastAsia="Arial" w:hAnsi="Arial"/>
          <w:sz w:val="14"/>
          <w:szCs w:val="14"/>
          <w:color w:val="auto"/>
        </w:rPr>
      </w:pPr>
    </w:p>
    <w:p>
      <w:pPr>
        <w:ind w:left="427" w:hanging="427"/>
        <w:spacing w:after="0" w:line="291" w:lineRule="auto"/>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the Registrant's Registration Statement on Form S-8 (File No. 333-233755) filed on September 13, 2019, and incorporated by reference herein.</w:t>
      </w:r>
    </w:p>
    <w:p>
      <w:pPr>
        <w:spacing w:after="0" w:line="139" w:lineRule="exact"/>
        <w:rPr>
          <w:rFonts w:ascii="Arial" w:cs="Arial" w:eastAsia="Arial" w:hAnsi="Arial"/>
          <w:sz w:val="15"/>
          <w:szCs w:val="15"/>
          <w:color w:val="auto"/>
        </w:rPr>
      </w:pPr>
    </w:p>
    <w:p>
      <w:pPr>
        <w:ind w:left="427" w:right="20" w:hanging="427"/>
        <w:spacing w:after="0" w:line="291" w:lineRule="auto"/>
        <w:tabs>
          <w:tab w:leader="none" w:pos="427"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Previously filed in connection with Pre-Effective Amendment No. 3 to the Registrant’s Registration Statement on Form N-2 (File No. 333-171578) filed on April 15, 2011, and incorporated by reference herein.</w:t>
      </w:r>
    </w:p>
    <w:p>
      <w:pPr>
        <w:spacing w:after="0" w:line="139" w:lineRule="exact"/>
        <w:rPr>
          <w:sz w:val="20"/>
          <w:szCs w:val="20"/>
          <w:color w:val="auto"/>
        </w:rPr>
      </w:pPr>
    </w:p>
    <w:p>
      <w:pPr>
        <w:ind w:left="427" w:hanging="427"/>
        <w:spacing w:after="0"/>
        <w:tabs>
          <w:tab w:leader="none" w:pos="427" w:val="left"/>
        </w:tabs>
        <w:numPr>
          <w:ilvl w:val="0"/>
          <w:numId w:val="77"/>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9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67"/>
          </w:cols>
          <w:pgMar w:left="313" w:top="124" w:right="319" w:bottom="1440" w:gutter="0" w:footer="0" w:header="0"/>
        </w:sectPr>
      </w:pPr>
    </w:p>
    <w:bookmarkStart w:id="142" w:name="page143"/>
    <w:bookmarkEnd w:id="142"/>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05" w:lineRule="exact"/>
        <w:rPr>
          <w:sz w:val="20"/>
          <w:szCs w:val="20"/>
          <w:color w:val="auto"/>
        </w:rPr>
      </w:pPr>
    </w:p>
    <w:p>
      <w:pPr>
        <w:ind w:right="380" w:firstLine="279"/>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72"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SUTTER ROCK CAPITAL CORP.</w:t>
      </w:r>
    </w:p>
    <w:p>
      <w:pPr>
        <w:spacing w:after="0" w:line="344" w:lineRule="exact"/>
        <w:rPr>
          <w:sz w:val="20"/>
          <w:szCs w:val="20"/>
          <w:color w:val="auto"/>
        </w:rPr>
      </w:pPr>
    </w:p>
    <w:p>
      <w:pPr>
        <w:ind w:left="20"/>
        <w:spacing w:after="0"/>
        <w:tabs>
          <w:tab w:leader="none" w:pos="680" w:val="left"/>
          <w:tab w:leader="none" w:pos="5540" w:val="left"/>
          <w:tab w:leader="none" w:pos="598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March 13,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29845</wp:posOffset>
            </wp:positionV>
            <wp:extent cx="33547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3354705" cy="7620"/>
                    </a:xfrm>
                    <a:prstGeom prst="rect">
                      <a:avLst/>
                    </a:prstGeom>
                    <a:noFill/>
                  </pic:spPr>
                </pic:pic>
              </a:graphicData>
            </a:graphic>
          </wp:anchor>
        </w:drawing>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Mark D. Klein</w:t>
      </w:r>
    </w:p>
    <w:p>
      <w:pPr>
        <w:spacing w:after="0" w:line="66"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President and Chief Executive Officer</w:t>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(Principal Executive Officer)</w:t>
      </w:r>
    </w:p>
    <w:p>
      <w:pPr>
        <w:spacing w:after="0" w:line="338" w:lineRule="exact"/>
        <w:rPr>
          <w:sz w:val="20"/>
          <w:szCs w:val="20"/>
          <w:color w:val="auto"/>
        </w:rPr>
      </w:pPr>
    </w:p>
    <w:p>
      <w:pPr>
        <w:ind w:left="20"/>
        <w:spacing w:after="0"/>
        <w:tabs>
          <w:tab w:leader="none" w:pos="680" w:val="left"/>
          <w:tab w:leader="none" w:pos="5540" w:val="left"/>
          <w:tab w:leader="none" w:pos="598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March 13,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29845</wp:posOffset>
            </wp:positionV>
            <wp:extent cx="33547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354705" cy="7620"/>
                    </a:xfrm>
                    <a:prstGeom prst="rect">
                      <a:avLst/>
                    </a:prstGeom>
                    <a:noFill/>
                  </pic:spPr>
                </pic:pic>
              </a:graphicData>
            </a:graphic>
          </wp:anchor>
        </w:drawing>
      </w:r>
    </w:p>
    <w:p>
      <w:pPr>
        <w:spacing w:after="0" w:line="45" w:lineRule="exact"/>
        <w:rPr>
          <w:sz w:val="20"/>
          <w:szCs w:val="20"/>
          <w:color w:val="auto"/>
        </w:rPr>
      </w:pPr>
    </w:p>
    <w:p>
      <w:pPr>
        <w:ind w:left="6000"/>
        <w:spacing w:after="0"/>
        <w:rPr>
          <w:sz w:val="20"/>
          <w:szCs w:val="20"/>
          <w:color w:val="auto"/>
        </w:rPr>
      </w:pPr>
      <w:r>
        <w:rPr>
          <w:rFonts w:ascii="Arial" w:cs="Arial" w:eastAsia="Arial" w:hAnsi="Arial"/>
          <w:sz w:val="15"/>
          <w:szCs w:val="15"/>
          <w:b w:val="1"/>
          <w:bCs w:val="1"/>
          <w:color w:val="auto"/>
        </w:rPr>
        <w:t>Allison Green</w:t>
      </w:r>
    </w:p>
    <w:p>
      <w:pPr>
        <w:spacing w:after="0" w:line="66"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Chief Financial Officer, Treasurer, and Corporate Secretary</w:t>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(Principal Financial and Accounting Officer)</w:t>
      </w:r>
    </w:p>
    <w:p>
      <w:pPr>
        <w:spacing w:after="0" w:line="200" w:lineRule="exact"/>
        <w:rPr>
          <w:sz w:val="20"/>
          <w:szCs w:val="20"/>
          <w:color w:val="auto"/>
        </w:rPr>
      </w:pPr>
    </w:p>
    <w:p>
      <w:pPr>
        <w:spacing w:after="0" w:line="301" w:lineRule="exact"/>
        <w:rPr>
          <w:sz w:val="20"/>
          <w:szCs w:val="20"/>
          <w:color w:val="auto"/>
        </w:rPr>
      </w:pPr>
    </w:p>
    <w:p>
      <w:pPr>
        <w:ind w:right="60" w:firstLine="302"/>
        <w:spacing w:after="0" w:line="291"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9"/>
              </w:rPr>
              <w:t>/s/ Mark D. Klein</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rPr>
              <w:t>Mark D. Klein</w:t>
            </w:r>
          </w:p>
        </w:tc>
      </w:tr>
      <w:tr>
        <w:trPr>
          <w:trHeight w:val="186"/>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4"/>
              </w:rPr>
              <w:t>President and Chief Executive Officer</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7"/>
              </w:rPr>
              <w:t>(Principal Executive Officer)</w:t>
            </w:r>
          </w:p>
        </w:tc>
      </w:tr>
      <w:tr>
        <w:trPr>
          <w:trHeight w:val="232"/>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6"/>
              </w:rPr>
              <w:t>/s/ Allison Green</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w w:val="92"/>
              </w:rPr>
              <w:t>Allison Green</w:t>
            </w:r>
          </w:p>
        </w:tc>
      </w:tr>
      <w:tr>
        <w:trPr>
          <w:trHeight w:val="186"/>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3"/>
              </w:rPr>
              <w:t>Chief Financial Officer, Treasurer, and Corporate Secretary</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6"/>
              </w:rPr>
              <w:t>(Principal Financial and Accounting Officer)</w:t>
            </w:r>
          </w:p>
        </w:tc>
      </w:tr>
      <w:tr>
        <w:trPr>
          <w:trHeight w:val="232"/>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4"/>
              </w:rPr>
              <w:t>/s/ Leonard A. Potter</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w w:val="96"/>
              </w:rPr>
              <w:t>Leonard A. Potter</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8"/>
              </w:rPr>
              <w:t>Director</w:t>
            </w:r>
          </w:p>
        </w:tc>
      </w:tr>
      <w:tr>
        <w:trPr>
          <w:trHeight w:val="232"/>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6"/>
              </w:rPr>
              <w:t>/s/ Ronald M. Lott</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w w:val="97"/>
              </w:rPr>
              <w:t>Ronald M. Lott</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8"/>
              </w:rPr>
              <w:t>Director</w:t>
            </w:r>
          </w:p>
        </w:tc>
      </w:tr>
      <w:tr>
        <w:trPr>
          <w:trHeight w:val="232"/>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4"/>
              </w:rPr>
              <w:t>/s/ Marc Mazur</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rPr>
              <w:t>Marc Mazur</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8"/>
              </w:rPr>
              <w:t>Director</w:t>
            </w:r>
          </w:p>
        </w:tc>
      </w:tr>
      <w:tr>
        <w:trPr>
          <w:trHeight w:val="232"/>
        </w:trPr>
        <w:tc>
          <w:tcPr>
            <w:tcW w:w="2900" w:type="dxa"/>
            <w:vAlign w:val="bottom"/>
          </w:tcPr>
          <w:p>
            <w:pPr>
              <w:spacing w:after="0"/>
              <w:rPr>
                <w:sz w:val="20"/>
                <w:szCs w:val="20"/>
                <w:color w:val="auto"/>
              </w:rPr>
            </w:pPr>
            <w:r>
              <w:rPr>
                <w:rFonts w:ascii="Arial" w:cs="Arial" w:eastAsia="Arial" w:hAnsi="Arial"/>
                <w:sz w:val="15"/>
                <w:szCs w:val="15"/>
                <w:color w:val="auto"/>
              </w:rPr>
              <w:t>Date: March 13, 2020</w:t>
            </w:r>
          </w:p>
        </w:tc>
        <w:tc>
          <w:tcPr>
            <w:tcW w:w="1800" w:type="dxa"/>
            <w:vAlign w:val="bottom"/>
          </w:tcPr>
          <w:p>
            <w:pPr>
              <w:ind w:left="1560"/>
              <w:spacing w:after="0"/>
              <w:rPr>
                <w:sz w:val="20"/>
                <w:szCs w:val="20"/>
                <w:color w:val="auto"/>
              </w:rPr>
            </w:pPr>
            <w:r>
              <w:rPr>
                <w:rFonts w:ascii="Arial" w:cs="Arial" w:eastAsia="Arial" w:hAnsi="Arial"/>
                <w:sz w:val="15"/>
                <w:szCs w:val="15"/>
                <w:color w:val="auto"/>
              </w:rPr>
              <w:t>By:</w:t>
            </w:r>
          </w:p>
        </w:tc>
        <w:tc>
          <w:tcPr>
            <w:tcW w:w="6540" w:type="dxa"/>
            <w:vAlign w:val="bottom"/>
          </w:tcPr>
          <w:p>
            <w:pPr>
              <w:jc w:val="center"/>
              <w:spacing w:after="0"/>
              <w:rPr>
                <w:sz w:val="20"/>
                <w:szCs w:val="20"/>
                <w:color w:val="auto"/>
              </w:rPr>
            </w:pPr>
            <w:r>
              <w:rPr>
                <w:rFonts w:ascii="Arial" w:cs="Arial" w:eastAsia="Arial" w:hAnsi="Arial"/>
                <w:sz w:val="15"/>
                <w:szCs w:val="15"/>
                <w:color w:val="auto"/>
                <w:w w:val="93"/>
              </w:rPr>
              <w:t>/s/ Lisa Westley</w:t>
            </w:r>
          </w:p>
        </w:tc>
      </w:tr>
      <w:tr>
        <w:trPr>
          <w:trHeight w:val="35"/>
        </w:trPr>
        <w:tc>
          <w:tcPr>
            <w:tcW w:w="2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r>
      <w:tr>
        <w:trPr>
          <w:trHeight w:val="190"/>
        </w:trPr>
        <w:tc>
          <w:tcPr>
            <w:tcW w:w="2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540" w:type="dxa"/>
            <w:vAlign w:val="bottom"/>
          </w:tcPr>
          <w:p>
            <w:pPr>
              <w:jc w:val="center"/>
              <w:spacing w:after="0"/>
              <w:rPr>
                <w:sz w:val="20"/>
                <w:szCs w:val="20"/>
                <w:color w:val="auto"/>
              </w:rPr>
            </w:pPr>
            <w:r>
              <w:rPr>
                <w:rFonts w:ascii="Arial" w:cs="Arial" w:eastAsia="Arial" w:hAnsi="Arial"/>
                <w:sz w:val="15"/>
                <w:szCs w:val="15"/>
                <w:b w:val="1"/>
                <w:bCs w:val="1"/>
                <w:color w:val="auto"/>
                <w:w w:val="92"/>
              </w:rPr>
              <w:t>Lisa Westley</w:t>
            </w:r>
          </w:p>
        </w:tc>
      </w:tr>
      <w:tr>
        <w:trPr>
          <w:trHeight w:val="196"/>
        </w:trPr>
        <w:tc>
          <w:tcPr>
            <w:tcW w:w="2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Arial" w:cs="Arial" w:eastAsia="Arial" w:hAnsi="Arial"/>
                <w:sz w:val="15"/>
                <w:szCs w:val="15"/>
                <w:color w:val="auto"/>
                <w:w w:val="98"/>
              </w:rPr>
              <w:t>Director</w:t>
            </w:r>
          </w:p>
        </w:tc>
      </w:tr>
      <w:tr>
        <w:trPr>
          <w:trHeight w:val="581"/>
        </w:trPr>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540" w:type="dxa"/>
            <w:vAlign w:val="bottom"/>
          </w:tcPr>
          <w:p>
            <w:pPr>
              <w:jc w:val="right"/>
              <w:ind w:right="5443"/>
              <w:spacing w:after="0"/>
              <w:rPr>
                <w:sz w:val="20"/>
                <w:szCs w:val="20"/>
                <w:color w:val="auto"/>
              </w:rPr>
            </w:pPr>
            <w:r>
              <w:rPr>
                <w:rFonts w:ascii="Arial" w:cs="Arial" w:eastAsia="Arial" w:hAnsi="Arial"/>
                <w:sz w:val="15"/>
                <w:szCs w:val="15"/>
                <w:color w:val="auto"/>
              </w:rPr>
              <w:t>141</w:t>
            </w:r>
          </w:p>
        </w:tc>
      </w:tr>
    </w:tbl>
    <w:p>
      <w:pPr>
        <w:sectPr>
          <w:pgSz w:w="11900" w:h="16838" w:orient="portrait"/>
          <w:cols w:equalWidth="0" w:num="1">
            <w:col w:w="11260"/>
          </w:cols>
          <w:pgMar w:left="320" w:top="124" w:right="3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9"/>
          <w:szCs w:val="19"/>
          <w:b w:val="1"/>
          <w:bCs w:val="1"/>
          <w:color w:val="auto"/>
        </w:rPr>
        <w:t>Exhibit 4.4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SECURITIES</w:t>
      </w:r>
    </w:p>
    <w:p>
      <w:pPr>
        <w:spacing w:after="0" w:line="200" w:lineRule="exact"/>
        <w:rPr>
          <w:sz w:val="20"/>
          <w:szCs w:val="20"/>
          <w:color w:val="auto"/>
        </w:rPr>
      </w:pP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The following is a brief description of the securities of Sutter Rock Capital Corp. a Maryland corporation (the “Company,” “we,” “our” or “us”), registered pursuant to Section 12 of the Securities Exchange Act of 1934, as amended (the “Exchange Act”). This description of our securities does not purport to be complete and is subject to and qualified in its entirety by reference to the applicable provisions of Maryland General Corporation Law (the “MGCL”) and the full text of our charter and bylaws. As of December 31, 2019 and the date hereof, our common stock is the only securities that we have registered under Section 12 of the Exchange Act.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Stock</w:t>
      </w:r>
    </w:p>
    <w:p>
      <w:pPr>
        <w:spacing w:after="0" w:line="192"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As of December 31, 2019, our authorized stock consisted of 100,000,000 shares of stock, par value $0.01 per share, of which 17,564,244 shares were outstanding as of December 31, 2019. Our common stock is listed on the Nasdaq Capital Market under the ticker symbol “SSSS.” As of December 31, 2019, options issued under our 2019 Equity Incentive Plan allowing certain of our executive officers to purchase 1,125,000 shares of our common stock were outstanding. None of such options have been exercised. There are no outstanding warrants to purchase our common stock. Under Maryland law, our stockholders generally are not personally liable for our debts or obligations.</w:t>
      </w:r>
    </w:p>
    <w:p>
      <w:pPr>
        <w:spacing w:after="0" w:line="171"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w:t>
      </w:r>
    </w:p>
    <w:p>
      <w:pPr>
        <w:sectPr>
          <w:pgSz w:w="11900" w:h="16838" w:orient="portrait"/>
          <w:cols w:equalWidth="0" w:num="1">
            <w:col w:w="11260"/>
          </w:cols>
          <w:pgMar w:left="320" w:top="314" w:right="319" w:bottom="1440" w:gutter="0" w:footer="0" w:header="0"/>
        </w:sectPr>
      </w:pPr>
    </w:p>
    <w:bookmarkStart w:id="144" w:name="page145"/>
    <w:bookmarkEnd w:id="144"/>
    <w:p>
      <w:pPr>
        <w:ind w:right="60"/>
        <w:spacing w:after="0" w:line="263" w:lineRule="auto"/>
        <w:rPr>
          <w:sz w:val="20"/>
          <w:szCs w:val="20"/>
          <w:color w:val="auto"/>
        </w:rPr>
      </w:pPr>
      <w:r>
        <w:rPr>
          <w:rFonts w:ascii="Arial" w:cs="Arial" w:eastAsia="Arial" w:hAnsi="Arial"/>
          <w:sz w:val="19"/>
          <w:szCs w:val="19"/>
          <w:color w:val="auto"/>
        </w:rPr>
        <w:t>of directors, which means that holders of a majority of the outstanding shares of common stock can elect all of our directors, and holders of less than a majority of such shares will be unable to elect any director.</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Provisions of the Maryland General Corporation Law and Our Charter and Bylaws</w:t>
      </w:r>
    </w:p>
    <w:p>
      <w:pPr>
        <w:spacing w:after="0" w:line="22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Maryland General Corporation Law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of directors. We expect the benefits of these provisions outweigh the potential disadvantages of discouraging any such acquisition proposals because, among other things, the negotiation of such proposals may improve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Classified Board of Directors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current terms of the first, second and third classes expire in 2021, 2022, and 2020, respectively, and in each case, those directors will serve until their successors are elected and qualify.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Election of Directors</w:t>
      </w:r>
    </w:p>
    <w:p>
      <w:pPr>
        <w:spacing w:after="0" w:line="223" w:lineRule="exact"/>
        <w:rPr>
          <w:sz w:val="20"/>
          <w:szCs w:val="20"/>
          <w:color w:val="auto"/>
        </w:rPr>
      </w:pPr>
    </w:p>
    <w:p>
      <w:pPr>
        <w:ind w:right="20"/>
        <w:spacing w:after="0" w:line="397" w:lineRule="auto"/>
        <w:rPr>
          <w:sz w:val="20"/>
          <w:szCs w:val="20"/>
          <w:color w:val="auto"/>
        </w:rPr>
      </w:pPr>
      <w:r>
        <w:rPr>
          <w:rFonts w:ascii="Arial" w:cs="Arial" w:eastAsia="Arial" w:hAnsi="Arial"/>
          <w:sz w:val="15"/>
          <w:szCs w:val="15"/>
          <w:color w:val="auto"/>
        </w:rPr>
        <w:t>Our bylaws, as authorized by our charter, provide that a plurality of all the votes cast at a meeting of stockholders duly called and at which a quorum is present is required to elect a director. Pursuant to our charter our board of directors may amend the bylaws to alter the vote required to elect directors.</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Number of Directors; Vacancies; Removal</w:t>
      </w:r>
    </w:p>
    <w:p>
      <w:pPr>
        <w:spacing w:after="0" w:line="223"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Maryland General Corporation Law regarding the filling of vacancies on the board of directors. Accordingly, at such time, except as may be provided by the board of</w:t>
      </w:r>
    </w:p>
    <w:p>
      <w:pPr>
        <w:sectPr>
          <w:pgSz w:w="11900" w:h="16838" w:orient="portrait"/>
          <w:cols w:equalWidth="0" w:num="1">
            <w:col w:w="11240"/>
          </w:cols>
          <w:pgMar w:left="320" w:top="318" w:right="339" w:bottom="1440" w:gutter="0" w:footer="0" w:header="0"/>
        </w:sectPr>
      </w:pPr>
    </w:p>
    <w:bookmarkStart w:id="145" w:name="page146"/>
    <w:bookmarkEnd w:id="145"/>
    <w:p>
      <w:pPr>
        <w:ind w:right="140"/>
        <w:spacing w:after="0" w:line="288" w:lineRule="auto"/>
        <w:rPr>
          <w:sz w:val="20"/>
          <w:szCs w:val="20"/>
          <w:color w:val="auto"/>
        </w:rPr>
      </w:pPr>
      <w:r>
        <w:rPr>
          <w:rFonts w:ascii="Arial" w:cs="Arial" w:eastAsia="Arial" w:hAnsi="Arial"/>
          <w:sz w:val="17"/>
          <w:szCs w:val="17"/>
          <w:color w:val="auto"/>
        </w:rPr>
        <w:t>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Investment Company Act of 1940, as amended (the “1940 Act”).</w:t>
      </w:r>
    </w:p>
    <w:p>
      <w:pPr>
        <w:spacing w:after="0" w:line="165" w:lineRule="exact"/>
        <w:rPr>
          <w:sz w:val="20"/>
          <w:szCs w:val="20"/>
          <w:color w:val="auto"/>
        </w:rPr>
      </w:pPr>
    </w:p>
    <w:p>
      <w:pPr>
        <w:ind w:right="360"/>
        <w:spacing w:after="0" w:line="263" w:lineRule="auto"/>
        <w:rPr>
          <w:sz w:val="20"/>
          <w:szCs w:val="20"/>
          <w:color w:val="auto"/>
        </w:rPr>
      </w:pPr>
      <w:r>
        <w:rPr>
          <w:rFonts w:ascii="Arial" w:cs="Arial" w:eastAsia="Arial" w:hAnsi="Arial"/>
          <w:sz w:val="19"/>
          <w:szCs w:val="19"/>
          <w:color w:val="auto"/>
        </w:rPr>
        <w:t>Our charter provides that a director may be removed only for cause, as defined in our charter, and then only by the affirmative vote of at least two-thirds of the votes entitled to be cast in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Action by Stockholders</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Advance Notice Provisions for Stockholder Nominations and Stockholder Proposals</w:t>
      </w: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w:t>
      </w:r>
    </w:p>
    <w:p>
      <w:pPr>
        <w:sectPr>
          <w:pgSz w:w="11900" w:h="16838" w:orient="portrait"/>
          <w:cols w:equalWidth="0" w:num="1">
            <w:col w:w="11240"/>
          </w:cols>
          <w:pgMar w:left="320" w:top="318" w:right="33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whether consideration of such nominees or proposals might be harmful or beneficial to us and our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Calling of Special Meetings of Stockholders</w:t>
      </w:r>
    </w:p>
    <w:p>
      <w:pPr>
        <w:spacing w:after="0" w:line="223" w:lineRule="exact"/>
        <w:rPr>
          <w:sz w:val="20"/>
          <w:szCs w:val="20"/>
          <w:color w:val="auto"/>
        </w:rPr>
      </w:pPr>
    </w:p>
    <w:p>
      <w:pPr>
        <w:ind w:right="80"/>
        <w:spacing w:after="0" w:line="249" w:lineRule="auto"/>
        <w:rPr>
          <w:sz w:val="20"/>
          <w:szCs w:val="20"/>
          <w:color w:val="auto"/>
        </w:rPr>
      </w:pPr>
      <w:r>
        <w:rPr>
          <w:rFonts w:ascii="Arial" w:cs="Arial" w:eastAsia="Arial" w:hAnsi="Arial"/>
          <w:sz w:val="19"/>
          <w:szCs w:val="19"/>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Approval of Extraordinary Corporate Action; Amendment of Charter and Bylaws</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the following matters require the approval of stockholders entitled to cast at least 80% of the votes entitled to be cast: (i) certain charter amendments; (ii) any proposal for our conversion, whether by merger or otherwise, from a closed-end company to an open-end company; (iii) any proposal for our liquidation or dissolution; or (iv) any proposal regarding a merger, consolidation, share exchange or sale or exchange of all or substantially all of our assets that the Maryland General Corporation Law requires to be approved by our stockholders.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 In any event, in accordance with the requirements of the 1940 Act, any amendment or proposal that would have the effect of changing the nature of our business so as to cause us to cease to be, or to withdraw our election as, a business development company would be required to be approved by a majority of our outstanding voting securities, as defined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Our charter and bylaws provide that the board of directors will have the exclusive power to make, alter, amend or repeal any provision of our bylaws.</w:t>
      </w:r>
    </w:p>
    <w:p>
      <w:pPr>
        <w:sectPr>
          <w:pgSz w:w="11900" w:h="16838" w:orient="portrait"/>
          <w:cols w:equalWidth="0" w:num="1">
            <w:col w:w="11220"/>
          </w:cols>
          <w:pgMar w:left="320" w:top="318" w:right="35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b w:val="1"/>
          <w:bCs w:val="1"/>
          <w:i w:val="1"/>
          <w:iCs w:val="1"/>
          <w:color w:val="auto"/>
        </w:rPr>
        <w:t>No Appraisal Rights</w:t>
      </w:r>
    </w:p>
    <w:p>
      <w:pPr>
        <w:spacing w:after="0" w:line="22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Control Share Acquisitions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Maryland General Corporation Law, pursuant to the Control Share Act (the “Control Share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increasing ranges of voting power listed in the Control Share Act. The requisite stockholder approval must be obtained each time an acquiror crosses one of the thresholds of voting power.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certain provisions of the Control Share Act would, if implemented, violate Section 18(i) of the 1940 Act.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223"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42" w:lineRule="exact"/>
        <w:rPr>
          <w:sz w:val="20"/>
          <w:szCs w:val="20"/>
          <w:color w:val="auto"/>
        </w:rPr>
      </w:pPr>
    </w:p>
    <w:p>
      <w:pPr>
        <w:ind w:left="800" w:hanging="436"/>
        <w:spacing w:after="0"/>
        <w:tabs>
          <w:tab w:leader="none" w:pos="8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person who beneficially owns 10% or more of the voting power of the corporation’s outstanding voting stock; or</w:t>
      </w:r>
    </w:p>
    <w:p>
      <w:pPr>
        <w:spacing w:after="0" w:line="118" w:lineRule="exact"/>
        <w:rPr>
          <w:sz w:val="20"/>
          <w:szCs w:val="20"/>
          <w:color w:val="auto"/>
        </w:rPr>
      </w:pPr>
    </w:p>
    <w:p>
      <w:pPr>
        <w:ind w:right="480"/>
        <w:spacing w:after="0" w:line="263" w:lineRule="auto"/>
        <w:rPr>
          <w:sz w:val="20"/>
          <w:szCs w:val="20"/>
          <w:color w:val="auto"/>
        </w:rPr>
      </w:pPr>
      <w:r>
        <w:rPr>
          <w:rFonts w:ascii="Arial" w:cs="Arial" w:eastAsia="Arial" w:hAnsi="Arial"/>
          <w:sz w:val="19"/>
          <w:szCs w:val="19"/>
          <w:color w:val="auto"/>
        </w:rPr>
        <w:t>A person is not an interested stockholder under this statute if the board of directors approved in advance the transaction by which the stockholder otherwise would have become an interested</w:t>
      </w:r>
    </w:p>
    <w:p>
      <w:pPr>
        <w:sectPr>
          <w:pgSz w:w="11900" w:h="16838" w:orient="portrait"/>
          <w:cols w:equalWidth="0" w:num="1">
            <w:col w:w="11260"/>
          </w:cols>
          <w:pgMar w:left="320" w:top="318" w:right="319" w:bottom="1440" w:gutter="0" w:footer="0" w:header="0"/>
        </w:sectPr>
      </w:pPr>
    </w:p>
    <w:bookmarkStart w:id="148" w:name="page149"/>
    <w:bookmarkEnd w:id="148"/>
    <w:p>
      <w:pPr>
        <w:ind w:right="160"/>
        <w:spacing w:after="0" w:line="263" w:lineRule="auto"/>
        <w:rPr>
          <w:sz w:val="20"/>
          <w:szCs w:val="20"/>
          <w:color w:val="auto"/>
        </w:rPr>
      </w:pPr>
      <w:r>
        <w:rPr>
          <w:rFonts w:ascii="Arial" w:cs="Arial" w:eastAsia="Arial" w:hAnsi="Arial"/>
          <w:sz w:val="19"/>
          <w:szCs w:val="19"/>
          <w:color w:val="auto"/>
        </w:rPr>
        <w:t>stockholder. However, in approving a transaction, the board of directors may provide that its approval is subject to compliance, at or after the time of approval, with any terms and conditions determined by the board of directors.</w:t>
      </w:r>
    </w:p>
    <w:p>
      <w:pPr>
        <w:spacing w:after="0" w:line="90" w:lineRule="exact"/>
        <w:rPr>
          <w:sz w:val="20"/>
          <w:szCs w:val="20"/>
          <w:color w:val="auto"/>
        </w:rPr>
      </w:pPr>
    </w:p>
    <w:p>
      <w:pPr>
        <w:ind w:left="800" w:right="480" w:hanging="436"/>
        <w:spacing w:after="0" w:line="250" w:lineRule="auto"/>
        <w:tabs>
          <w:tab w:leader="none" w:pos="8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311" w:lineRule="exact"/>
        <w:rPr>
          <w:sz w:val="20"/>
          <w:szCs w:val="20"/>
          <w:color w:val="auto"/>
        </w:rPr>
      </w:pPr>
    </w:p>
    <w:p>
      <w:pPr>
        <w:ind w:right="760"/>
        <w:spacing w:after="0" w:line="263" w:lineRule="auto"/>
        <w:rPr>
          <w:sz w:val="20"/>
          <w:szCs w:val="20"/>
          <w:color w:val="auto"/>
        </w:rPr>
      </w:pPr>
      <w:r>
        <w:rPr>
          <w:rFonts w:ascii="Arial" w:cs="Arial" w:eastAsia="Arial" w:hAnsi="Arial"/>
          <w:sz w:val="19"/>
          <w:szCs w:val="19"/>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83" w:lineRule="exact"/>
        <w:rPr>
          <w:sz w:val="20"/>
          <w:szCs w:val="20"/>
          <w:color w:val="auto"/>
        </w:rPr>
      </w:pPr>
    </w:p>
    <w:p>
      <w:pPr>
        <w:ind w:left="800" w:hanging="436"/>
        <w:spacing w:after="0"/>
        <w:tabs>
          <w:tab w:leader="none" w:pos="8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80% of the votes entitled to be cast by holders of outstanding shares of voting stock of the corporation; and</w:t>
      </w:r>
    </w:p>
    <w:p>
      <w:pPr>
        <w:spacing w:after="0" w:line="118" w:lineRule="exact"/>
        <w:rPr>
          <w:sz w:val="20"/>
          <w:szCs w:val="20"/>
          <w:color w:val="auto"/>
        </w:rPr>
      </w:pPr>
    </w:p>
    <w:p>
      <w:pPr>
        <w:ind w:right="160"/>
        <w:spacing w:after="0" w:line="395" w:lineRule="auto"/>
        <w:rPr>
          <w:sz w:val="20"/>
          <w:szCs w:val="20"/>
          <w:color w:val="auto"/>
        </w:rPr>
      </w:pPr>
      <w:r>
        <w:rPr>
          <w:rFonts w:ascii="Arial" w:cs="Arial" w:eastAsia="Arial" w:hAnsi="Arial"/>
          <w:sz w:val="15"/>
          <w:szCs w:val="15"/>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 w:lineRule="exact"/>
        <w:rPr>
          <w:sz w:val="20"/>
          <w:szCs w:val="20"/>
          <w:color w:val="auto"/>
        </w:rPr>
      </w:pPr>
    </w:p>
    <w:p>
      <w:pPr>
        <w:ind w:left="800" w:right="160" w:hanging="436"/>
        <w:spacing w:after="0"/>
        <w:tabs>
          <w:tab w:leader="none" w:pos="8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32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Conflict with 1940 Act</w:t>
      </w:r>
    </w:p>
    <w:p>
      <w:pPr>
        <w:spacing w:after="0" w:line="223"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ectPr>
          <w:pgSz w:w="11900" w:h="16838" w:orient="portrait"/>
          <w:cols w:equalWidth="0" w:num="1">
            <w:col w:w="11220"/>
          </w:cols>
          <w:pgMar w:left="320" w:top="318" w:right="359" w:bottom="1440" w:gutter="0" w:footer="0" w:header="0"/>
        </w:sectPr>
      </w:pPr>
    </w:p>
    <w:bookmarkStart w:id="149" w:name="page150"/>
    <w:bookmarkEnd w:id="149"/>
    <w:p>
      <w:pPr>
        <w:ind w:left="10300"/>
        <w:spacing w:after="0"/>
        <w:rPr>
          <w:sz w:val="20"/>
          <w:szCs w:val="20"/>
          <w:color w:val="auto"/>
        </w:rPr>
      </w:pPr>
      <w:r>
        <w:rPr>
          <w:rFonts w:ascii="Arial" w:cs="Arial" w:eastAsia="Arial" w:hAnsi="Arial"/>
          <w:sz w:val="18"/>
          <w:szCs w:val="18"/>
          <w:b w:val="1"/>
          <w:bCs w:val="1"/>
          <w:color w:val="auto"/>
        </w:rPr>
        <w:t>Exhibit 14.1</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CODE OF ETHICS</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FOR</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SUTTER ROCK CAPITAL CORP.</w:t>
      </w:r>
    </w:p>
    <w:p>
      <w:pPr>
        <w:spacing w:after="0" w:line="304"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7"/>
          <w:szCs w:val="17"/>
          <w:b w:val="1"/>
          <w:bCs w:val="1"/>
          <w:color w:val="auto"/>
        </w:rPr>
        <w:t>Section I.</w:t>
      </w:r>
      <w:r>
        <w:rPr>
          <w:sz w:val="20"/>
          <w:szCs w:val="20"/>
          <w:color w:val="auto"/>
        </w:rPr>
        <w:tab/>
      </w:r>
      <w:r>
        <w:rPr>
          <w:rFonts w:ascii="Arial" w:cs="Arial" w:eastAsia="Arial" w:hAnsi="Arial"/>
          <w:sz w:val="15"/>
          <w:szCs w:val="15"/>
          <w:b w:val="1"/>
          <w:bCs w:val="1"/>
          <w:color w:val="auto"/>
        </w:rPr>
        <w:t>Statement of General Fiduciary Principles</w:t>
      </w:r>
    </w:p>
    <w:p>
      <w:pPr>
        <w:spacing w:after="0" w:line="110" w:lineRule="exact"/>
        <w:rPr>
          <w:sz w:val="20"/>
          <w:szCs w:val="20"/>
          <w:color w:val="auto"/>
        </w:rPr>
      </w:pPr>
    </w:p>
    <w:p>
      <w:pPr>
        <w:jc w:val="both"/>
        <w:ind w:left="80" w:right="80" w:firstLine="464"/>
        <w:spacing w:after="0" w:line="294" w:lineRule="auto"/>
        <w:rPr>
          <w:sz w:val="20"/>
          <w:szCs w:val="20"/>
          <w:color w:val="auto"/>
        </w:rPr>
      </w:pPr>
      <w:r>
        <w:rPr>
          <w:rFonts w:ascii="Arial" w:cs="Arial" w:eastAsia="Arial" w:hAnsi="Arial"/>
          <w:sz w:val="15"/>
          <w:szCs w:val="15"/>
          <w:color w:val="auto"/>
        </w:rPr>
        <w:t>This Code of Ethics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has been adopted by Sutter Rock Capital Corp.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 or “</w:t>
      </w:r>
      <w:r>
        <w:rPr>
          <w:rFonts w:ascii="Arial" w:cs="Arial" w:eastAsia="Arial" w:hAnsi="Arial"/>
          <w:sz w:val="15"/>
          <w:szCs w:val="15"/>
          <w:b w:val="1"/>
          <w:bCs w:val="1"/>
          <w:i w:val="1"/>
          <w:iCs w:val="1"/>
          <w:color w:val="auto"/>
        </w:rPr>
        <w:t>Sutter Rock</w:t>
      </w:r>
      <w:r>
        <w:rPr>
          <w:rFonts w:ascii="Arial" w:cs="Arial" w:eastAsia="Arial" w:hAnsi="Arial"/>
          <w:sz w:val="15"/>
          <w:szCs w:val="15"/>
          <w:color w:val="auto"/>
        </w:rPr>
        <w:t>”) in compliance with Rule 17j-1 under the Investment Company Act of 1940, as amended (the “</w:t>
      </w:r>
      <w:r>
        <w:rPr>
          <w:rFonts w:ascii="Arial" w:cs="Arial" w:eastAsia="Arial" w:hAnsi="Arial"/>
          <w:sz w:val="15"/>
          <w:szCs w:val="15"/>
          <w:b w:val="1"/>
          <w:bCs w:val="1"/>
          <w:i w:val="1"/>
          <w:iCs w:val="1"/>
          <w:color w:val="auto"/>
        </w:rPr>
        <w:t>Act</w:t>
      </w:r>
      <w:r>
        <w:rPr>
          <w:rFonts w:ascii="Arial" w:cs="Arial" w:eastAsia="Arial" w:hAnsi="Arial"/>
          <w:sz w:val="15"/>
          <w:szCs w:val="15"/>
          <w:color w:val="auto"/>
        </w:rPr>
        <w: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under the Act (“</w:t>
      </w:r>
      <w:r>
        <w:rPr>
          <w:rFonts w:ascii="Arial" w:cs="Arial" w:eastAsia="Arial" w:hAnsi="Arial"/>
          <w:sz w:val="15"/>
          <w:szCs w:val="15"/>
          <w:b w:val="1"/>
          <w:bCs w:val="1"/>
          <w:i w:val="1"/>
          <w:iCs w:val="1"/>
          <w:color w:val="auto"/>
        </w:rPr>
        <w:t>Rule 17j-1</w:t>
      </w:r>
      <w:r>
        <w:rPr>
          <w:rFonts w:ascii="Arial" w:cs="Arial" w:eastAsia="Arial" w:hAnsi="Arial"/>
          <w:sz w:val="15"/>
          <w:szCs w:val="15"/>
          <w:color w:val="auto"/>
        </w:rPr>
        <w:t>”) are appropriately to be addressed.</w:t>
      </w:r>
    </w:p>
    <w:p>
      <w:pPr>
        <w:spacing w:after="0" w:line="142" w:lineRule="exact"/>
        <w:rPr>
          <w:sz w:val="20"/>
          <w:szCs w:val="20"/>
          <w:color w:val="auto"/>
        </w:rPr>
      </w:pPr>
    </w:p>
    <w:p>
      <w:pPr>
        <w:jc w:val="both"/>
        <w:ind w:left="80" w:right="80" w:firstLine="464"/>
        <w:spacing w:after="0" w:line="267" w:lineRule="auto"/>
        <w:rPr>
          <w:sz w:val="20"/>
          <w:szCs w:val="20"/>
          <w:color w:val="auto"/>
        </w:rPr>
      </w:pPr>
      <w:r>
        <w:rPr>
          <w:rFonts w:ascii="Arial" w:cs="Arial" w:eastAsia="Arial" w:hAnsi="Arial"/>
          <w:sz w:val="16"/>
          <w:szCs w:val="16"/>
          <w:color w:val="auto"/>
        </w:rPr>
        <w:t>The Code is based on the principle that the directors, officers and employees of the Corporation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officers and employees of the Corporation (“</w:t>
      </w:r>
      <w:r>
        <w:rPr>
          <w:rFonts w:ascii="Arial" w:cs="Arial" w:eastAsia="Arial" w:hAnsi="Arial"/>
          <w:sz w:val="16"/>
          <w:szCs w:val="16"/>
          <w:b w:val="1"/>
          <w:bCs w:val="1"/>
          <w:i w:val="1"/>
          <w:iCs w:val="1"/>
          <w:color w:val="auto"/>
        </w:rPr>
        <w:t>Covered Persons</w:t>
      </w:r>
      <w:r>
        <w:rPr>
          <w:rFonts w:ascii="Arial" w:cs="Arial" w:eastAsia="Arial" w:hAnsi="Arial"/>
          <w:sz w:val="16"/>
          <w:szCs w:val="16"/>
          <w:color w:val="auto"/>
        </w:rPr>
        <w:t>”) are expected to adhere to this general principle as well as to comply with all of the specific provisions of this Code applicable to them. In addition, all Covered Persons must comply with applicable federal securities laws and must report violations of the Code to the Corporation’s Chief Compliance Officer (“</w:t>
      </w:r>
      <w:r>
        <w:rPr>
          <w:rFonts w:ascii="Arial" w:cs="Arial" w:eastAsia="Arial" w:hAnsi="Arial"/>
          <w:sz w:val="16"/>
          <w:szCs w:val="16"/>
          <w:b w:val="1"/>
          <w:bCs w:val="1"/>
          <w:i w:val="1"/>
          <w:iCs w:val="1"/>
          <w:color w:val="auto"/>
        </w:rPr>
        <w:t>CCO</w:t>
      </w:r>
      <w:r>
        <w:rPr>
          <w:rFonts w:ascii="Arial" w:cs="Arial" w:eastAsia="Arial" w:hAnsi="Arial"/>
          <w:sz w:val="16"/>
          <w:szCs w:val="16"/>
          <w:color w:val="auto"/>
        </w:rPr>
        <w:t>”).</w:t>
      </w:r>
    </w:p>
    <w:p>
      <w:pPr>
        <w:spacing w:after="0" w:line="161" w:lineRule="exact"/>
        <w:rPr>
          <w:sz w:val="20"/>
          <w:szCs w:val="20"/>
          <w:color w:val="auto"/>
        </w:rPr>
      </w:pPr>
    </w:p>
    <w:p>
      <w:pPr>
        <w:jc w:val="both"/>
        <w:ind w:left="80" w:right="80" w:firstLine="464"/>
        <w:spacing w:after="0" w:line="250" w:lineRule="auto"/>
        <w:rPr>
          <w:sz w:val="20"/>
          <w:szCs w:val="20"/>
          <w:color w:val="auto"/>
        </w:rPr>
      </w:pPr>
      <w:r>
        <w:rPr>
          <w:rFonts w:ascii="Arial" w:cs="Arial" w:eastAsia="Arial" w:hAnsi="Arial"/>
          <w:sz w:val="17"/>
          <w:szCs w:val="17"/>
          <w:color w:val="auto"/>
        </w:rPr>
        <w:t>Technical compliance with the Code will not automatically insulate any Covered Person from scrutiny of transactions that show a pattern of compromise or abuse of the individual’s fiduciary duty to the Corporation. Accordingly, all Covered Persons must seek to avoid any actual or potential conflicts between their personal interests and the interests of the Corporation and its stockholders. In sum, all Covered Persons shall place the interests of the Corporation and its investors before their own personal interests.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Covered Persons must read and retain this Code.</w:t>
      </w:r>
    </w:p>
    <w:p>
      <w:pPr>
        <w:spacing w:after="0" w:line="230"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7"/>
          <w:szCs w:val="17"/>
          <w:b w:val="1"/>
          <w:bCs w:val="1"/>
          <w:color w:val="auto"/>
        </w:rPr>
        <w:t>Section II.</w:t>
      </w:r>
      <w:r>
        <w:rPr>
          <w:sz w:val="20"/>
          <w:szCs w:val="20"/>
          <w:color w:val="auto"/>
        </w:rPr>
        <w:tab/>
      </w:r>
      <w:r>
        <w:rPr>
          <w:rFonts w:ascii="Arial" w:cs="Arial" w:eastAsia="Arial" w:hAnsi="Arial"/>
          <w:sz w:val="15"/>
          <w:szCs w:val="15"/>
          <w:b w:val="1"/>
          <w:bCs w:val="1"/>
          <w:color w:val="auto"/>
        </w:rPr>
        <w:t>Definitions</w:t>
      </w:r>
    </w:p>
    <w:p>
      <w:pPr>
        <w:spacing w:after="0" w:line="261" w:lineRule="exact"/>
        <w:rPr>
          <w:sz w:val="20"/>
          <w:szCs w:val="20"/>
          <w:color w:val="auto"/>
        </w:rPr>
      </w:pPr>
    </w:p>
    <w:p>
      <w:pPr>
        <w:ind w:left="360" w:hanging="274"/>
        <w:spacing w:after="0"/>
        <w:tabs>
          <w:tab w:leader="none" w:pos="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Access Person</w:t>
      </w:r>
      <w:r>
        <w:rPr>
          <w:rFonts w:ascii="Arial" w:cs="Arial" w:eastAsia="Arial" w:hAnsi="Arial"/>
          <w:sz w:val="17"/>
          <w:szCs w:val="17"/>
          <w:color w:val="auto"/>
        </w:rPr>
        <w:t>” means any director, employee, officer or Advisory Person (as defined below) of the Corporation.</w:t>
      </w:r>
    </w:p>
    <w:p>
      <w:pPr>
        <w:spacing w:after="0" w:line="303" w:lineRule="exact"/>
        <w:rPr>
          <w:rFonts w:ascii="Arial" w:cs="Arial" w:eastAsia="Arial" w:hAnsi="Arial"/>
          <w:sz w:val="17"/>
          <w:szCs w:val="17"/>
          <w:color w:val="auto"/>
        </w:rPr>
      </w:pPr>
    </w:p>
    <w:p>
      <w:pPr>
        <w:jc w:val="both"/>
        <w:ind w:left="420" w:right="80" w:hanging="334"/>
        <w:spacing w:after="0" w:line="267" w:lineRule="auto"/>
        <w:tabs>
          <w:tab w:leader="none" w:pos="376"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i w:val="1"/>
          <w:iCs w:val="1"/>
          <w:color w:val="auto"/>
        </w:rPr>
        <w:t>Advisory Person</w:t>
      </w:r>
      <w:r>
        <w:rPr>
          <w:rFonts w:ascii="Arial" w:cs="Arial" w:eastAsia="Arial" w:hAnsi="Arial"/>
          <w:sz w:val="16"/>
          <w:szCs w:val="16"/>
          <w:color w:val="auto"/>
        </w:rPr>
        <w:t>” of the Corporation means: (i) any director, officer or employee of the Corporation or any company in a Control (as defined below) relationship to the Corporation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who obtains information concerning recommendations made to the Corporation with regard to the purchase or sale of any Covered Security by the Corporation.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325" w:right="239" w:bottom="1440" w:gutter="0" w:footer="0" w:header="0"/>
        </w:sectPr>
      </w:pPr>
    </w:p>
    <w:bookmarkStart w:id="150" w:name="page151"/>
    <w:bookmarkEnd w:id="150"/>
    <w:p>
      <w:pPr>
        <w:jc w:val="both"/>
        <w:ind w:left="420" w:right="80" w:hanging="334"/>
        <w:spacing w:after="0" w:line="254" w:lineRule="auto"/>
        <w:tabs>
          <w:tab w:leader="none" w:pos="3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Ownership</w:t>
      </w:r>
      <w:r>
        <w:rPr>
          <w:rFonts w:ascii="Arial" w:cs="Arial" w:eastAsia="Arial" w:hAnsi="Arial"/>
          <w:sz w:val="17"/>
          <w:szCs w:val="17"/>
          <w:color w:val="auto"/>
        </w:rPr>
        <w:t>” is interpreted in the same manner as it would be under Rule 16a-1(a)(2)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in determining whether a person is a beneficial owner of a security for purposes of Section 16 of the Exchange Act and the rules and regulations thereunder.</w:t>
      </w:r>
    </w:p>
    <w:p>
      <w:pPr>
        <w:spacing w:after="0" w:line="168" w:lineRule="exact"/>
        <w:rPr>
          <w:rFonts w:ascii="Arial" w:cs="Arial" w:eastAsia="Arial" w:hAnsi="Arial"/>
          <w:sz w:val="17"/>
          <w:szCs w:val="17"/>
          <w:color w:val="auto"/>
        </w:rPr>
      </w:pPr>
    </w:p>
    <w:p>
      <w:pPr>
        <w:ind w:left="360" w:hanging="274"/>
        <w:spacing w:after="0"/>
        <w:tabs>
          <w:tab w:leader="none" w:pos="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CCO</w:t>
      </w:r>
      <w:r>
        <w:rPr>
          <w:rFonts w:ascii="Arial" w:cs="Arial" w:eastAsia="Arial" w:hAnsi="Arial"/>
          <w:sz w:val="17"/>
          <w:szCs w:val="17"/>
          <w:color w:val="auto"/>
        </w:rPr>
        <w:t>” means the Chief Compliance Officer of the Corporation.</w:t>
      </w:r>
    </w:p>
    <w:p>
      <w:pPr>
        <w:spacing w:after="0" w:line="234" w:lineRule="exact"/>
        <w:rPr>
          <w:rFonts w:ascii="Arial" w:cs="Arial" w:eastAsia="Arial" w:hAnsi="Arial"/>
          <w:sz w:val="17"/>
          <w:szCs w:val="17"/>
          <w:color w:val="auto"/>
        </w:rPr>
      </w:pPr>
    </w:p>
    <w:p>
      <w:pPr>
        <w:ind w:left="420" w:right="80" w:hanging="334"/>
        <w:spacing w:after="0" w:line="267" w:lineRule="auto"/>
        <w:tabs>
          <w:tab w:leader="none" w:pos="3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shall have the same meaning as that set forth in Section 2(a)(9) of the Act, and generally means the power to exercise a controlling influence over the management or policies of a company, unless such power is solely the result of an official position with such company.</w:t>
      </w:r>
    </w:p>
    <w:p>
      <w:pPr>
        <w:spacing w:after="0" w:line="192" w:lineRule="exact"/>
        <w:rPr>
          <w:rFonts w:ascii="Arial" w:cs="Arial" w:eastAsia="Arial" w:hAnsi="Arial"/>
          <w:sz w:val="17"/>
          <w:szCs w:val="17"/>
          <w:color w:val="auto"/>
        </w:rPr>
      </w:pPr>
    </w:p>
    <w:p>
      <w:pPr>
        <w:ind w:left="420" w:right="100" w:hanging="334"/>
        <w:spacing w:after="0" w:line="267" w:lineRule="auto"/>
        <w:tabs>
          <w:tab w:leader="none" w:pos="357"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means any director, officer or employee (including a temporary employee) of the Corporation, or of any of the Corporation’s affiliates or subsidiaries, and any other persons so designated by the CCO.</w:t>
      </w:r>
    </w:p>
    <w:p>
      <w:pPr>
        <w:spacing w:after="0" w:line="192" w:lineRule="exact"/>
        <w:rPr>
          <w:rFonts w:ascii="Arial" w:cs="Arial" w:eastAsia="Arial" w:hAnsi="Arial"/>
          <w:sz w:val="17"/>
          <w:szCs w:val="17"/>
          <w:color w:val="auto"/>
        </w:rPr>
      </w:pPr>
    </w:p>
    <w:p>
      <w:pPr>
        <w:jc w:val="both"/>
        <w:ind w:left="420" w:right="80" w:hanging="334"/>
        <w:spacing w:after="0" w:line="264" w:lineRule="auto"/>
        <w:tabs>
          <w:tab w:leader="none" w:pos="3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Security</w:t>
      </w:r>
      <w:r>
        <w:rPr>
          <w:rFonts w:ascii="Arial" w:cs="Arial" w:eastAsia="Arial" w:hAnsi="Arial"/>
          <w:sz w:val="16"/>
          <w:szCs w:val="16"/>
          <w:color w:val="auto"/>
        </w:rPr>
        <w:t>” means a security as defined in Section 2(a)(36) of the Act, including: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97" w:lineRule="exact"/>
        <w:rPr>
          <w:sz w:val="20"/>
          <w:szCs w:val="20"/>
          <w:color w:val="auto"/>
        </w:rPr>
      </w:pPr>
    </w:p>
    <w:p>
      <w:pPr>
        <w:jc w:val="both"/>
        <w:ind w:left="420" w:right="80"/>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Covered Security</w:t>
      </w:r>
      <w:r>
        <w:rPr>
          <w:rFonts w:ascii="Arial" w:cs="Arial" w:eastAsia="Arial" w:hAnsi="Arial"/>
          <w:sz w:val="15"/>
          <w:szCs w:val="15"/>
          <w:color w:val="auto"/>
        </w:rPr>
        <w:t>”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w:t>
      </w:r>
      <w:r>
        <w:rPr>
          <w:rFonts w:ascii="Arial" w:cs="Arial" w:eastAsia="Arial" w:hAnsi="Arial"/>
          <w:sz w:val="15"/>
          <w:szCs w:val="15"/>
          <w:i w:val="1"/>
          <w:iCs w:val="1"/>
          <w:color w:val="auto"/>
        </w:rPr>
        <w:t>e.g.</w:t>
      </w:r>
      <w:r>
        <w:rPr>
          <w:rFonts w:ascii="Arial" w:cs="Arial" w:eastAsia="Arial" w:hAnsi="Arial"/>
          <w:sz w:val="15"/>
          <w:szCs w:val="15"/>
          <w:color w:val="auto"/>
        </w:rPr>
        <w:t>,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Arial" w:cs="Arial" w:eastAsia="Arial" w:hAnsi="Arial"/>
          <w:sz w:val="15"/>
          <w:szCs w:val="15"/>
          <w:b w:val="1"/>
          <w:bCs w:val="1"/>
          <w:i w:val="1"/>
          <w:iCs w:val="1"/>
          <w:color w:val="auto"/>
        </w:rPr>
        <w:t>Derivatives</w:t>
      </w:r>
      <w:r>
        <w:rPr>
          <w:rFonts w:ascii="Arial" w:cs="Arial" w:eastAsia="Arial" w:hAnsi="Arial"/>
          <w:sz w:val="15"/>
          <w:szCs w:val="15"/>
          <w:color w:val="auto"/>
        </w:rPr>
        <w:t>”).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84" w:lineRule="exact"/>
        <w:rPr>
          <w:sz w:val="20"/>
          <w:szCs w:val="20"/>
          <w:color w:val="auto"/>
        </w:rPr>
      </w:pPr>
    </w:p>
    <w:p>
      <w:pPr>
        <w:ind w:left="420" w:right="100" w:hanging="334"/>
        <w:spacing w:after="0" w:line="267" w:lineRule="auto"/>
        <w:tabs>
          <w:tab w:leader="none" w:pos="374"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means a director of the Corporation who is not an “interested person” of the Corporation within the meaning of Section 2(a)(19) of the Act.</w:t>
      </w:r>
    </w:p>
    <w:p>
      <w:pPr>
        <w:spacing w:after="0" w:line="192" w:lineRule="exact"/>
        <w:rPr>
          <w:rFonts w:ascii="Arial" w:cs="Arial" w:eastAsia="Arial" w:hAnsi="Arial"/>
          <w:sz w:val="17"/>
          <w:szCs w:val="17"/>
          <w:color w:val="auto"/>
        </w:rPr>
      </w:pPr>
    </w:p>
    <w:p>
      <w:pPr>
        <w:ind w:left="420" w:right="80" w:hanging="334"/>
        <w:spacing w:after="0" w:line="267" w:lineRule="auto"/>
        <w:tabs>
          <w:tab w:leader="none" w:pos="331"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Public Offering</w:t>
      </w:r>
      <w:r>
        <w:rPr>
          <w:rFonts w:ascii="Arial" w:cs="Arial" w:eastAsia="Arial" w:hAnsi="Arial"/>
          <w:sz w:val="17"/>
          <w:szCs w:val="17"/>
          <w:color w:val="auto"/>
        </w:rPr>
        <w:t>” means an offering of securities registered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the issuer of which, immediately before the registration, was not subject to the reporting requirements of Sections 13 or 15(d) of the Exchange Act.</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543" w:right="239" w:bottom="1440" w:gutter="0" w:footer="0" w:header="0"/>
        </w:sectPr>
      </w:pPr>
    </w:p>
    <w:bookmarkStart w:id="151" w:name="page152"/>
    <w:bookmarkEnd w:id="151"/>
    <w:p>
      <w:pPr>
        <w:ind w:left="420" w:right="80" w:hanging="334"/>
        <w:spacing w:after="0" w:line="250" w:lineRule="auto"/>
        <w:tabs>
          <w:tab w:leader="none" w:pos="317"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 Persons</w:t>
      </w:r>
      <w:r>
        <w:rPr>
          <w:rFonts w:ascii="Arial" w:cs="Arial" w:eastAsia="Arial" w:hAnsi="Arial"/>
          <w:sz w:val="17"/>
          <w:szCs w:val="17"/>
          <w:color w:val="auto"/>
        </w:rPr>
        <w:t>” of the Corporation means: (i) any employee of the Corporation (or of any company in a Control relationship to the Corporation) who, in connection with his or her regular functions or duties, makes or participates in making recommendations regarding the purchase or sale of securities by the Corporation; and (ii) any natural person who controls the Corporation and who obtains information concerning recommendations made to the Corporation regarding the purchase or sale of securities by the Corporation.</w:t>
      </w:r>
    </w:p>
    <w:p>
      <w:pPr>
        <w:spacing w:after="0" w:line="207" w:lineRule="exact"/>
        <w:rPr>
          <w:rFonts w:ascii="Arial" w:cs="Arial" w:eastAsia="Arial" w:hAnsi="Arial"/>
          <w:sz w:val="17"/>
          <w:szCs w:val="17"/>
          <w:color w:val="auto"/>
        </w:rPr>
      </w:pPr>
    </w:p>
    <w:p>
      <w:pPr>
        <w:ind w:left="420" w:right="100" w:hanging="334"/>
        <w:spacing w:after="0" w:line="267" w:lineRule="auto"/>
        <w:tabs>
          <w:tab w:leader="none" w:pos="374"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Limited Offering</w:t>
      </w:r>
      <w:r>
        <w:rPr>
          <w:rFonts w:ascii="Arial" w:cs="Arial" w:eastAsia="Arial" w:hAnsi="Arial"/>
          <w:sz w:val="17"/>
          <w:szCs w:val="17"/>
          <w:color w:val="auto"/>
        </w:rPr>
        <w:t>” means an offering that is exempt from registration under the 1933 Act pursuant to Section 4(2) or Section 4(6) thereof or pursuant to Rule 504, Rule 505, or Rule 506 thereunder.</w:t>
      </w:r>
    </w:p>
    <w:p>
      <w:pPr>
        <w:spacing w:after="0" w:line="192" w:lineRule="exact"/>
        <w:rPr>
          <w:rFonts w:ascii="Arial" w:cs="Arial" w:eastAsia="Arial" w:hAnsi="Arial"/>
          <w:sz w:val="17"/>
          <w:szCs w:val="17"/>
          <w:color w:val="auto"/>
        </w:rPr>
      </w:pPr>
    </w:p>
    <w:p>
      <w:pPr>
        <w:ind w:left="420" w:right="80" w:hanging="334"/>
        <w:spacing w:after="0" w:line="254" w:lineRule="auto"/>
        <w:tabs>
          <w:tab w:leader="none" w:pos="3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Held or to be Acquired</w:t>
      </w:r>
      <w:r>
        <w:rPr>
          <w:rFonts w:ascii="Arial" w:cs="Arial" w:eastAsia="Arial" w:hAnsi="Arial"/>
          <w:sz w:val="17"/>
          <w:szCs w:val="17"/>
          <w:color w:val="auto"/>
        </w:rPr>
        <w:t>” by the Corporation means: (i) any Covered Security which, within the most recent 15 days: (A) is or has been held by the Corporation; or (B) is being or has been considered by the Corporation for purchase by the Corporation; and (ii) any option to purchase or sell, and any security convertible into or exchangeable for, a Covered Security described in Section II(L)(i) above.</w:t>
      </w:r>
    </w:p>
    <w:p>
      <w:pPr>
        <w:spacing w:after="0" w:line="203" w:lineRule="exact"/>
        <w:rPr>
          <w:rFonts w:ascii="Arial" w:cs="Arial" w:eastAsia="Arial" w:hAnsi="Arial"/>
          <w:sz w:val="17"/>
          <w:szCs w:val="17"/>
          <w:color w:val="auto"/>
        </w:rPr>
      </w:pPr>
    </w:p>
    <w:p>
      <w:pPr>
        <w:jc w:val="both"/>
        <w:ind w:left="420" w:right="80" w:hanging="334"/>
        <w:spacing w:after="0" w:line="250" w:lineRule="auto"/>
        <w:tabs>
          <w:tab w:leader="none" w:pos="402"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List</w:t>
      </w:r>
      <w:r>
        <w:rPr>
          <w:rFonts w:ascii="Arial" w:cs="Arial" w:eastAsia="Arial" w:hAnsi="Arial"/>
          <w:sz w:val="17"/>
          <w:szCs w:val="17"/>
          <w:color w:val="auto"/>
        </w:rPr>
        <w:t>” means the list promulgated and periodically updated by the CCO, in consultation with the Corporation’s Chief Investment Officer or his/her designee, which lists all of the Covered Securities that (1) the Corporation has purchased or sold within the last 15 calendar days, or is purchasing or selling or intends to purchase or sell within the next 15 calendar days; or that (2) the Corporation has within the last 15 calendar days considered purchasing or selling. or within the next 15 calendar days intends to consider purchasing or selling.</w:t>
      </w:r>
    </w:p>
    <w:p>
      <w:pPr>
        <w:spacing w:after="0" w:line="250" w:lineRule="exact"/>
        <w:rPr>
          <w:sz w:val="20"/>
          <w:szCs w:val="20"/>
          <w:color w:val="auto"/>
        </w:rPr>
      </w:pPr>
    </w:p>
    <w:p>
      <w:pPr>
        <w:ind w:left="80"/>
        <w:spacing w:after="0"/>
        <w:tabs>
          <w:tab w:leader="none" w:pos="1040" w:val="left"/>
        </w:tabs>
        <w:rPr>
          <w:sz w:val="20"/>
          <w:szCs w:val="20"/>
          <w:color w:val="auto"/>
        </w:rPr>
      </w:pPr>
      <w:r>
        <w:rPr>
          <w:rFonts w:ascii="Arial" w:cs="Arial" w:eastAsia="Arial" w:hAnsi="Arial"/>
          <w:sz w:val="17"/>
          <w:szCs w:val="17"/>
          <w:b w:val="1"/>
          <w:bCs w:val="1"/>
          <w:color w:val="auto"/>
        </w:rPr>
        <w:t>Section III.</w:t>
      </w:r>
      <w:r>
        <w:rPr>
          <w:sz w:val="20"/>
          <w:szCs w:val="20"/>
          <w:color w:val="auto"/>
        </w:rPr>
        <w:tab/>
      </w:r>
      <w:r>
        <w:rPr>
          <w:rFonts w:ascii="Arial" w:cs="Arial" w:eastAsia="Arial" w:hAnsi="Arial"/>
          <w:sz w:val="15"/>
          <w:szCs w:val="15"/>
          <w:b w:val="1"/>
          <w:bCs w:val="1"/>
          <w:color w:val="auto"/>
        </w:rPr>
        <w:t>Objective and General Prohibitions</w:t>
      </w:r>
    </w:p>
    <w:p>
      <w:pPr>
        <w:spacing w:after="0" w:line="238" w:lineRule="exact"/>
        <w:rPr>
          <w:sz w:val="20"/>
          <w:szCs w:val="20"/>
          <w:color w:val="auto"/>
        </w:rPr>
      </w:pPr>
    </w:p>
    <w:p>
      <w:pPr>
        <w:jc w:val="both"/>
        <w:ind w:left="80" w:right="100" w:firstLine="464"/>
        <w:spacing w:after="0" w:line="304" w:lineRule="auto"/>
        <w:rPr>
          <w:sz w:val="20"/>
          <w:szCs w:val="20"/>
          <w:color w:val="auto"/>
        </w:rPr>
      </w:pPr>
      <w:r>
        <w:rPr>
          <w:rFonts w:ascii="Arial" w:cs="Arial" w:eastAsia="Arial" w:hAnsi="Arial"/>
          <w:sz w:val="15"/>
          <w:szCs w:val="15"/>
          <w:color w:val="auto"/>
        </w:rPr>
        <w:t>Covered Persons may not engage in any investment transaction under circumstances in which the Covered Person benefits from or interferes with the purchase or sale of investments by the Corporation. In addition, Covered Persons may not use information concerning the investments or investment intentions of the Corporation, or their ability to influence such investment intentions, for personal gain or in a manner detrimental to the interests of the Corporation.</w:t>
      </w:r>
    </w:p>
    <w:p>
      <w:pPr>
        <w:spacing w:after="0" w:line="134" w:lineRule="exact"/>
        <w:rPr>
          <w:sz w:val="20"/>
          <w:szCs w:val="20"/>
          <w:color w:val="auto"/>
        </w:rPr>
      </w:pPr>
    </w:p>
    <w:p>
      <w:pPr>
        <w:jc w:val="both"/>
        <w:ind w:left="80" w:right="80" w:firstLine="464"/>
        <w:spacing w:after="0" w:line="304" w:lineRule="auto"/>
        <w:rPr>
          <w:sz w:val="20"/>
          <w:szCs w:val="20"/>
          <w:color w:val="auto"/>
        </w:rPr>
      </w:pPr>
      <w:r>
        <w:rPr>
          <w:rFonts w:ascii="Arial" w:cs="Arial" w:eastAsia="Arial" w:hAnsi="Arial"/>
          <w:sz w:val="15"/>
          <w:szCs w:val="15"/>
          <w:color w:val="auto"/>
        </w:rPr>
        <w:t>Covered Persons may not engage in conduct that is deceitful, fraudulent or manipulative, or that involves false or misleading statements, in connection with the purchase or sale of investments by the Corporation. In this regard, Covered Persons should recognize that Rule 17j-1 makes it unlawful for any affiliated person of the Corporation in connection with the purchase or sale, directly or indirectly, by the person of a Security Held or to be Acquired by the Corporation to:</w:t>
      </w:r>
    </w:p>
    <w:p>
      <w:pPr>
        <w:spacing w:after="0" w:line="134" w:lineRule="exact"/>
        <w:rPr>
          <w:sz w:val="20"/>
          <w:szCs w:val="20"/>
          <w:color w:val="auto"/>
        </w:rPr>
      </w:pPr>
    </w:p>
    <w:p>
      <w:pPr>
        <w:ind w:left="560" w:hanging="509"/>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employ any device, scheme or artifice to defraud the Corporation or its investors;</w:t>
      </w:r>
    </w:p>
    <w:p>
      <w:pPr>
        <w:spacing w:after="0" w:line="199" w:lineRule="exact"/>
        <w:rPr>
          <w:rFonts w:ascii="Arial" w:cs="Arial" w:eastAsia="Arial" w:hAnsi="Arial"/>
          <w:sz w:val="17"/>
          <w:szCs w:val="17"/>
          <w:color w:val="auto"/>
        </w:rPr>
      </w:pPr>
    </w:p>
    <w:p>
      <w:pPr>
        <w:ind w:left="560" w:right="100" w:hanging="509"/>
        <w:spacing w:after="0" w:line="267" w:lineRule="auto"/>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make any untrue statement of a material fact to the Corporation or its investors or omit to state to the Corporation or its investors a material fact necessary in order to make the statements made, in light of the circumstances under which they are made, not misleading;</w:t>
      </w:r>
    </w:p>
    <w:p>
      <w:pPr>
        <w:spacing w:after="0" w:line="157" w:lineRule="exact"/>
        <w:rPr>
          <w:rFonts w:ascii="Arial" w:cs="Arial" w:eastAsia="Arial" w:hAnsi="Arial"/>
          <w:sz w:val="17"/>
          <w:szCs w:val="17"/>
          <w:color w:val="auto"/>
        </w:rPr>
      </w:pPr>
    </w:p>
    <w:p>
      <w:pPr>
        <w:ind w:left="560" w:hanging="509"/>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engage in any act, practice or course of business that operates or would operate as a fraud or deceit upon the Corporation or its investors; or</w:t>
      </w:r>
    </w:p>
    <w:p>
      <w:pPr>
        <w:spacing w:after="0" w:line="199" w:lineRule="exact"/>
        <w:rPr>
          <w:rFonts w:ascii="Arial" w:cs="Arial" w:eastAsia="Arial" w:hAnsi="Arial"/>
          <w:sz w:val="17"/>
          <w:szCs w:val="17"/>
          <w:color w:val="auto"/>
        </w:rPr>
      </w:pPr>
    </w:p>
    <w:p>
      <w:pPr>
        <w:ind w:left="560" w:hanging="509"/>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engage in any manipulative practice with respect to the Corporation or its investors.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311" w:right="239" w:bottom="1440" w:gutter="0" w:footer="0" w:header="0"/>
        </w:sectPr>
      </w:pPr>
    </w:p>
    <w:bookmarkStart w:id="152" w:name="page153"/>
    <w:bookmarkEnd w:id="152"/>
    <w:p>
      <w:pPr>
        <w:ind w:left="80" w:right="80" w:firstLine="464"/>
        <w:spacing w:after="0" w:line="267" w:lineRule="auto"/>
        <w:rPr>
          <w:sz w:val="20"/>
          <w:szCs w:val="20"/>
          <w:color w:val="auto"/>
        </w:rPr>
      </w:pPr>
      <w:r>
        <w:rPr>
          <w:rFonts w:ascii="Arial" w:cs="Arial" w:eastAsia="Arial" w:hAnsi="Arial"/>
          <w:sz w:val="17"/>
          <w:szCs w:val="17"/>
          <w:color w:val="auto"/>
        </w:rPr>
        <w:t>Covered Persons should also recognize that a violation of this Code or of Rule 17j-1 may result in the imposition of: (1) sanctions as provided by Section VIII below; or (2) administrative, civil and, in certain cases, criminal fines, sanctions or penalties.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Covered Persons are required to comply with applicable federal securities laws.</w:t>
      </w:r>
    </w:p>
    <w:p>
      <w:pPr>
        <w:spacing w:after="0" w:line="200" w:lineRule="exact"/>
        <w:rPr>
          <w:sz w:val="20"/>
          <w:szCs w:val="20"/>
          <w:color w:val="auto"/>
        </w:rPr>
      </w:pPr>
    </w:p>
    <w:p>
      <w:pPr>
        <w:spacing w:after="0" w:line="262"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7"/>
          <w:szCs w:val="17"/>
          <w:b w:val="1"/>
          <w:bCs w:val="1"/>
          <w:color w:val="auto"/>
        </w:rPr>
        <w:t>Section IV.</w:t>
      </w:r>
      <w:r>
        <w:rPr>
          <w:sz w:val="20"/>
          <w:szCs w:val="20"/>
          <w:color w:val="auto"/>
        </w:rPr>
        <w:tab/>
      </w:r>
      <w:r>
        <w:rPr>
          <w:rFonts w:ascii="Arial" w:cs="Arial" w:eastAsia="Arial" w:hAnsi="Arial"/>
          <w:sz w:val="15"/>
          <w:szCs w:val="15"/>
          <w:b w:val="1"/>
          <w:bCs w:val="1"/>
          <w:color w:val="auto"/>
        </w:rPr>
        <w:t>Prohibited Transactions</w:t>
      </w:r>
    </w:p>
    <w:p>
      <w:pPr>
        <w:spacing w:after="0" w:line="238" w:lineRule="exact"/>
        <w:rPr>
          <w:sz w:val="20"/>
          <w:szCs w:val="20"/>
          <w:color w:val="auto"/>
        </w:rPr>
      </w:pPr>
    </w:p>
    <w:p>
      <w:pPr>
        <w:jc w:val="both"/>
        <w:ind w:left="360" w:right="100" w:hanging="274"/>
        <w:spacing w:after="0" w:line="254" w:lineRule="auto"/>
        <w:tabs>
          <w:tab w:leader="none" w:pos="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Access Person may not, without first obtaining pre-clearance approval, either from the CCO directly in writing (using the “Pre-Clearance Request” form attached as Schedule A, or such similar form as the CCO may hereafter approve (hereinafter, the “Pre-Clearance Request Form”)) or through the online reporting system, which is monitored and overseen by the CCO or his/her designees (the “</w:t>
      </w:r>
      <w:r>
        <w:rPr>
          <w:rFonts w:ascii="Arial" w:cs="Arial" w:eastAsia="Arial" w:hAnsi="Arial"/>
          <w:sz w:val="17"/>
          <w:szCs w:val="17"/>
          <w:b w:val="1"/>
          <w:bCs w:val="1"/>
          <w:i w:val="1"/>
          <w:iCs w:val="1"/>
          <w:color w:val="auto"/>
        </w:rPr>
        <w:t>System</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920" w:right="80" w:hanging="277"/>
        <w:spacing w:after="0" w:line="267" w:lineRule="auto"/>
        <w:tabs>
          <w:tab w:leader="none" w:pos="9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purchase or otherwise acquire direct or indirect Beneficial Ownership of any security on the Restricted List, or of any Covered Security concerning which he or she has material non-public information, regardless of whether that security is on the Restricted List; or</w:t>
      </w:r>
    </w:p>
    <w:p>
      <w:pPr>
        <w:spacing w:after="0" w:line="157" w:lineRule="exact"/>
        <w:rPr>
          <w:rFonts w:ascii="Arial" w:cs="Arial" w:eastAsia="Arial" w:hAnsi="Arial"/>
          <w:sz w:val="17"/>
          <w:szCs w:val="17"/>
          <w:color w:val="auto"/>
        </w:rPr>
      </w:pPr>
    </w:p>
    <w:p>
      <w:pPr>
        <w:ind w:left="920" w:right="100" w:hanging="277"/>
        <w:spacing w:after="0" w:line="267" w:lineRule="auto"/>
        <w:tabs>
          <w:tab w:leader="none" w:pos="9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sell or otherwise dispose of direct or indirect Beneficial Ownership, of any security on the Restricted List, or of any Covered Security concerning which he or she has material non-public information, regardless of whether that security is on the Restricted List.</w:t>
      </w:r>
    </w:p>
    <w:p>
      <w:pPr>
        <w:spacing w:after="0" w:line="157" w:lineRule="exact"/>
        <w:rPr>
          <w:rFonts w:ascii="Arial" w:cs="Arial" w:eastAsia="Arial" w:hAnsi="Arial"/>
          <w:sz w:val="17"/>
          <w:szCs w:val="17"/>
          <w:color w:val="auto"/>
        </w:rPr>
      </w:pPr>
    </w:p>
    <w:p>
      <w:pPr>
        <w:jc w:val="both"/>
        <w:ind w:left="360" w:right="80" w:hanging="274"/>
        <w:spacing w:after="0" w:line="254" w:lineRule="auto"/>
        <w:tabs>
          <w:tab w:leader="none" w:pos="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Access Person may not purchase or otherwise acquire or sell or otherwise dispose of any direct or indirect Beneficial Ownership of the Corporation’s securities without similarly first obtaining pre-clearance approval by the CCO directly in writing using the Pre-Clearance Request Form or online via the System.</w:t>
      </w:r>
    </w:p>
    <w:p>
      <w:pPr>
        <w:spacing w:after="0" w:line="203" w:lineRule="exact"/>
        <w:rPr>
          <w:rFonts w:ascii="Arial" w:cs="Arial" w:eastAsia="Arial" w:hAnsi="Arial"/>
          <w:sz w:val="17"/>
          <w:szCs w:val="17"/>
          <w:color w:val="auto"/>
        </w:rPr>
      </w:pPr>
    </w:p>
    <w:p>
      <w:pPr>
        <w:jc w:val="both"/>
        <w:ind w:left="360" w:right="100" w:hanging="274"/>
        <w:spacing w:after="0" w:line="250" w:lineRule="auto"/>
        <w:tabs>
          <w:tab w:leader="none" w:pos="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Investment Persons of the Corporation must obtain pre-approval from the CCO before directly or indirectly acquiring Beneficial Ownership in any Covered Securities in an Initial Public Offering or in a Limited Offering. Such approval must be obtained from the CCO, either directly in writing using the Pre-Clearance Request Form, unless the person seeking such approval is the CCO, in which case pre-approval must be obtained from the Corporation’s Chief Executive Officer using the Pre-Clearance Request Form.</w:t>
      </w:r>
    </w:p>
    <w:p>
      <w:pPr>
        <w:spacing w:after="0" w:line="172" w:lineRule="exact"/>
        <w:rPr>
          <w:rFonts w:ascii="Arial" w:cs="Arial" w:eastAsia="Arial" w:hAnsi="Arial"/>
          <w:sz w:val="17"/>
          <w:szCs w:val="17"/>
          <w:color w:val="auto"/>
        </w:rPr>
      </w:pPr>
    </w:p>
    <w:p>
      <w:pPr>
        <w:jc w:val="both"/>
        <w:ind w:left="360" w:right="100" w:hanging="274"/>
        <w:spacing w:after="0" w:line="248" w:lineRule="auto"/>
        <w:tabs>
          <w:tab w:leader="none" w:pos="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Access Person shall recommend any transaction in any Covered Securities by the Corporation without having disclosed to the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(or any person to whom the Access Person is related, by blood or marriage, and is known) has with such issuer; and any present or proposed business relationship between such issuer and the Access Person (or a party in which the Access Person has a significant interest).</w:t>
      </w:r>
    </w:p>
    <w:p>
      <w:pPr>
        <w:spacing w:after="0" w:line="200" w:lineRule="exact"/>
        <w:rPr>
          <w:sz w:val="20"/>
          <w:szCs w:val="20"/>
          <w:color w:val="auto"/>
        </w:rPr>
      </w:pPr>
    </w:p>
    <w:p>
      <w:pPr>
        <w:spacing w:after="0" w:line="203"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7"/>
          <w:szCs w:val="17"/>
          <w:b w:val="1"/>
          <w:bCs w:val="1"/>
          <w:color w:val="auto"/>
        </w:rPr>
        <w:t>Section V.</w:t>
      </w:r>
      <w:r>
        <w:rPr>
          <w:sz w:val="20"/>
          <w:szCs w:val="20"/>
          <w:color w:val="auto"/>
        </w:rPr>
        <w:tab/>
      </w:r>
      <w:r>
        <w:rPr>
          <w:rFonts w:ascii="Arial" w:cs="Arial" w:eastAsia="Arial" w:hAnsi="Arial"/>
          <w:sz w:val="14"/>
          <w:szCs w:val="14"/>
          <w:b w:val="1"/>
          <w:bCs w:val="1"/>
          <w:color w:val="auto"/>
        </w:rPr>
        <w:t>Reports by Access Persons</w:t>
      </w:r>
    </w:p>
    <w:p>
      <w:pPr>
        <w:spacing w:after="0" w:line="238" w:lineRule="exact"/>
        <w:rPr>
          <w:sz w:val="20"/>
          <w:szCs w:val="20"/>
          <w:color w:val="auto"/>
        </w:rPr>
      </w:pPr>
    </w:p>
    <w:p>
      <w:pPr>
        <w:ind w:left="360" w:hanging="274"/>
        <w:spacing w:after="0"/>
        <w:tabs>
          <w:tab w:leader="none" w:pos="360"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Initial and Annual Personal Securities Accounts and Holdings Reports</w:t>
      </w:r>
      <w:r>
        <w:rPr>
          <w:rFonts w:ascii="Arial" w:cs="Arial" w:eastAsia="Arial" w:hAnsi="Arial"/>
          <w:sz w:val="17"/>
          <w:szCs w:val="17"/>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310" w:right="239" w:bottom="1440" w:gutter="0" w:footer="0" w:header="0"/>
        </w:sectPr>
      </w:pPr>
    </w:p>
    <w:bookmarkStart w:id="153" w:name="page154"/>
    <w:bookmarkEnd w:id="153"/>
    <w:p>
      <w:pPr>
        <w:jc w:val="both"/>
        <w:ind w:left="87" w:right="80" w:firstLine="3622"/>
        <w:spacing w:after="0" w:line="282" w:lineRule="auto"/>
        <w:rPr>
          <w:sz w:val="20"/>
          <w:szCs w:val="20"/>
          <w:color w:val="auto"/>
        </w:rPr>
      </w:pPr>
      <w:r>
        <w:rPr>
          <w:rFonts w:ascii="Arial" w:cs="Arial" w:eastAsia="Arial" w:hAnsi="Arial"/>
          <w:sz w:val="15"/>
          <w:szCs w:val="15"/>
          <w:color w:val="auto"/>
        </w:rPr>
        <w:t>All Access Persons shall within 10 days of the date on which they become Access Persons, and thereafter, within 30 days after the end of each calendar year, disclose the title and type of security, and as applicable the exchange ticker symbol or CUSIP number,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an “</w:t>
      </w:r>
      <w:r>
        <w:rPr>
          <w:rFonts w:ascii="Arial" w:cs="Arial" w:eastAsia="Arial" w:hAnsi="Arial"/>
          <w:sz w:val="15"/>
          <w:szCs w:val="15"/>
          <w:i w:val="1"/>
          <w:iCs w:val="1"/>
          <w:color w:val="auto"/>
        </w:rPr>
        <w:t>Initial and Annual</w:t>
      </w:r>
      <w:r>
        <w:rPr>
          <w:rFonts w:ascii="Arial" w:cs="Arial" w:eastAsia="Arial" w:hAnsi="Arial"/>
          <w:sz w:val="15"/>
          <w:szCs w:val="15"/>
          <w:color w:val="auto"/>
        </w:rPr>
        <w:t xml:space="preserve"> </w:t>
      </w:r>
      <w:r>
        <w:rPr>
          <w:rFonts w:ascii="Arial" w:cs="Arial" w:eastAsia="Arial" w:hAnsi="Arial"/>
          <w:sz w:val="15"/>
          <w:szCs w:val="15"/>
          <w:i w:val="1"/>
          <w:iCs w:val="1"/>
          <w:color w:val="auto"/>
        </w:rPr>
        <w:t>Personal Securities Accounts and Holdings Report</w:t>
      </w:r>
      <w:r>
        <w:rPr>
          <w:rFonts w:ascii="Arial" w:cs="Arial" w:eastAsia="Arial" w:hAnsi="Arial"/>
          <w:sz w:val="15"/>
          <w:szCs w:val="15"/>
          <w:color w:val="auto"/>
        </w:rPr>
        <w:t>,” is attached as Schedule B. Each Initial and Annual Personal Securities Accounts and Holdings Report must</w:t>
      </w:r>
      <w:r>
        <w:rPr>
          <w:rFonts w:ascii="Arial" w:cs="Arial" w:eastAsia="Arial" w:hAnsi="Arial"/>
          <w:sz w:val="15"/>
          <w:szCs w:val="15"/>
          <w:i w:val="1"/>
          <w:iCs w:val="1"/>
          <w:color w:val="auto"/>
        </w:rPr>
        <w:t xml:space="preserve"> </w:t>
      </w:r>
      <w:r>
        <w:rPr>
          <w:rFonts w:ascii="Arial" w:cs="Arial" w:eastAsia="Arial" w:hAnsi="Arial"/>
          <w:sz w:val="15"/>
          <w:szCs w:val="15"/>
          <w:color w:val="auto"/>
        </w:rPr>
        <w:t>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Initial and Annual Personal Securities Accounts and Holdings Report shall state the date it is being submitted. In all cases, the information must be current as of a date no more than 45 days prior to the date the person becomes an Access Person, or the date the report was submitted, as applicable.</w:t>
      </w:r>
    </w:p>
    <w:p>
      <w:pPr>
        <w:spacing w:after="0" w:line="185" w:lineRule="exact"/>
        <w:rPr>
          <w:sz w:val="20"/>
          <w:szCs w:val="20"/>
          <w:color w:val="auto"/>
        </w:rPr>
      </w:pPr>
    </w:p>
    <w:p>
      <w:pPr>
        <w:ind w:left="367" w:hanging="274"/>
        <w:spacing w:after="0"/>
        <w:tabs>
          <w:tab w:leader="none" w:pos="367"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Quarterly Transaction Reports</w:t>
      </w:r>
      <w:r>
        <w:rPr>
          <w:rFonts w:ascii="Arial" w:cs="Arial" w:eastAsia="Arial" w:hAnsi="Arial"/>
          <w:sz w:val="17"/>
          <w:szCs w:val="17"/>
          <w:color w:val="auto"/>
        </w:rPr>
        <w:t>.</w:t>
      </w:r>
    </w:p>
    <w:p>
      <w:pPr>
        <w:spacing w:after="0" w:line="199" w:lineRule="exact"/>
        <w:rPr>
          <w:sz w:val="20"/>
          <w:szCs w:val="20"/>
          <w:color w:val="auto"/>
        </w:rPr>
      </w:pPr>
    </w:p>
    <w:p>
      <w:pPr>
        <w:jc w:val="both"/>
        <w:ind w:left="67" w:right="80" w:firstLine="557"/>
        <w:spacing w:after="0" w:line="254" w:lineRule="auto"/>
        <w:rPr>
          <w:sz w:val="20"/>
          <w:szCs w:val="20"/>
          <w:color w:val="auto"/>
        </w:rPr>
      </w:pPr>
      <w:r>
        <w:rPr>
          <w:rFonts w:ascii="Arial" w:cs="Arial" w:eastAsia="Arial" w:hAnsi="Arial"/>
          <w:sz w:val="17"/>
          <w:szCs w:val="17"/>
          <w:color w:val="auto"/>
        </w:rPr>
        <w:t>Within 30 days after the end of each calendar quarter, each Access Person shall make a written report to the CCO (or designee) of all transactions occurring in the quarter in a Covered Security in which he or she had any Beneficial Ownership. A form of such report, which is hereinafter called a “</w:t>
      </w:r>
      <w:r>
        <w:rPr>
          <w:rFonts w:ascii="Arial" w:cs="Arial" w:eastAsia="Arial" w:hAnsi="Arial"/>
          <w:sz w:val="17"/>
          <w:szCs w:val="17"/>
          <w:i w:val="1"/>
          <w:iCs w:val="1"/>
          <w:color w:val="auto"/>
        </w:rPr>
        <w:t>Quarterly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 Report</w:t>
      </w:r>
      <w:r>
        <w:rPr>
          <w:rFonts w:ascii="Arial" w:cs="Arial" w:eastAsia="Arial" w:hAnsi="Arial"/>
          <w:sz w:val="17"/>
          <w:szCs w:val="17"/>
          <w:color w:val="auto"/>
        </w:rPr>
        <w:t>,” is attached as Schedule C.</w:t>
      </w:r>
    </w:p>
    <w:p>
      <w:pPr>
        <w:spacing w:after="0" w:line="204" w:lineRule="exact"/>
        <w:rPr>
          <w:sz w:val="20"/>
          <w:szCs w:val="20"/>
          <w:color w:val="auto"/>
        </w:rPr>
      </w:pPr>
    </w:p>
    <w:p>
      <w:pPr>
        <w:jc w:val="both"/>
        <w:ind w:left="67" w:right="100" w:firstLine="557"/>
        <w:spacing w:after="0" w:line="267" w:lineRule="auto"/>
        <w:rPr>
          <w:sz w:val="20"/>
          <w:szCs w:val="20"/>
          <w:color w:val="auto"/>
        </w:rPr>
      </w:pPr>
      <w:r>
        <w:rPr>
          <w:rFonts w:ascii="Arial" w:cs="Arial" w:eastAsia="Arial" w:hAnsi="Arial"/>
          <w:sz w:val="17"/>
          <w:szCs w:val="17"/>
          <w:color w:val="auto"/>
        </w:rPr>
        <w:t>A Quarterly Securities Transaction Report shall be in the form of Schedule C or such other form approved by the CCO (or designee) and must contain the following information with respect to each reportable transaction:</w:t>
      </w:r>
    </w:p>
    <w:p>
      <w:pPr>
        <w:spacing w:after="0" w:line="157" w:lineRule="exact"/>
        <w:rPr>
          <w:sz w:val="20"/>
          <w:szCs w:val="20"/>
          <w:color w:val="auto"/>
        </w:rPr>
      </w:pPr>
    </w:p>
    <w:p>
      <w:pPr>
        <w:ind w:left="967" w:hanging="270"/>
        <w:spacing w:after="0"/>
        <w:tabs>
          <w:tab w:leader="none" w:pos="967" w:val="left"/>
        </w:tabs>
        <w:numPr>
          <w:ilvl w:val="1"/>
          <w:numId w:val="90"/>
        </w:numPr>
        <w:rPr>
          <w:rFonts w:ascii="Arial" w:cs="Arial" w:eastAsia="Arial" w:hAnsi="Arial"/>
          <w:sz w:val="17"/>
          <w:szCs w:val="17"/>
          <w:color w:val="auto"/>
        </w:rPr>
      </w:pPr>
      <w:r>
        <w:rPr>
          <w:rFonts w:ascii="Arial" w:cs="Arial" w:eastAsia="Arial" w:hAnsi="Arial"/>
          <w:sz w:val="17"/>
          <w:szCs w:val="17"/>
          <w:color w:val="auto"/>
        </w:rPr>
        <w:t>Date and nature of the transaction (purchase, sale or any other type of acquisition or disposition);</w:t>
      </w:r>
    </w:p>
    <w:p>
      <w:pPr>
        <w:spacing w:after="0" w:line="199" w:lineRule="exact"/>
        <w:rPr>
          <w:rFonts w:ascii="Arial" w:cs="Arial" w:eastAsia="Arial" w:hAnsi="Arial"/>
          <w:sz w:val="17"/>
          <w:szCs w:val="17"/>
          <w:color w:val="auto"/>
        </w:rPr>
      </w:pPr>
    </w:p>
    <w:p>
      <w:pPr>
        <w:ind w:left="967" w:right="100" w:hanging="270"/>
        <w:spacing w:after="0" w:line="267" w:lineRule="auto"/>
        <w:tabs>
          <w:tab w:leader="none" w:pos="967" w:val="left"/>
        </w:tabs>
        <w:numPr>
          <w:ilvl w:val="1"/>
          <w:numId w:val="90"/>
        </w:numPr>
        <w:rPr>
          <w:rFonts w:ascii="Arial" w:cs="Arial" w:eastAsia="Arial" w:hAnsi="Arial"/>
          <w:sz w:val="17"/>
          <w:szCs w:val="17"/>
          <w:color w:val="auto"/>
        </w:rPr>
      </w:pPr>
      <w:r>
        <w:rPr>
          <w:rFonts w:ascii="Arial" w:cs="Arial" w:eastAsia="Arial" w:hAnsi="Arial"/>
          <w:sz w:val="17"/>
          <w:szCs w:val="17"/>
          <w:color w:val="auto"/>
        </w:rPr>
        <w:t>Title, interest rate and maturity date (if applicable), number of shares and principal amount of each Covered Security involved and the price of the Covered Security at which the transaction was effected;</w:t>
      </w:r>
    </w:p>
    <w:p>
      <w:pPr>
        <w:spacing w:after="0" w:line="192" w:lineRule="exact"/>
        <w:rPr>
          <w:rFonts w:ascii="Arial" w:cs="Arial" w:eastAsia="Arial" w:hAnsi="Arial"/>
          <w:sz w:val="17"/>
          <w:szCs w:val="17"/>
          <w:color w:val="auto"/>
        </w:rPr>
      </w:pPr>
    </w:p>
    <w:p>
      <w:pPr>
        <w:ind w:left="967" w:hanging="270"/>
        <w:spacing w:after="0"/>
        <w:tabs>
          <w:tab w:leader="none" w:pos="967" w:val="left"/>
        </w:tabs>
        <w:numPr>
          <w:ilvl w:val="1"/>
          <w:numId w:val="90"/>
        </w:numPr>
        <w:rPr>
          <w:rFonts w:ascii="Arial" w:cs="Arial" w:eastAsia="Arial" w:hAnsi="Arial"/>
          <w:sz w:val="17"/>
          <w:szCs w:val="17"/>
          <w:color w:val="auto"/>
        </w:rPr>
      </w:pPr>
      <w:r>
        <w:rPr>
          <w:rFonts w:ascii="Arial" w:cs="Arial" w:eastAsia="Arial" w:hAnsi="Arial"/>
          <w:sz w:val="17"/>
          <w:szCs w:val="17"/>
          <w:color w:val="auto"/>
        </w:rPr>
        <w:t>Name of the broker, dealer or bank with or through whom the transaction was effected; and</w:t>
      </w:r>
    </w:p>
    <w:p>
      <w:pPr>
        <w:spacing w:after="0" w:line="234" w:lineRule="exact"/>
        <w:rPr>
          <w:rFonts w:ascii="Arial" w:cs="Arial" w:eastAsia="Arial" w:hAnsi="Arial"/>
          <w:sz w:val="17"/>
          <w:szCs w:val="17"/>
          <w:color w:val="auto"/>
        </w:rPr>
      </w:pPr>
    </w:p>
    <w:p>
      <w:pPr>
        <w:ind w:left="967" w:hanging="270"/>
        <w:spacing w:after="0"/>
        <w:tabs>
          <w:tab w:leader="none" w:pos="967"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date the report is submitted by the Access Person.</w:t>
      </w:r>
    </w:p>
    <w:p>
      <w:pPr>
        <w:spacing w:after="0" w:line="303" w:lineRule="exact"/>
        <w:rPr>
          <w:rFonts w:ascii="Arial" w:cs="Arial" w:eastAsia="Arial" w:hAnsi="Arial"/>
          <w:sz w:val="17"/>
          <w:szCs w:val="17"/>
          <w:color w:val="auto"/>
        </w:rPr>
      </w:pPr>
    </w:p>
    <w:p>
      <w:pPr>
        <w:ind w:left="267" w:hanging="267"/>
        <w:spacing w:after="0"/>
        <w:tabs>
          <w:tab w:leader="none" w:pos="267"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Independent Directors</w:t>
      </w:r>
      <w:r>
        <w:rPr>
          <w:rFonts w:ascii="Arial" w:cs="Arial" w:eastAsia="Arial" w:hAnsi="Arial"/>
          <w:sz w:val="17"/>
          <w:szCs w:val="17"/>
          <w:color w:val="auto"/>
        </w:rPr>
        <w:t>.</w:t>
      </w:r>
    </w:p>
    <w:p>
      <w:pPr>
        <w:spacing w:after="0" w:line="118" w:lineRule="exact"/>
        <w:rPr>
          <w:sz w:val="20"/>
          <w:szCs w:val="20"/>
          <w:color w:val="auto"/>
        </w:rPr>
      </w:pPr>
    </w:p>
    <w:p>
      <w:pPr>
        <w:jc w:val="both"/>
        <w:ind w:left="87" w:right="80" w:firstLine="464"/>
        <w:spacing w:after="0" w:line="254" w:lineRule="auto"/>
        <w:rPr>
          <w:sz w:val="20"/>
          <w:szCs w:val="20"/>
          <w:color w:val="auto"/>
        </w:rPr>
      </w:pPr>
      <w:r>
        <w:rPr>
          <w:rFonts w:ascii="Arial" w:cs="Arial" w:eastAsia="Arial" w:hAnsi="Arial"/>
          <w:sz w:val="17"/>
          <w:szCs w:val="17"/>
          <w:color w:val="auto"/>
        </w:rPr>
        <w:t>Notwithstanding the reporting requirements set forth in this Section V, an Independent Director who would be required to make a report under this Section V solely by reason of being a director of the Corporation is not required to file an Initial and Annual Personal Securities Accounts and Holdings Report upon becoming a director of the Corporation or an annual Initial and Annual Personal Securities Accounts and Holdings Report.</w:t>
      </w:r>
    </w:p>
    <w:p>
      <w:pPr>
        <w:spacing w:after="0" w:line="192" w:lineRule="exact"/>
        <w:rPr>
          <w:sz w:val="20"/>
          <w:szCs w:val="20"/>
          <w:color w:val="auto"/>
        </w:rPr>
      </w:pPr>
    </w:p>
    <w:p>
      <w:pPr>
        <w:jc w:val="both"/>
        <w:ind w:left="87" w:right="80" w:firstLine="464"/>
        <w:spacing w:after="0" w:line="250" w:lineRule="auto"/>
        <w:rPr>
          <w:sz w:val="20"/>
          <w:szCs w:val="20"/>
          <w:color w:val="auto"/>
        </w:rPr>
      </w:pPr>
      <w:r>
        <w:rPr>
          <w:rFonts w:ascii="Arial" w:cs="Arial" w:eastAsia="Arial" w:hAnsi="Arial"/>
          <w:sz w:val="17"/>
          <w:szCs w:val="17"/>
          <w:color w:val="auto"/>
        </w:rPr>
        <w:t xml:space="preserve">Such an Independent Director also need not file a Quarterly Securities Transaction Report </w:t>
      </w:r>
      <w:r>
        <w:rPr>
          <w:rFonts w:ascii="Arial" w:cs="Arial" w:eastAsia="Arial" w:hAnsi="Arial"/>
          <w:sz w:val="17"/>
          <w:szCs w:val="17"/>
          <w:i w:val="1"/>
          <w:iCs w:val="1"/>
          <w:u w:val="single" w:color="auto"/>
          <w:color w:val="auto"/>
        </w:rPr>
        <w:t>unless</w:t>
      </w:r>
      <w:r>
        <w:rPr>
          <w:rFonts w:ascii="Arial" w:cs="Arial" w:eastAsia="Arial" w:hAnsi="Arial"/>
          <w:sz w:val="17"/>
          <w:szCs w:val="17"/>
          <w:color w:val="auto"/>
        </w:rPr>
        <w:t xml:space="preserve">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considered purchasing or selling such Covered Security.</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ind w:left="7"/>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7"/>
          </w:cols>
          <w:pgMar w:left="313" w:top="311" w:right="239" w:bottom="1440" w:gutter="0" w:footer="0" w:header="0"/>
        </w:sectPr>
      </w:pPr>
    </w:p>
    <w:bookmarkStart w:id="154" w:name="page155"/>
    <w:bookmarkEnd w:id="154"/>
    <w:p>
      <w:pPr>
        <w:ind w:left="360" w:hanging="274"/>
        <w:spacing w:after="0"/>
        <w:tabs>
          <w:tab w:leader="none" w:pos="36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Brokerage Accounts and Statements</w:t>
      </w:r>
      <w:r>
        <w:rPr>
          <w:rFonts w:ascii="Arial" w:cs="Arial" w:eastAsia="Arial" w:hAnsi="Arial"/>
          <w:sz w:val="17"/>
          <w:szCs w:val="17"/>
          <w:color w:val="auto"/>
        </w:rPr>
        <w:t>.</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Access Persons, except Independent Directors, shall:</w:t>
      </w:r>
    </w:p>
    <w:p>
      <w:pPr>
        <w:spacing w:after="0" w:line="234" w:lineRule="exact"/>
        <w:rPr>
          <w:sz w:val="20"/>
          <w:szCs w:val="20"/>
          <w:color w:val="auto"/>
        </w:rPr>
      </w:pPr>
    </w:p>
    <w:p>
      <w:pPr>
        <w:jc w:val="both"/>
        <w:ind w:left="920" w:right="80" w:hanging="277"/>
        <w:spacing w:after="0" w:line="304" w:lineRule="auto"/>
        <w:tabs>
          <w:tab w:leader="none" w:pos="920" w:val="left"/>
        </w:tabs>
        <w:numPr>
          <w:ilvl w:val="1"/>
          <w:numId w:val="93"/>
        </w:numPr>
        <w:rPr>
          <w:rFonts w:ascii="Arial" w:cs="Arial" w:eastAsia="Arial" w:hAnsi="Arial"/>
          <w:sz w:val="15"/>
          <w:szCs w:val="15"/>
          <w:color w:val="auto"/>
        </w:rPr>
      </w:pPr>
      <w:r>
        <w:rPr>
          <w:rFonts w:ascii="Arial" w:cs="Arial" w:eastAsia="Arial" w:hAnsi="Arial"/>
          <w:sz w:val="15"/>
          <w:szCs w:val="15"/>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34" w:lineRule="exact"/>
        <w:rPr>
          <w:rFonts w:ascii="Arial" w:cs="Arial" w:eastAsia="Arial" w:hAnsi="Arial"/>
          <w:sz w:val="15"/>
          <w:szCs w:val="15"/>
          <w:color w:val="auto"/>
        </w:rPr>
      </w:pPr>
    </w:p>
    <w:p>
      <w:pPr>
        <w:ind w:left="920" w:hanging="277"/>
        <w:spacing w:after="0"/>
        <w:tabs>
          <w:tab w:leader="none" w:pos="920" w:val="left"/>
        </w:tabs>
        <w:numPr>
          <w:ilvl w:val="1"/>
          <w:numId w:val="93"/>
        </w:numPr>
        <w:rPr>
          <w:rFonts w:ascii="Arial" w:cs="Arial" w:eastAsia="Arial" w:hAnsi="Arial"/>
          <w:sz w:val="15"/>
          <w:szCs w:val="15"/>
          <w:color w:val="auto"/>
        </w:rPr>
      </w:pPr>
      <w:r>
        <w:rPr>
          <w:rFonts w:ascii="Arial" w:cs="Arial" w:eastAsia="Arial" w:hAnsi="Arial"/>
          <w:sz w:val="15"/>
          <w:szCs w:val="15"/>
          <w:color w:val="auto"/>
        </w:rPr>
        <w:t>instruct the brokers, dealers or banks with whom they maintain such an account to provide duplicate account statements to the CCO (or designee); and</w:t>
      </w:r>
    </w:p>
    <w:p>
      <w:pPr>
        <w:spacing w:after="0" w:line="257" w:lineRule="exact"/>
        <w:rPr>
          <w:rFonts w:ascii="Arial" w:cs="Arial" w:eastAsia="Arial" w:hAnsi="Arial"/>
          <w:sz w:val="15"/>
          <w:szCs w:val="15"/>
          <w:color w:val="auto"/>
        </w:rPr>
      </w:pPr>
    </w:p>
    <w:p>
      <w:pPr>
        <w:ind w:left="920" w:hanging="277"/>
        <w:spacing w:after="0"/>
        <w:tabs>
          <w:tab w:leader="none" w:pos="9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on an annual basis, certify that they have complied with the requirements of (1) and (2) above.</w:t>
      </w:r>
    </w:p>
    <w:p>
      <w:pPr>
        <w:spacing w:after="0" w:line="245" w:lineRule="exact"/>
        <w:rPr>
          <w:rFonts w:ascii="Arial" w:cs="Arial" w:eastAsia="Arial" w:hAnsi="Arial"/>
          <w:sz w:val="17"/>
          <w:szCs w:val="17"/>
          <w:color w:val="auto"/>
        </w:rPr>
      </w:pPr>
    </w:p>
    <w:p>
      <w:pPr>
        <w:ind w:left="320" w:hanging="257"/>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Form of Reports</w:t>
      </w:r>
      <w:r>
        <w:rPr>
          <w:rFonts w:ascii="Arial" w:cs="Arial" w:eastAsia="Arial" w:hAnsi="Arial"/>
          <w:sz w:val="17"/>
          <w:szCs w:val="17"/>
          <w:color w:val="auto"/>
        </w:rPr>
        <w:t>.</w:t>
      </w:r>
    </w:p>
    <w:p>
      <w:pPr>
        <w:spacing w:after="0" w:line="234" w:lineRule="exact"/>
        <w:rPr>
          <w:sz w:val="20"/>
          <w:szCs w:val="20"/>
          <w:color w:val="auto"/>
        </w:rPr>
      </w:pPr>
    </w:p>
    <w:p>
      <w:pPr>
        <w:ind w:left="60" w:right="80" w:firstLine="476"/>
        <w:spacing w:after="0" w:line="298" w:lineRule="auto"/>
        <w:rPr>
          <w:sz w:val="20"/>
          <w:szCs w:val="20"/>
          <w:color w:val="auto"/>
        </w:rPr>
      </w:pPr>
      <w:r>
        <w:rPr>
          <w:rFonts w:ascii="Arial" w:cs="Arial" w:eastAsia="Arial" w:hAnsi="Arial"/>
          <w:sz w:val="16"/>
          <w:szCs w:val="16"/>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70" w:lineRule="exact"/>
        <w:rPr>
          <w:sz w:val="20"/>
          <w:szCs w:val="20"/>
          <w:color w:val="auto"/>
        </w:rPr>
      </w:pPr>
    </w:p>
    <w:p>
      <w:pPr>
        <w:ind w:left="320" w:hanging="257"/>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Responsibility to Report</w:t>
      </w:r>
      <w:r>
        <w:rPr>
          <w:rFonts w:ascii="Arial" w:cs="Arial" w:eastAsia="Arial" w:hAnsi="Arial"/>
          <w:sz w:val="17"/>
          <w:szCs w:val="17"/>
          <w:color w:val="auto"/>
        </w:rPr>
        <w:t>.</w:t>
      </w:r>
    </w:p>
    <w:p>
      <w:pPr>
        <w:spacing w:after="0" w:line="234" w:lineRule="exact"/>
        <w:rPr>
          <w:sz w:val="20"/>
          <w:szCs w:val="20"/>
          <w:color w:val="auto"/>
        </w:rPr>
      </w:pPr>
    </w:p>
    <w:p>
      <w:pPr>
        <w:jc w:val="both"/>
        <w:ind w:left="60" w:right="80" w:firstLine="476"/>
        <w:spacing w:after="0" w:line="254" w:lineRule="auto"/>
        <w:rPr>
          <w:sz w:val="20"/>
          <w:szCs w:val="20"/>
          <w:color w:val="auto"/>
        </w:rPr>
      </w:pPr>
      <w:r>
        <w:rPr>
          <w:rFonts w:ascii="Arial" w:cs="Arial" w:eastAsia="Arial" w:hAnsi="Arial"/>
          <w:sz w:val="17"/>
          <w:szCs w:val="17"/>
          <w:color w:val="auto"/>
        </w:rPr>
        <w:t>It is the responsibility of each Access Person to take the initiative to comply with the requirements of this Section V. Any effort by the Corporation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69" w:lineRule="exact"/>
        <w:rPr>
          <w:sz w:val="20"/>
          <w:szCs w:val="20"/>
          <w:color w:val="auto"/>
        </w:rPr>
      </w:pPr>
    </w:p>
    <w:p>
      <w:pPr>
        <w:ind w:left="340" w:hanging="277"/>
        <w:spacing w:after="0"/>
        <w:tabs>
          <w:tab w:leader="none" w:pos="3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Where to File Reports</w:t>
      </w:r>
      <w:r>
        <w:rPr>
          <w:rFonts w:ascii="Arial" w:cs="Arial" w:eastAsia="Arial" w:hAnsi="Arial"/>
          <w:sz w:val="17"/>
          <w:szCs w:val="17"/>
          <w:color w:val="auto"/>
        </w:rPr>
        <w:t>.</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Quarterly Securities Transaction Reports and Initial and Annual Personal Securities Accounts and Holdings Reports must be filed with the CCO, either</w:t>
      </w:r>
    </w:p>
    <w:p>
      <w:pPr>
        <w:spacing w:after="0" w:line="39" w:lineRule="exact"/>
        <w:rPr>
          <w:sz w:val="20"/>
          <w:szCs w:val="20"/>
          <w:color w:val="auto"/>
        </w:rPr>
      </w:pPr>
    </w:p>
    <w:p>
      <w:pPr>
        <w:ind w:left="300" w:hanging="237"/>
        <w:spacing w:after="0"/>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directly in writing using Schedules C or B, respectively (or such other forms as the CCO may prescribe for this purpose), or (2) online, via the System.</w:t>
      </w:r>
    </w:p>
    <w:p>
      <w:pPr>
        <w:spacing w:after="0" w:line="19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7"/>
          <w:szCs w:val="17"/>
          <w:color w:val="auto"/>
        </w:rPr>
        <w:t xml:space="preserve">(H) </w:t>
      </w:r>
      <w:r>
        <w:rPr>
          <w:rFonts w:ascii="Arial" w:cs="Arial" w:eastAsia="Arial" w:hAnsi="Arial"/>
          <w:sz w:val="17"/>
          <w:szCs w:val="17"/>
          <w:i w:val="1"/>
          <w:iCs w:val="1"/>
          <w:color w:val="auto"/>
        </w:rPr>
        <w:t>Disclaimers</w:t>
      </w:r>
      <w:r>
        <w:rPr>
          <w:rFonts w:ascii="Arial" w:cs="Arial" w:eastAsia="Arial" w:hAnsi="Arial"/>
          <w:sz w:val="17"/>
          <w:szCs w:val="17"/>
          <w:color w:val="auto"/>
        </w:rPr>
        <w:t>.</w:t>
      </w:r>
    </w:p>
    <w:p>
      <w:pPr>
        <w:spacing w:after="0" w:line="211" w:lineRule="exact"/>
        <w:rPr>
          <w:sz w:val="20"/>
          <w:szCs w:val="20"/>
          <w:color w:val="auto"/>
        </w:rPr>
      </w:pPr>
    </w:p>
    <w:p>
      <w:pPr>
        <w:ind w:left="60" w:right="100" w:firstLine="476"/>
        <w:spacing w:after="0" w:line="267" w:lineRule="auto"/>
        <w:rPr>
          <w:sz w:val="20"/>
          <w:szCs w:val="20"/>
          <w:color w:val="auto"/>
        </w:rPr>
      </w:pPr>
      <w:r>
        <w:rPr>
          <w:rFonts w:ascii="Arial" w:cs="Arial" w:eastAsia="Arial" w:hAnsi="Arial"/>
          <w:sz w:val="17"/>
          <w:szCs w:val="17"/>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00" w:lineRule="exact"/>
        <w:rPr>
          <w:sz w:val="20"/>
          <w:szCs w:val="20"/>
          <w:color w:val="auto"/>
        </w:rPr>
      </w:pPr>
    </w:p>
    <w:p>
      <w:pPr>
        <w:spacing w:after="0" w:line="22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7"/>
          <w:szCs w:val="17"/>
          <w:b w:val="1"/>
          <w:bCs w:val="1"/>
          <w:color w:val="auto"/>
        </w:rPr>
        <w:t>Section VI.</w:t>
      </w:r>
      <w:r>
        <w:rPr>
          <w:sz w:val="20"/>
          <w:szCs w:val="20"/>
          <w:color w:val="auto"/>
        </w:rPr>
        <w:tab/>
      </w:r>
      <w:r>
        <w:rPr>
          <w:rFonts w:ascii="Arial" w:cs="Arial" w:eastAsia="Arial" w:hAnsi="Arial"/>
          <w:sz w:val="15"/>
          <w:szCs w:val="15"/>
          <w:b w:val="1"/>
          <w:bCs w:val="1"/>
          <w:color w:val="auto"/>
        </w:rPr>
        <w:t>Additional Prohibitions</w:t>
      </w:r>
    </w:p>
    <w:p>
      <w:pPr>
        <w:spacing w:after="0" w:line="203" w:lineRule="exact"/>
        <w:rPr>
          <w:sz w:val="20"/>
          <w:szCs w:val="20"/>
          <w:color w:val="auto"/>
        </w:rPr>
      </w:pPr>
    </w:p>
    <w:p>
      <w:pPr>
        <w:ind w:left="360" w:hanging="274"/>
        <w:spacing w:after="0"/>
        <w:tabs>
          <w:tab w:leader="none" w:pos="3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Confidentiality of the Corporation’s Transactions</w:t>
      </w:r>
      <w:r>
        <w:rPr>
          <w:rFonts w:ascii="Arial" w:cs="Arial" w:eastAsia="Arial" w:hAnsi="Arial"/>
          <w:sz w:val="17"/>
          <w:szCs w:val="17"/>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613" w:right="239" w:bottom="1440" w:gutter="0" w:footer="0" w:header="0"/>
        </w:sectPr>
      </w:pPr>
    </w:p>
    <w:bookmarkStart w:id="155" w:name="page156"/>
    <w:bookmarkEnd w:id="155"/>
    <w:p>
      <w:pPr>
        <w:jc w:val="both"/>
        <w:ind w:left="80" w:right="80" w:firstLine="3622"/>
        <w:spacing w:after="0" w:line="250" w:lineRule="auto"/>
        <w:rPr>
          <w:sz w:val="20"/>
          <w:szCs w:val="20"/>
          <w:color w:val="auto"/>
        </w:rPr>
      </w:pPr>
      <w:r>
        <w:rPr>
          <w:rFonts w:ascii="Arial" w:cs="Arial" w:eastAsia="Arial" w:hAnsi="Arial"/>
          <w:sz w:val="17"/>
          <w:szCs w:val="17"/>
          <w:color w:val="auto"/>
        </w:rPr>
        <w:t>Until disclosed in a public report to stockholders or to the U.S. Securities and Exchange Commission in the normal course, all information concerning the securities “being considered for purchase or sale” by the Corporation shall be kept confidential by all Covered Persons and disclosed by them only on a “need to know” basis. It shall be the responsibility of the CCO to report to the directors of the Corporation any known violations found in this regard.</w:t>
      </w:r>
    </w:p>
    <w:p>
      <w:pPr>
        <w:spacing w:after="0" w:line="207" w:lineRule="exact"/>
        <w:rPr>
          <w:sz w:val="20"/>
          <w:szCs w:val="20"/>
          <w:color w:val="auto"/>
        </w:rPr>
      </w:pPr>
    </w:p>
    <w:p>
      <w:pPr>
        <w:ind w:left="360" w:hanging="274"/>
        <w:spacing w:after="0"/>
        <w:tabs>
          <w:tab w:leader="none" w:pos="3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Gifts and Entertainment Policy</w:t>
      </w:r>
      <w:r>
        <w:rPr>
          <w:rFonts w:ascii="Arial" w:cs="Arial" w:eastAsia="Arial" w:hAnsi="Arial"/>
          <w:sz w:val="17"/>
          <w:szCs w:val="17"/>
          <w:color w:val="auto"/>
        </w:rPr>
        <w:t>.</w:t>
      </w:r>
    </w:p>
    <w:p>
      <w:pPr>
        <w:spacing w:after="0" w:line="199" w:lineRule="exact"/>
        <w:rPr>
          <w:sz w:val="20"/>
          <w:szCs w:val="20"/>
          <w:color w:val="auto"/>
        </w:rPr>
      </w:pPr>
    </w:p>
    <w:p>
      <w:pPr>
        <w:jc w:val="both"/>
        <w:ind w:left="60" w:right="80" w:firstLine="488"/>
        <w:spacing w:after="0" w:line="250" w:lineRule="auto"/>
        <w:rPr>
          <w:sz w:val="20"/>
          <w:szCs w:val="20"/>
          <w:color w:val="auto"/>
        </w:rPr>
      </w:pPr>
      <w:r>
        <w:rPr>
          <w:rFonts w:ascii="Arial" w:cs="Arial" w:eastAsia="Arial" w:hAnsi="Arial"/>
          <w:sz w:val="17"/>
          <w:szCs w:val="17"/>
          <w:color w:val="auto"/>
        </w:rPr>
        <w:t>Covered Persons and their immediate families should not solicit, accept, retain or provide any gifts or favors which might influence decisions of the Covered Person or the recipient in making business transactions involving the Corporation, or which others might reasonably believe could influence those decisions. Even a nominal gift should not be accepted if, to a reasonable observer, it might appear that the gift would influence a business decision. No Covered Person may give or accept gifts of cash or cash equivalents.</w:t>
      </w:r>
    </w:p>
    <w:p>
      <w:pPr>
        <w:spacing w:after="0" w:line="172" w:lineRule="exact"/>
        <w:rPr>
          <w:sz w:val="20"/>
          <w:szCs w:val="20"/>
          <w:color w:val="auto"/>
        </w:rPr>
      </w:pPr>
    </w:p>
    <w:p>
      <w:pPr>
        <w:jc w:val="both"/>
        <w:ind w:left="60" w:right="80" w:firstLine="488"/>
        <w:spacing w:after="0" w:line="250" w:lineRule="auto"/>
        <w:rPr>
          <w:sz w:val="20"/>
          <w:szCs w:val="20"/>
          <w:color w:val="auto"/>
        </w:rPr>
      </w:pPr>
      <w:r>
        <w:rPr>
          <w:rFonts w:ascii="Arial" w:cs="Arial" w:eastAsia="Arial" w:hAnsi="Arial"/>
          <w:sz w:val="17"/>
          <w:szCs w:val="17"/>
          <w:color w:val="auto"/>
        </w:rPr>
        <w:t>The policy does not apply to gifts of de minimis value (</w:t>
      </w:r>
      <w:r>
        <w:rPr>
          <w:rFonts w:ascii="Arial" w:cs="Arial" w:eastAsia="Arial" w:hAnsi="Arial"/>
          <w:sz w:val="17"/>
          <w:szCs w:val="17"/>
          <w:i w:val="1"/>
          <w:iCs w:val="1"/>
          <w:color w:val="auto"/>
        </w:rPr>
        <w:t>e.g.</w:t>
      </w:r>
      <w:r>
        <w:rPr>
          <w:rFonts w:ascii="Arial" w:cs="Arial" w:eastAsia="Arial" w:hAnsi="Arial"/>
          <w:sz w:val="17"/>
          <w:szCs w:val="17"/>
          <w:color w:val="auto"/>
        </w:rPr>
        <w:t>, pens, notepads, doughnuts, pizza, modest desk ornaments, etc.) or to promotional items of nominal value that display a firm logo (</w:t>
      </w:r>
      <w:r>
        <w:rPr>
          <w:rFonts w:ascii="Arial" w:cs="Arial" w:eastAsia="Arial" w:hAnsi="Arial"/>
          <w:sz w:val="17"/>
          <w:szCs w:val="17"/>
          <w:i w:val="1"/>
          <w:iCs w:val="1"/>
          <w:color w:val="auto"/>
        </w:rPr>
        <w:t>e.g.</w:t>
      </w:r>
      <w:r>
        <w:rPr>
          <w:rFonts w:ascii="Arial" w:cs="Arial" w:eastAsia="Arial" w:hAnsi="Arial"/>
          <w:sz w:val="17"/>
          <w:szCs w:val="17"/>
          <w:color w:val="auto"/>
        </w:rPr>
        <w:t>, umbrellas, tote bags, shirts, etc.) and “personal” gifts received because of kinship, marriage or social relationships entirely beyond and apart from an organization in which membership or an official position is held. De minimis gifts and promotional items must be less than the $250 limit to fall within the exclusion.</w:t>
      </w:r>
    </w:p>
    <w:p>
      <w:pPr>
        <w:spacing w:after="0" w:line="172" w:lineRule="exact"/>
        <w:rPr>
          <w:sz w:val="20"/>
          <w:szCs w:val="20"/>
          <w:color w:val="auto"/>
        </w:rPr>
      </w:pPr>
    </w:p>
    <w:p>
      <w:pPr>
        <w:jc w:val="both"/>
        <w:ind w:left="60" w:right="80" w:firstLine="488"/>
        <w:spacing w:after="0" w:line="248" w:lineRule="auto"/>
        <w:rPr>
          <w:sz w:val="20"/>
          <w:szCs w:val="20"/>
          <w:color w:val="auto"/>
        </w:rPr>
      </w:pPr>
      <w:r>
        <w:rPr>
          <w:rFonts w:ascii="Arial" w:cs="Arial" w:eastAsia="Arial" w:hAnsi="Arial"/>
          <w:sz w:val="17"/>
          <w:szCs w:val="17"/>
          <w:color w:val="auto"/>
        </w:rPr>
        <w:t>These prohibitions do not apply to ordinary and usual business entertainment, so long as such entertainment is neither so frequent nor so lavish as to raise any questions of impropriety. For an item to be considered “business entertainment,” the vendor must be present at the event/meal and there must be an opportunity to discuss matters relating to Corporation business. For example, if a Covered Person receives theater tickets from a vendor, the tickets are “business entertainment” only if the vendor attends the event and there is an opportunity to discuss business matters. If not, the tickets should be treated as a “gift” for purposes of this policy and subject to the limitations.</w:t>
      </w:r>
    </w:p>
    <w:p>
      <w:pPr>
        <w:spacing w:after="0" w:line="174" w:lineRule="exact"/>
        <w:rPr>
          <w:sz w:val="20"/>
          <w:szCs w:val="20"/>
          <w:color w:val="auto"/>
        </w:rPr>
      </w:pPr>
    </w:p>
    <w:p>
      <w:pPr>
        <w:jc w:val="both"/>
        <w:ind w:left="80" w:right="80" w:firstLine="464"/>
        <w:spacing w:after="0" w:line="254" w:lineRule="auto"/>
        <w:rPr>
          <w:sz w:val="20"/>
          <w:szCs w:val="20"/>
          <w:color w:val="auto"/>
        </w:rPr>
      </w:pPr>
      <w:r>
        <w:rPr>
          <w:rFonts w:ascii="Arial" w:cs="Arial" w:eastAsia="Arial" w:hAnsi="Arial"/>
          <w:sz w:val="17"/>
          <w:szCs w:val="17"/>
          <w:color w:val="auto"/>
        </w:rPr>
        <w:t xml:space="preserve">All Covered Persons must report the receipt or giving of </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Sutter Rock Entity business-related gift with an apparent value that exceeds $250 (other than personal gifts and gifts of de minimis or nominal value, as defined above) and the acceptance or furnishing of all similarly related business entertainment with an apparent value that exceeds $250. Both of these thresholds are on a “per individual” basis.</w:t>
      </w:r>
    </w:p>
    <w:p>
      <w:pPr>
        <w:spacing w:after="0" w:line="169" w:lineRule="exact"/>
        <w:rPr>
          <w:sz w:val="20"/>
          <w:szCs w:val="20"/>
          <w:color w:val="auto"/>
        </w:rPr>
      </w:pPr>
    </w:p>
    <w:p>
      <w:pPr>
        <w:jc w:val="both"/>
        <w:ind w:left="80" w:right="80" w:firstLine="464"/>
        <w:spacing w:after="0" w:line="298" w:lineRule="auto"/>
        <w:rPr>
          <w:sz w:val="20"/>
          <w:szCs w:val="20"/>
          <w:color w:val="auto"/>
        </w:rPr>
      </w:pPr>
      <w:r>
        <w:rPr>
          <w:rFonts w:ascii="Arial" w:cs="Arial" w:eastAsia="Arial" w:hAnsi="Arial"/>
          <w:sz w:val="16"/>
          <w:szCs w:val="16"/>
          <w:color w:val="auto"/>
        </w:rPr>
        <w:t>In addition, the extension by Covered Persons, on behalf of a Sutter Rock Entity, of all invitations for business entertainment that can reasonably be expected to be valued in excess of $500 must be pre-approved by the CCO prior to any such extension. This threshold is on a “per individual” basis.</w:t>
      </w:r>
    </w:p>
    <w:p>
      <w:pPr>
        <w:spacing w:after="0" w:line="170" w:lineRule="exact"/>
        <w:rPr>
          <w:sz w:val="20"/>
          <w:szCs w:val="20"/>
          <w:color w:val="auto"/>
        </w:rPr>
      </w:pPr>
    </w:p>
    <w:p>
      <w:pPr>
        <w:jc w:val="both"/>
        <w:ind w:left="60" w:right="100" w:firstLine="488"/>
        <w:spacing w:after="0" w:line="250" w:lineRule="auto"/>
        <w:rPr>
          <w:sz w:val="20"/>
          <w:szCs w:val="20"/>
          <w:color w:val="auto"/>
        </w:rPr>
      </w:pPr>
      <w:r>
        <w:rPr>
          <w:rFonts w:ascii="Arial" w:cs="Arial" w:eastAsia="Arial" w:hAnsi="Arial"/>
          <w:sz w:val="17"/>
          <w:szCs w:val="17"/>
          <w:color w:val="auto"/>
        </w:rPr>
        <w:t>Regardless of the dollar value, Covered Persons may not give a gift or provide entertainment that is inappropriate under the circumstances, or inconsistent with applicable law or regulations, to persons associated with securities or financial organizations, exchanges, member firms, commodity firms, news media or ERISA fiduciaries. In addition, Covered Persons must confer with the CCO, who may consult legal counsel, before making contact with state or local government plans, and comply with all applicable state or local laws regarding such communications.</w:t>
      </w:r>
    </w:p>
    <w:p>
      <w:pPr>
        <w:spacing w:after="0" w:line="207" w:lineRule="exact"/>
        <w:rPr>
          <w:sz w:val="20"/>
          <w:szCs w:val="20"/>
          <w:color w:val="auto"/>
        </w:rPr>
      </w:pPr>
    </w:p>
    <w:p>
      <w:pPr>
        <w:jc w:val="both"/>
        <w:ind w:left="60" w:right="80" w:firstLine="488"/>
        <w:spacing w:after="0" w:line="254" w:lineRule="auto"/>
        <w:rPr>
          <w:sz w:val="20"/>
          <w:szCs w:val="20"/>
          <w:color w:val="auto"/>
        </w:rPr>
      </w:pPr>
      <w:r>
        <w:rPr>
          <w:rFonts w:ascii="Arial" w:cs="Arial" w:eastAsia="Arial" w:hAnsi="Arial"/>
          <w:sz w:val="17"/>
          <w:szCs w:val="17"/>
          <w:color w:val="auto"/>
        </w:rPr>
        <w:t>The CCO shall maintain a log of all business-related gifts given or received by all Covered Persons in excess of $250, and of all similarly related business entertainment accepted by a Covered Person or furnished by a Covered Person on behalf of the Corporation, the value of either which exceeds $250. These thresholds are on a “per individual” basis.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311" w:right="239" w:bottom="1440" w:gutter="0" w:footer="0" w:header="0"/>
        </w:sectPr>
      </w:pPr>
    </w:p>
    <w:bookmarkStart w:id="156" w:name="page157"/>
    <w:bookmarkEnd w:id="156"/>
    <w:p>
      <w:pPr>
        <w:ind w:left="80"/>
        <w:spacing w:after="0"/>
        <w:rPr>
          <w:sz w:val="20"/>
          <w:szCs w:val="20"/>
          <w:color w:val="auto"/>
        </w:rPr>
      </w:pPr>
      <w:r>
        <w:rPr>
          <w:rFonts w:ascii="Arial" w:cs="Arial" w:eastAsia="Arial" w:hAnsi="Arial"/>
          <w:sz w:val="17"/>
          <w:szCs w:val="17"/>
          <w:b w:val="1"/>
          <w:bCs w:val="1"/>
          <w:color w:val="auto"/>
        </w:rPr>
        <w:t>Section VII. Annual Acknowledgement, Affirmation and Certification</w:t>
      </w:r>
    </w:p>
    <w:p>
      <w:pPr>
        <w:spacing w:after="0" w:line="238" w:lineRule="exact"/>
        <w:rPr>
          <w:sz w:val="20"/>
          <w:szCs w:val="20"/>
          <w:color w:val="auto"/>
        </w:rPr>
      </w:pPr>
    </w:p>
    <w:p>
      <w:pPr>
        <w:ind w:left="360" w:hanging="274"/>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Access Persons</w:t>
      </w:r>
      <w:r>
        <w:rPr>
          <w:rFonts w:ascii="Arial" w:cs="Arial" w:eastAsia="Arial" w:hAnsi="Arial"/>
          <w:sz w:val="17"/>
          <w:szCs w:val="17"/>
          <w:color w:val="auto"/>
        </w:rPr>
        <w:t>.</w:t>
      </w:r>
    </w:p>
    <w:p>
      <w:pPr>
        <w:spacing w:after="0" w:line="234" w:lineRule="exact"/>
        <w:rPr>
          <w:sz w:val="20"/>
          <w:szCs w:val="20"/>
          <w:color w:val="auto"/>
        </w:rPr>
      </w:pPr>
    </w:p>
    <w:p>
      <w:pPr>
        <w:jc w:val="both"/>
        <w:ind w:left="80" w:right="80" w:firstLine="464"/>
        <w:spacing w:after="0" w:line="250" w:lineRule="auto"/>
        <w:rPr>
          <w:sz w:val="20"/>
          <w:szCs w:val="20"/>
          <w:color w:val="auto"/>
        </w:rPr>
      </w:pPr>
      <w:r>
        <w:rPr>
          <w:rFonts w:ascii="Arial" w:cs="Arial" w:eastAsia="Arial" w:hAnsi="Arial"/>
          <w:sz w:val="17"/>
          <w:szCs w:val="17"/>
          <w:color w:val="auto"/>
        </w:rPr>
        <w:t>Access Persons shall be required to acknowledge annually that they have read this Code, that they understand and recognize that they are subject to the Code, and affirm that they will fully comply with the Code on a going-forward basis. Further, Access Persons who have been subject to the Code at any time during the previous year shall be required to certify annually that they have complied with the requirements of this Code. A form of such acknowledgement, affirmation and certification is attached as Schedule D.</w:t>
      </w:r>
    </w:p>
    <w:p>
      <w:pPr>
        <w:spacing w:after="0" w:line="207" w:lineRule="exact"/>
        <w:rPr>
          <w:sz w:val="20"/>
          <w:szCs w:val="20"/>
          <w:color w:val="auto"/>
        </w:rPr>
      </w:pPr>
    </w:p>
    <w:p>
      <w:pPr>
        <w:ind w:left="360" w:hanging="274"/>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Board Review</w:t>
      </w:r>
      <w:r>
        <w:rPr>
          <w:rFonts w:ascii="Arial" w:cs="Arial" w:eastAsia="Arial" w:hAnsi="Arial"/>
          <w:sz w:val="17"/>
          <w:szCs w:val="17"/>
          <w:color w:val="auto"/>
        </w:rPr>
        <w:t>.</w:t>
      </w:r>
    </w:p>
    <w:p>
      <w:pPr>
        <w:spacing w:after="0" w:line="234" w:lineRule="exact"/>
        <w:rPr>
          <w:sz w:val="20"/>
          <w:szCs w:val="20"/>
          <w:color w:val="auto"/>
        </w:rPr>
      </w:pPr>
    </w:p>
    <w:p>
      <w:pPr>
        <w:jc w:val="both"/>
        <w:ind w:left="80" w:right="100" w:firstLine="464"/>
        <w:spacing w:after="0" w:line="250" w:lineRule="auto"/>
        <w:rPr>
          <w:sz w:val="20"/>
          <w:szCs w:val="20"/>
          <w:color w:val="auto"/>
        </w:rPr>
      </w:pPr>
      <w:r>
        <w:rPr>
          <w:rFonts w:ascii="Arial" w:cs="Arial" w:eastAsia="Arial" w:hAnsi="Arial"/>
          <w:sz w:val="17"/>
          <w:szCs w:val="17"/>
          <w:color w:val="auto"/>
        </w:rPr>
        <w:t>No less frequently than annually, the Sutter Rock Entities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has adopted procedures reasonably necessary to prevent Access Persons from violating the Code.</w:t>
      </w:r>
    </w:p>
    <w:p>
      <w:pPr>
        <w:spacing w:after="0" w:line="203" w:lineRule="exact"/>
        <w:rPr>
          <w:sz w:val="20"/>
          <w:szCs w:val="20"/>
          <w:color w:val="auto"/>
        </w:rPr>
      </w:pPr>
    </w:p>
    <w:p>
      <w:pPr>
        <w:ind w:left="80"/>
        <w:spacing w:after="0"/>
        <w:tabs>
          <w:tab w:leader="none" w:pos="1180" w:val="left"/>
        </w:tabs>
        <w:rPr>
          <w:sz w:val="20"/>
          <w:szCs w:val="20"/>
          <w:color w:val="auto"/>
        </w:rPr>
      </w:pPr>
      <w:r>
        <w:rPr>
          <w:rFonts w:ascii="Arial" w:cs="Arial" w:eastAsia="Arial" w:hAnsi="Arial"/>
          <w:sz w:val="17"/>
          <w:szCs w:val="17"/>
          <w:b w:val="1"/>
          <w:bCs w:val="1"/>
          <w:color w:val="auto"/>
        </w:rPr>
        <w:t>Section VIII.</w:t>
      </w:r>
      <w:r>
        <w:rPr>
          <w:sz w:val="20"/>
          <w:szCs w:val="20"/>
          <w:color w:val="auto"/>
        </w:rPr>
        <w:tab/>
      </w:r>
      <w:r>
        <w:rPr>
          <w:rFonts w:ascii="Arial" w:cs="Arial" w:eastAsia="Arial" w:hAnsi="Arial"/>
          <w:sz w:val="14"/>
          <w:szCs w:val="14"/>
          <w:b w:val="1"/>
          <w:bCs w:val="1"/>
          <w:color w:val="auto"/>
        </w:rPr>
        <w:t>Sanctions</w:t>
      </w:r>
    </w:p>
    <w:p>
      <w:pPr>
        <w:spacing w:after="0" w:line="203" w:lineRule="exact"/>
        <w:rPr>
          <w:sz w:val="20"/>
          <w:szCs w:val="20"/>
          <w:color w:val="auto"/>
        </w:rPr>
      </w:pPr>
    </w:p>
    <w:p>
      <w:pPr>
        <w:jc w:val="both"/>
        <w:ind w:left="80" w:right="80" w:firstLine="464"/>
        <w:spacing w:after="0" w:line="294" w:lineRule="auto"/>
        <w:rPr>
          <w:sz w:val="20"/>
          <w:szCs w:val="20"/>
          <w:color w:val="auto"/>
        </w:rPr>
      </w:pPr>
      <w:r>
        <w:rPr>
          <w:rFonts w:ascii="Arial" w:cs="Arial" w:eastAsia="Arial" w:hAnsi="Arial"/>
          <w:sz w:val="15"/>
          <w:szCs w:val="15"/>
          <w:color w:val="auto"/>
        </w:rPr>
        <w:t>Any violation of this Code shall be subject to the imposition of such sanctions as may be deemed appropriate under the circumstances to achieve the purposes of Rule 17j-1 and this Code. The sanctions to be imposed shall be determined by the Corporation’s board of directors, including a majority of the Independent Directors.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73" w:lineRule="exact"/>
        <w:rPr>
          <w:sz w:val="20"/>
          <w:szCs w:val="20"/>
          <w:color w:val="auto"/>
        </w:rPr>
      </w:pPr>
    </w:p>
    <w:p>
      <w:pPr>
        <w:ind w:left="80"/>
        <w:spacing w:after="0"/>
        <w:tabs>
          <w:tab w:leader="none" w:pos="1040" w:val="left"/>
        </w:tabs>
        <w:rPr>
          <w:sz w:val="20"/>
          <w:szCs w:val="20"/>
          <w:color w:val="auto"/>
        </w:rPr>
      </w:pPr>
      <w:r>
        <w:rPr>
          <w:rFonts w:ascii="Arial" w:cs="Arial" w:eastAsia="Arial" w:hAnsi="Arial"/>
          <w:sz w:val="17"/>
          <w:szCs w:val="17"/>
          <w:b w:val="1"/>
          <w:bCs w:val="1"/>
          <w:color w:val="auto"/>
        </w:rPr>
        <w:t>Section IX.</w:t>
      </w:r>
      <w:r>
        <w:rPr>
          <w:sz w:val="20"/>
          <w:szCs w:val="20"/>
          <w:color w:val="auto"/>
        </w:rPr>
        <w:tab/>
      </w:r>
      <w:r>
        <w:rPr>
          <w:rFonts w:ascii="Arial" w:cs="Arial" w:eastAsia="Arial" w:hAnsi="Arial"/>
          <w:sz w:val="15"/>
          <w:szCs w:val="15"/>
          <w:b w:val="1"/>
          <w:bCs w:val="1"/>
          <w:color w:val="auto"/>
        </w:rPr>
        <w:t>Administration and Construction</w:t>
      </w:r>
    </w:p>
    <w:p>
      <w:pPr>
        <w:spacing w:after="0" w:line="238" w:lineRule="exact"/>
        <w:rPr>
          <w:sz w:val="20"/>
          <w:szCs w:val="20"/>
          <w:color w:val="auto"/>
        </w:rPr>
      </w:pPr>
    </w:p>
    <w:p>
      <w:pPr>
        <w:ind w:left="380" w:hanging="317"/>
        <w:spacing w:after="0"/>
        <w:tabs>
          <w:tab w:leader="none" w:pos="3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administration of this Code shall be the responsibility of the CCO.</w:t>
      </w:r>
    </w:p>
    <w:p>
      <w:pPr>
        <w:spacing w:after="0" w:line="303" w:lineRule="exact"/>
        <w:rPr>
          <w:rFonts w:ascii="Arial" w:cs="Arial" w:eastAsia="Arial" w:hAnsi="Arial"/>
          <w:sz w:val="17"/>
          <w:szCs w:val="17"/>
          <w:color w:val="auto"/>
        </w:rPr>
      </w:pPr>
    </w:p>
    <w:p>
      <w:pPr>
        <w:ind w:left="360" w:hanging="274"/>
        <w:spacing w:after="0"/>
        <w:tabs>
          <w:tab w:leader="none" w:pos="3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duties of the CCO are as follows:</w:t>
      </w:r>
    </w:p>
    <w:p>
      <w:pPr>
        <w:spacing w:after="0" w:line="106" w:lineRule="exact"/>
        <w:rPr>
          <w:rFonts w:ascii="Arial" w:cs="Arial" w:eastAsia="Arial" w:hAnsi="Arial"/>
          <w:sz w:val="17"/>
          <w:szCs w:val="17"/>
          <w:color w:val="auto"/>
        </w:rPr>
      </w:pPr>
    </w:p>
    <w:p>
      <w:pPr>
        <w:ind w:left="820" w:right="80" w:hanging="270"/>
        <w:spacing w:after="0" w:line="267" w:lineRule="auto"/>
        <w:tabs>
          <w:tab w:leader="none" w:pos="82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Maintain continuously a current list of the names of all Access Persons with an appropriate description of their title or employment, including a notation of any directorships held by Access Persons, and inform all Access Persons of their reporting obligations hereunder;</w:t>
      </w:r>
    </w:p>
    <w:p>
      <w:pPr>
        <w:spacing w:after="0" w:line="157" w:lineRule="exact"/>
        <w:rPr>
          <w:rFonts w:ascii="Arial" w:cs="Arial" w:eastAsia="Arial" w:hAnsi="Arial"/>
          <w:sz w:val="17"/>
          <w:szCs w:val="17"/>
          <w:color w:val="auto"/>
        </w:rPr>
      </w:pPr>
    </w:p>
    <w:p>
      <w:pPr>
        <w:jc w:val="both"/>
        <w:ind w:left="820" w:right="80" w:hanging="270"/>
        <w:spacing w:after="0" w:line="254" w:lineRule="auto"/>
        <w:tabs>
          <w:tab w:leader="none" w:pos="82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On an annual basis, provide all Covered Persons a copy of this Code and inform such persons of their duties and obligations hereunder including making available any supplemental training that may be required from time to time. In addition, provide to all Covered Persons updated copies of the Code each time it is amended;</w:t>
      </w:r>
    </w:p>
    <w:p>
      <w:pPr>
        <w:spacing w:after="0" w:line="203" w:lineRule="exact"/>
        <w:rPr>
          <w:rFonts w:ascii="Arial" w:cs="Arial" w:eastAsia="Arial" w:hAnsi="Arial"/>
          <w:sz w:val="17"/>
          <w:szCs w:val="17"/>
          <w:color w:val="auto"/>
        </w:rPr>
      </w:pPr>
    </w:p>
    <w:p>
      <w:pPr>
        <w:ind w:left="820" w:right="80" w:hanging="270"/>
        <w:spacing w:after="0" w:line="267" w:lineRule="auto"/>
        <w:tabs>
          <w:tab w:leader="none" w:pos="82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Collect from all Covered Persons a signed “Acknowledgement, Affirmation and Certification of Compliance with Sutter Rock Compliance Program Documents” form (which is attached as Schedule D) annually and each time the Code is amended;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539" w:right="239" w:bottom="1440" w:gutter="0" w:footer="0" w:header="0"/>
        </w:sectPr>
      </w:pPr>
    </w:p>
    <w:bookmarkStart w:id="157" w:name="page158"/>
    <w:bookmarkEnd w:id="157"/>
    <w:p>
      <w:pPr>
        <w:ind w:left="820" w:hanging="270"/>
        <w:spacing w:after="0"/>
        <w:tabs>
          <w:tab w:leader="none" w:pos="8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Maintain or supervise the maintenance of all records (including pre-clearance and other approvals granted) and reports required by this Code;</w:t>
      </w:r>
    </w:p>
    <w:p>
      <w:pPr>
        <w:spacing w:after="0" w:line="245" w:lineRule="exact"/>
        <w:rPr>
          <w:rFonts w:ascii="Arial" w:cs="Arial" w:eastAsia="Arial" w:hAnsi="Arial"/>
          <w:sz w:val="16"/>
          <w:szCs w:val="16"/>
          <w:color w:val="auto"/>
        </w:rPr>
      </w:pPr>
    </w:p>
    <w:p>
      <w:pPr>
        <w:ind w:left="820" w:hanging="270"/>
        <w:spacing w:after="0"/>
        <w:tabs>
          <w:tab w:leader="none" w:pos="8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Review the contents of holdings reports submitted by Access Persons;</w:t>
      </w:r>
    </w:p>
    <w:p>
      <w:pPr>
        <w:spacing w:after="0" w:line="234" w:lineRule="exact"/>
        <w:rPr>
          <w:rFonts w:ascii="Arial" w:cs="Arial" w:eastAsia="Arial" w:hAnsi="Arial"/>
          <w:sz w:val="17"/>
          <w:szCs w:val="17"/>
          <w:color w:val="auto"/>
        </w:rPr>
      </w:pPr>
    </w:p>
    <w:p>
      <w:pPr>
        <w:jc w:val="both"/>
        <w:ind w:left="820" w:right="80" w:hanging="270"/>
        <w:spacing w:after="0" w:line="254" w:lineRule="auto"/>
        <w:tabs>
          <w:tab w:leader="none" w:pos="8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Review reports of all transactions effected by Access Persons who are subject to the requirement to file Quarterly Securities Transaction Reports and review such transactions against a listing of all transactions effected by the Corporation and securities of any companies included on the Restricted List during the reporting period;</w:t>
      </w:r>
    </w:p>
    <w:p>
      <w:pPr>
        <w:spacing w:after="0" w:line="203" w:lineRule="exact"/>
        <w:rPr>
          <w:rFonts w:ascii="Arial" w:cs="Arial" w:eastAsia="Arial" w:hAnsi="Arial"/>
          <w:sz w:val="17"/>
          <w:szCs w:val="17"/>
          <w:color w:val="auto"/>
        </w:rPr>
      </w:pPr>
    </w:p>
    <w:p>
      <w:pPr>
        <w:ind w:left="820" w:right="80" w:hanging="270"/>
        <w:spacing w:after="0" w:line="267" w:lineRule="auto"/>
        <w:tabs>
          <w:tab w:leader="none" w:pos="8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Issue, either personally or with the assistance of counsel, as may be appropriate, any interpretation of this Code that may appear consistent with the objectives of Rule 17j-1 and this Code;</w:t>
      </w:r>
    </w:p>
    <w:p>
      <w:pPr>
        <w:spacing w:after="0" w:line="192" w:lineRule="exact"/>
        <w:rPr>
          <w:rFonts w:ascii="Arial" w:cs="Arial" w:eastAsia="Arial" w:hAnsi="Arial"/>
          <w:sz w:val="17"/>
          <w:szCs w:val="17"/>
          <w:color w:val="auto"/>
        </w:rPr>
      </w:pPr>
    </w:p>
    <w:p>
      <w:pPr>
        <w:ind w:left="820" w:right="100" w:hanging="270"/>
        <w:spacing w:after="0" w:line="267" w:lineRule="auto"/>
        <w:tabs>
          <w:tab w:leader="none" w:pos="8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Conduct such inspections or investigations as shall reasonably be required to detect and report, with recommendations, any apparent violations of this Code to the board of directors of the Corporation; and</w:t>
      </w:r>
    </w:p>
    <w:p>
      <w:pPr>
        <w:spacing w:after="0" w:line="192" w:lineRule="exact"/>
        <w:rPr>
          <w:rFonts w:ascii="Arial" w:cs="Arial" w:eastAsia="Arial" w:hAnsi="Arial"/>
          <w:sz w:val="17"/>
          <w:szCs w:val="17"/>
          <w:color w:val="auto"/>
        </w:rPr>
      </w:pPr>
    </w:p>
    <w:p>
      <w:pPr>
        <w:ind w:left="820" w:right="100" w:hanging="270"/>
        <w:spacing w:after="0" w:line="267" w:lineRule="auto"/>
        <w:tabs>
          <w:tab w:leader="none" w:pos="8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Submit a written report to the board of directors of the Corporation, no less frequently than annually, that describes any issues arising under the Code since the last such report, including but not limited to the information described in Section VII(B).</w:t>
      </w:r>
    </w:p>
    <w:p>
      <w:pPr>
        <w:spacing w:after="0" w:line="192" w:lineRule="exact"/>
        <w:rPr>
          <w:rFonts w:ascii="Arial" w:cs="Arial" w:eastAsia="Arial" w:hAnsi="Arial"/>
          <w:sz w:val="17"/>
          <w:szCs w:val="17"/>
          <w:color w:val="auto"/>
        </w:rPr>
      </w:pPr>
    </w:p>
    <w:p>
      <w:pPr>
        <w:ind w:left="360" w:hanging="274"/>
        <w:spacing w:after="0"/>
        <w:tabs>
          <w:tab w:leader="none" w:pos="3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CCO shall maintain and cause to be maintained in an easily accessible place at the principal place of business of the Corporation the following records:</w:t>
      </w:r>
    </w:p>
    <w:p>
      <w:pPr>
        <w:spacing w:after="0" w:line="257" w:lineRule="exact"/>
        <w:rPr>
          <w:rFonts w:ascii="Arial" w:cs="Arial" w:eastAsia="Arial" w:hAnsi="Arial"/>
          <w:sz w:val="15"/>
          <w:szCs w:val="15"/>
          <w:color w:val="auto"/>
        </w:rPr>
      </w:pPr>
    </w:p>
    <w:p>
      <w:pPr>
        <w:ind w:left="920" w:hanging="277"/>
        <w:spacing w:after="0"/>
        <w:tabs>
          <w:tab w:leader="none" w:pos="92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A copy of all codes of ethics adopted by the Corporation pursuant to Rule 17j-1 that have been in effect at any time during the past five (5) years;</w:t>
      </w:r>
    </w:p>
    <w:p>
      <w:pPr>
        <w:spacing w:after="0" w:line="210" w:lineRule="exact"/>
        <w:rPr>
          <w:rFonts w:ascii="Arial" w:cs="Arial" w:eastAsia="Arial" w:hAnsi="Arial"/>
          <w:sz w:val="16"/>
          <w:szCs w:val="16"/>
          <w:color w:val="auto"/>
        </w:rPr>
      </w:pPr>
    </w:p>
    <w:p>
      <w:pPr>
        <w:ind w:left="920" w:right="100" w:hanging="277"/>
        <w:spacing w:after="0" w:line="267" w:lineRule="auto"/>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 copy of all signed “Acknowledgement, Affirmation and Certification of Compliance with Sutter Rock Compliance Program Documents” forms (see Schedule D) for at least five (5) years after the end of the fiscal year in which the Acknowledgement, etc. is submitted;</w:t>
      </w:r>
    </w:p>
    <w:p>
      <w:pPr>
        <w:spacing w:after="0" w:line="192" w:lineRule="exact"/>
        <w:rPr>
          <w:rFonts w:ascii="Arial" w:cs="Arial" w:eastAsia="Arial" w:hAnsi="Arial"/>
          <w:sz w:val="17"/>
          <w:szCs w:val="17"/>
          <w:color w:val="auto"/>
        </w:rPr>
      </w:pPr>
    </w:p>
    <w:p>
      <w:pPr>
        <w:ind w:left="920" w:right="100" w:hanging="277"/>
        <w:spacing w:after="0" w:line="267" w:lineRule="auto"/>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 record of each violation of such code of ethics and of any action taken as a result of such violation for at least five (5) years after the end of the fiscal year in which the violation occurs;</w:t>
      </w:r>
    </w:p>
    <w:p>
      <w:pPr>
        <w:spacing w:after="0" w:line="192" w:lineRule="exact"/>
        <w:rPr>
          <w:rFonts w:ascii="Arial" w:cs="Arial" w:eastAsia="Arial" w:hAnsi="Arial"/>
          <w:sz w:val="17"/>
          <w:szCs w:val="17"/>
          <w:color w:val="auto"/>
        </w:rPr>
      </w:pPr>
    </w:p>
    <w:p>
      <w:pPr>
        <w:ind w:left="920" w:right="100" w:hanging="277"/>
        <w:spacing w:after="0" w:line="267" w:lineRule="auto"/>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 copy of each report made by an Access Person for at least two (2) years after the end of the fiscal year in which the report is made, and for an additional three (3) years in a place that need not be easily accessible;</w:t>
      </w:r>
    </w:p>
    <w:p>
      <w:pPr>
        <w:spacing w:after="0" w:line="157" w:lineRule="exact"/>
        <w:rPr>
          <w:rFonts w:ascii="Arial" w:cs="Arial" w:eastAsia="Arial" w:hAnsi="Arial"/>
          <w:sz w:val="17"/>
          <w:szCs w:val="17"/>
          <w:color w:val="auto"/>
        </w:rPr>
      </w:pPr>
    </w:p>
    <w:p>
      <w:pPr>
        <w:ind w:left="920" w:right="100" w:hanging="277"/>
        <w:spacing w:after="0" w:line="267" w:lineRule="auto"/>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 copy of each report made by the CCO to the board of directors for two (2) years from the end of the fiscal year of the Corporation in which such report is made or issued and for an additional three (3) years in a place that need not be easily accessible;</w:t>
      </w:r>
    </w:p>
    <w:p>
      <w:pPr>
        <w:spacing w:after="0" w:line="192" w:lineRule="exact"/>
        <w:rPr>
          <w:rFonts w:ascii="Arial" w:cs="Arial" w:eastAsia="Arial" w:hAnsi="Arial"/>
          <w:sz w:val="17"/>
          <w:szCs w:val="17"/>
          <w:color w:val="auto"/>
        </w:rPr>
      </w:pPr>
    </w:p>
    <w:p>
      <w:pPr>
        <w:ind w:left="920" w:right="100" w:hanging="277"/>
        <w:spacing w:after="0" w:line="267" w:lineRule="auto"/>
        <w:tabs>
          <w:tab w:leader="none" w:pos="92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A list of all persons who are, or within the past five (5) years have been, required to make reports pursuant to Rule 17j-1 and this Code, or who are or were responsible for reviewing such reports;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543" w:right="239" w:bottom="1440" w:gutter="0" w:footer="0" w:header="0"/>
        </w:sectPr>
      </w:pPr>
    </w:p>
    <w:bookmarkStart w:id="158" w:name="page159"/>
    <w:bookmarkEnd w:id="158"/>
    <w:p>
      <w:pPr>
        <w:ind w:left="920" w:right="100" w:hanging="277"/>
        <w:spacing w:after="0" w:line="267" w:lineRule="auto"/>
        <w:tabs>
          <w:tab w:leader="none" w:pos="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 copy of each report required by Section VII(B) for at least two (2) years after the end of the fiscal year in which it is made, and for an additional three (3) years in a place that need not be easily accessible; and</w:t>
      </w:r>
    </w:p>
    <w:p>
      <w:pPr>
        <w:spacing w:after="0" w:line="192" w:lineRule="exact"/>
        <w:rPr>
          <w:rFonts w:ascii="Arial" w:cs="Arial" w:eastAsia="Arial" w:hAnsi="Arial"/>
          <w:sz w:val="17"/>
          <w:szCs w:val="17"/>
          <w:color w:val="auto"/>
        </w:rPr>
      </w:pPr>
    </w:p>
    <w:p>
      <w:pPr>
        <w:ind w:left="920" w:right="80" w:hanging="277"/>
        <w:spacing w:after="0" w:line="267" w:lineRule="auto"/>
        <w:tabs>
          <w:tab w:leader="none" w:pos="9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Investment Persons of securities in an Initial Public Offering or Limited Offering for at least five (5) years after the end of the fiscal year in which the approval is granted.</w:t>
      </w:r>
    </w:p>
    <w:p>
      <w:pPr>
        <w:spacing w:after="0" w:line="133" w:lineRule="exact"/>
        <w:rPr>
          <w:rFonts w:ascii="Arial" w:cs="Arial" w:eastAsia="Arial" w:hAnsi="Arial"/>
          <w:sz w:val="17"/>
          <w:szCs w:val="17"/>
          <w:color w:val="auto"/>
        </w:rPr>
      </w:pPr>
    </w:p>
    <w:p>
      <w:pPr>
        <w:ind w:left="360" w:hanging="274"/>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Code may not be amended or modified except in a written form that is specifically approved by majority vote of the Independent Directors.</w:t>
      </w:r>
    </w:p>
    <w:p>
      <w:pPr>
        <w:spacing w:after="0" w:line="234" w:lineRule="exact"/>
        <w:rPr>
          <w:sz w:val="20"/>
          <w:szCs w:val="20"/>
          <w:color w:val="auto"/>
        </w:rPr>
      </w:pPr>
    </w:p>
    <w:p>
      <w:pPr>
        <w:jc w:val="both"/>
        <w:ind w:right="80" w:firstLine="557"/>
        <w:spacing w:after="0" w:line="254" w:lineRule="auto"/>
        <w:rPr>
          <w:sz w:val="20"/>
          <w:szCs w:val="20"/>
          <w:color w:val="auto"/>
        </w:rPr>
      </w:pPr>
      <w:r>
        <w:rPr>
          <w:rFonts w:ascii="Arial" w:cs="Arial" w:eastAsia="Arial" w:hAnsi="Arial"/>
          <w:sz w:val="17"/>
          <w:szCs w:val="17"/>
          <w:color w:val="auto"/>
        </w:rPr>
        <w:t>This Code was adopted and approved by the Board of Directors of the Corporation, including a majority of the Independent Directors, on March 28, 2011, was revised on August 10, 2011, and again revised on August 6, 2012, September 9, 2012, March 5, 2015, July 30, 2015, March 2, 2016, March 1, 2017, February 28, 2018, and March 5, 2020.</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Last</w:t>
      </w:r>
    </w:p>
    <w:p>
      <w:pPr>
        <w:spacing w:after="0"/>
        <w:rPr>
          <w:sz w:val="20"/>
          <w:szCs w:val="20"/>
          <w:color w:val="auto"/>
        </w:rPr>
      </w:pPr>
      <w:r>
        <w:rPr>
          <w:rFonts w:ascii="Arial" w:cs="Arial" w:eastAsia="Arial" w:hAnsi="Arial"/>
          <w:sz w:val="12"/>
          <w:szCs w:val="12"/>
          <w:color w:val="auto"/>
        </w:rPr>
        <w:t>Approved: March 5, 2020</w:t>
      </w:r>
    </w:p>
    <w:p>
      <w:pPr>
        <w:sectPr>
          <w:pgSz w:w="11900" w:h="16838" w:orient="portrait"/>
          <w:cols w:equalWidth="0" w:num="1">
            <w:col w:w="11340"/>
          </w:cols>
          <w:pgMar w:left="320" w:top="310" w:right="239" w:bottom="1440" w:gutter="0" w:footer="0" w:header="0"/>
        </w:sectPr>
      </w:pPr>
    </w:p>
    <w:bookmarkStart w:id="159" w:name="page160"/>
    <w:bookmarkEnd w:id="159"/>
    <w:p>
      <w:pPr>
        <w:ind w:left="6560"/>
        <w:spacing w:after="0"/>
        <w:rPr>
          <w:sz w:val="20"/>
          <w:szCs w:val="20"/>
          <w:color w:val="auto"/>
        </w:rPr>
      </w:pPr>
      <w:r>
        <w:rPr>
          <w:rFonts w:ascii="Arial" w:cs="Arial" w:eastAsia="Arial" w:hAnsi="Arial"/>
          <w:sz w:val="19"/>
          <w:szCs w:val="19"/>
          <w:b w:val="1"/>
          <w:bCs w:val="1"/>
          <w:u w:val="single" w:color="auto"/>
          <w:color w:val="auto"/>
        </w:rPr>
        <w:t>SCHEDULE A</w:t>
      </w:r>
    </w:p>
    <w:p>
      <w:pPr>
        <w:spacing w:after="0" w:line="204" w:lineRule="exact"/>
        <w:rPr>
          <w:sz w:val="20"/>
          <w:szCs w:val="20"/>
          <w:color w:val="auto"/>
        </w:rPr>
      </w:pPr>
    </w:p>
    <w:p>
      <w:pPr>
        <w:ind w:left="5480"/>
        <w:spacing w:after="0"/>
        <w:rPr>
          <w:sz w:val="20"/>
          <w:szCs w:val="20"/>
          <w:color w:val="auto"/>
        </w:rPr>
      </w:pPr>
      <w:r>
        <w:rPr>
          <w:rFonts w:ascii="Arial" w:cs="Arial" w:eastAsia="Arial" w:hAnsi="Arial"/>
          <w:sz w:val="17"/>
          <w:szCs w:val="17"/>
          <w:b w:val="1"/>
          <w:bCs w:val="1"/>
          <w:u w:val="single" w:color="auto"/>
          <w:color w:val="auto"/>
        </w:rPr>
        <w:t>Sutter Rock Capital Corp.</w:t>
      </w:r>
    </w:p>
    <w:p>
      <w:pPr>
        <w:spacing w:after="0" w:line="199" w:lineRule="exact"/>
        <w:rPr>
          <w:sz w:val="20"/>
          <w:szCs w:val="20"/>
          <w:color w:val="auto"/>
        </w:rPr>
      </w:pPr>
    </w:p>
    <w:p>
      <w:pPr>
        <w:ind w:left="6160"/>
        <w:spacing w:after="0"/>
        <w:rPr>
          <w:sz w:val="20"/>
          <w:szCs w:val="20"/>
          <w:color w:val="auto"/>
        </w:rPr>
      </w:pPr>
      <w:r>
        <w:rPr>
          <w:rFonts w:ascii="Arial" w:cs="Arial" w:eastAsia="Arial" w:hAnsi="Arial"/>
          <w:sz w:val="17"/>
          <w:szCs w:val="17"/>
          <w:b w:val="1"/>
          <w:bCs w:val="1"/>
          <w:u w:val="single" w:color="auto"/>
          <w:color w:val="auto"/>
        </w:rPr>
        <w:t>Pre-Clearance Request</w:t>
      </w:r>
    </w:p>
    <w:p>
      <w:pPr>
        <w:spacing w:after="0" w:line="203" w:lineRule="exact"/>
        <w:rPr>
          <w:sz w:val="20"/>
          <w:szCs w:val="20"/>
          <w:color w:val="auto"/>
        </w:rPr>
      </w:pPr>
    </w:p>
    <w:p>
      <w:pPr>
        <w:jc w:val="both"/>
        <w:ind w:firstLine="557"/>
        <w:spacing w:after="0" w:line="254" w:lineRule="auto"/>
        <w:rPr>
          <w:sz w:val="20"/>
          <w:szCs w:val="20"/>
          <w:color w:val="auto"/>
        </w:rPr>
      </w:pPr>
      <w:r>
        <w:rPr>
          <w:rFonts w:ascii="Arial" w:cs="Arial" w:eastAsia="Arial" w:hAnsi="Arial"/>
          <w:sz w:val="17"/>
          <w:szCs w:val="17"/>
          <w:color w:val="auto"/>
        </w:rPr>
        <w:t>As described in Section IV of the Sutter Rock Capital Corp. Code of Ethics, this form must be submitted prior to an “Access Person” executing any transaction in Sutter Rock Capital Corp. securities, securities of any issuer included on the Restricted List, or effecting purchasing in a private placement or initial public offering of securities of any issuer.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Upon completion of this form, please submit to the CCO at: </w:t>
      </w:r>
      <w:r>
        <w:rPr>
          <w:rFonts w:ascii="Arial" w:cs="Arial" w:eastAsia="Arial" w:hAnsi="Arial"/>
          <w:sz w:val="17"/>
          <w:szCs w:val="17"/>
          <w:b w:val="1"/>
          <w:bCs w:val="1"/>
          <w:u w:val="single" w:color="auto"/>
          <w:color w:val="0000FF"/>
        </w:rPr>
        <w:t>Compliance@sutterrock.com.</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Request: _________________ Intended Trade Date: ____________________</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7"/>
          <w:szCs w:val="17"/>
          <w:color w:val="auto"/>
        </w:rPr>
        <w:t>: __________________________________________________</w:t>
      </w:r>
    </w:p>
    <w:p>
      <w:pPr>
        <w:spacing w:after="0" w:line="373" w:lineRule="exact"/>
        <w:rPr>
          <w:sz w:val="20"/>
          <w:szCs w:val="20"/>
          <w:color w:val="auto"/>
        </w:rPr>
      </w:pPr>
    </w:p>
    <w:p>
      <w:pPr>
        <w:spacing w:after="0"/>
        <w:tabs>
          <w:tab w:leader="none" w:pos="1000" w:val="left"/>
          <w:tab w:leader="none" w:pos="2100" w:val="left"/>
        </w:tabs>
        <w:rPr>
          <w:sz w:val="20"/>
          <w:szCs w:val="20"/>
          <w:color w:val="auto"/>
        </w:rPr>
      </w:pPr>
      <w:r>
        <w:rPr>
          <w:rFonts w:ascii="Arial" w:cs="Arial" w:eastAsia="Arial" w:hAnsi="Arial"/>
          <w:sz w:val="17"/>
          <w:szCs w:val="17"/>
          <w:b w:val="1"/>
          <w:bCs w:val="1"/>
          <w:color w:val="auto"/>
        </w:rPr>
        <w:t>Buy Sell</w:t>
      </w:r>
      <w:r>
        <w:rPr>
          <w:sz w:val="20"/>
          <w:szCs w:val="20"/>
          <w:color w:val="auto"/>
        </w:rPr>
        <w:tab/>
      </w:r>
      <w:r>
        <w:rPr>
          <w:rFonts w:ascii="Arial" w:cs="Arial" w:eastAsia="Arial" w:hAnsi="Arial"/>
          <w:sz w:val="17"/>
          <w:szCs w:val="17"/>
          <w:b w:val="1"/>
          <w:bCs w:val="1"/>
          <w:color w:val="auto"/>
        </w:rPr>
        <w:t>Sell Short</w:t>
      </w:r>
      <w:r>
        <w:rPr>
          <w:sz w:val="20"/>
          <w:szCs w:val="20"/>
          <w:color w:val="auto"/>
        </w:rPr>
        <w:tab/>
      </w:r>
      <w:r>
        <w:rPr>
          <w:rFonts w:ascii="Arial" w:cs="Arial" w:eastAsia="Arial" w:hAnsi="Arial"/>
          <w:sz w:val="15"/>
          <w:szCs w:val="15"/>
          <w:b w:val="1"/>
          <w:bCs w:val="1"/>
          <w:color w:val="auto"/>
        </w:rPr>
        <w:t>Cover Short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name / Security description &amp; CUSIP #:</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_________________________________________________________________________</w:t>
      </w:r>
    </w:p>
    <w:p>
      <w:pPr>
        <w:spacing w:after="0" w:line="188"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b w:val="1"/>
          <w:bCs w:val="1"/>
          <w:color w:val="auto"/>
        </w:rPr>
        <w:t>Quantity:</w:t>
      </w:r>
      <w:r>
        <w:rPr>
          <w:sz w:val="20"/>
          <w:szCs w:val="20"/>
          <w:color w:val="auto"/>
        </w:rPr>
        <w:tab/>
      </w:r>
      <w:r>
        <w:rPr>
          <w:rFonts w:ascii="Arial" w:cs="Arial" w:eastAsia="Arial" w:hAnsi="Arial"/>
          <w:sz w:val="17"/>
          <w:szCs w:val="17"/>
          <w:b w:val="1"/>
          <w:bCs w:val="1"/>
          <w:color w:val="auto"/>
        </w:rPr>
        <w:t>Market order: Limit Order:</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 for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Last trade in security (direction and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Broker: </w:t>
      </w:r>
      <w:r>
        <w:rPr>
          <w:rFonts w:ascii="Arial" w:cs="Arial" w:eastAsia="Arial" w:hAnsi="Arial"/>
          <w:sz w:val="17"/>
          <w:szCs w:val="17"/>
          <w:color w:val="auto"/>
        </w:rPr>
        <w:t>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Authorized by: </w:t>
      </w:r>
      <w:r>
        <w:rPr>
          <w:rFonts w:ascii="Arial" w:cs="Arial" w:eastAsia="Arial" w:hAnsi="Arial"/>
          <w:sz w:val="17"/>
          <w:szCs w:val="17"/>
          <w:color w:val="auto"/>
        </w:rPr>
        <w:t>_____________________________</w:t>
      </w:r>
      <w:r>
        <w:rPr>
          <w:rFonts w:ascii="Arial" w:cs="Arial" w:eastAsia="Arial" w:hAnsi="Arial"/>
          <w:sz w:val="17"/>
          <w:szCs w:val="17"/>
          <w:b w:val="1"/>
          <w:bCs w:val="1"/>
          <w:color w:val="auto"/>
        </w:rPr>
        <w:t xml:space="preserve"> Date</w:t>
      </w:r>
      <w:r>
        <w:rPr>
          <w:rFonts w:ascii="Arial" w:cs="Arial" w:eastAsia="Arial" w:hAnsi="Arial"/>
          <w:sz w:val="17"/>
          <w:szCs w:val="17"/>
          <w:color w:val="auto"/>
        </w:rPr>
        <w:t>: ________________________</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(Chief Compliance Officer or Designee)</w:t>
      </w:r>
    </w:p>
    <w:p>
      <w:pPr>
        <w:spacing w:after="0" w:line="188" w:lineRule="exact"/>
        <w:rPr>
          <w:sz w:val="20"/>
          <w:szCs w:val="20"/>
          <w:color w:val="auto"/>
        </w:rPr>
      </w:pPr>
    </w:p>
    <w:p>
      <w:pPr>
        <w:jc w:val="both"/>
        <w:ind w:firstLine="557"/>
        <w:spacing w:after="0" w:line="323" w:lineRule="auto"/>
        <w:rPr>
          <w:sz w:val="20"/>
          <w:szCs w:val="20"/>
          <w:color w:val="auto"/>
        </w:rPr>
      </w:pPr>
      <w:r>
        <w:rPr>
          <w:rFonts w:ascii="Arial" w:cs="Arial" w:eastAsia="Arial" w:hAnsi="Arial"/>
          <w:sz w:val="16"/>
          <w:szCs w:val="16"/>
          <w:color w:val="auto"/>
        </w:rPr>
        <w:t>The Chief Compliance Officer or his designee has reviewed the proposed trade, contract, instruction or plan and confirms that Sutter Rock Capital Corp. does not intend to buy or sell the above security for any client accounts within the next fifteen (15) days and/or has completed all client transactions in this security at this time. Exceptions to this statement should be noted on this form and any exception must be authorized by the Chief Compliance Officer.</w:t>
      </w:r>
    </w:p>
    <w:p>
      <w:pPr>
        <w:spacing w:after="0" w:line="78" w:lineRule="exact"/>
        <w:rPr>
          <w:sz w:val="20"/>
          <w:szCs w:val="20"/>
          <w:color w:val="auto"/>
        </w:rPr>
      </w:pPr>
    </w:p>
    <w:p>
      <w:pPr>
        <w:jc w:val="both"/>
        <w:ind w:firstLine="557"/>
        <w:spacing w:after="0" w:line="272" w:lineRule="auto"/>
        <w:rPr>
          <w:sz w:val="20"/>
          <w:szCs w:val="20"/>
          <w:color w:val="auto"/>
        </w:rPr>
      </w:pPr>
      <w:r>
        <w:rPr>
          <w:rFonts w:ascii="Arial" w:cs="Arial" w:eastAsia="Arial" w:hAnsi="Arial"/>
          <w:sz w:val="17"/>
          <w:szCs w:val="17"/>
          <w:b w:val="1"/>
          <w:bCs w:val="1"/>
          <w:color w:val="auto"/>
        </w:rPr>
        <w:t xml:space="preserve">Upon completion of the transaction, you must notify Sutter Rock Compliance at </w:t>
      </w:r>
      <w:r>
        <w:rPr>
          <w:rFonts w:ascii="Arial" w:cs="Arial" w:eastAsia="Arial" w:hAnsi="Arial"/>
          <w:sz w:val="17"/>
          <w:szCs w:val="17"/>
          <w:b w:val="1"/>
          <w:bCs w:val="1"/>
          <w:u w:val="single" w:color="auto"/>
          <w:color w:val="0000FF"/>
        </w:rPr>
        <w:t>Compliance@sutterrock.com</w:t>
      </w:r>
      <w:r>
        <w:rPr>
          <w:rFonts w:ascii="Arial" w:cs="Arial" w:eastAsia="Arial" w:hAnsi="Arial"/>
          <w:sz w:val="17"/>
          <w:szCs w:val="17"/>
          <w:b w:val="1"/>
          <w:bCs w:val="1"/>
          <w:color w:val="auto"/>
        </w:rPr>
        <w:t xml:space="preserve"> of the final execution price and trade volume.</w:t>
      </w:r>
    </w:p>
    <w:p>
      <w:pPr>
        <w:sectPr>
          <w:pgSz w:w="11900" w:h="16838" w:orient="portrait"/>
          <w:cols w:equalWidth="0" w:num="1">
            <w:col w:w="11260"/>
          </w:cols>
          <w:pgMar w:left="320" w:top="360" w:right="319" w:bottom="1440" w:gutter="0" w:footer="0" w:header="0"/>
        </w:sectPr>
      </w:pPr>
    </w:p>
    <w:bookmarkStart w:id="160" w:name="page161"/>
    <w:bookmarkEnd w:id="160"/>
    <w:p>
      <w:pPr>
        <w:ind w:left="6620"/>
        <w:spacing w:after="0"/>
        <w:rPr>
          <w:sz w:val="20"/>
          <w:szCs w:val="20"/>
          <w:color w:val="auto"/>
        </w:rPr>
      </w:pPr>
      <w:r>
        <w:rPr>
          <w:rFonts w:ascii="Arial" w:cs="Arial" w:eastAsia="Arial" w:hAnsi="Arial"/>
          <w:sz w:val="19"/>
          <w:szCs w:val="19"/>
          <w:b w:val="1"/>
          <w:bCs w:val="1"/>
          <w:u w:val="single" w:color="auto"/>
          <w:color w:val="auto"/>
        </w:rPr>
        <w:t>SCHEDULE B</w:t>
      </w:r>
    </w:p>
    <w:p>
      <w:pPr>
        <w:spacing w:after="0" w:line="88" w:lineRule="exact"/>
        <w:rPr>
          <w:sz w:val="20"/>
          <w:szCs w:val="20"/>
          <w:color w:val="auto"/>
        </w:rPr>
      </w:pPr>
    </w:p>
    <w:p>
      <w:pPr>
        <w:ind w:left="2940"/>
        <w:spacing w:after="0"/>
        <w:rPr>
          <w:sz w:val="20"/>
          <w:szCs w:val="20"/>
          <w:color w:val="auto"/>
        </w:rPr>
      </w:pPr>
      <w:r>
        <w:rPr>
          <w:rFonts w:ascii="Arial" w:cs="Arial" w:eastAsia="Arial" w:hAnsi="Arial"/>
          <w:sz w:val="17"/>
          <w:szCs w:val="17"/>
          <w:b w:val="1"/>
          <w:bCs w:val="1"/>
          <w:u w:val="single" w:color="auto"/>
          <w:color w:val="auto"/>
        </w:rPr>
        <w:t>INITIAL AND ANNUAL PERSONAL SECURITIES ACCOUNTS AND HOLDINGS REPORT</w:t>
      </w:r>
    </w:p>
    <w:p>
      <w:pPr>
        <w:spacing w:after="0" w:line="273" w:lineRule="exact"/>
        <w:rPr>
          <w:sz w:val="20"/>
          <w:szCs w:val="20"/>
          <w:color w:val="auto"/>
        </w:rPr>
      </w:pPr>
    </w:p>
    <w:p>
      <w:pPr>
        <w:ind w:right="20" w:firstLine="557"/>
        <w:spacing w:after="0" w:line="267" w:lineRule="auto"/>
        <w:rPr>
          <w:sz w:val="20"/>
          <w:szCs w:val="20"/>
          <w:color w:val="auto"/>
        </w:rPr>
      </w:pPr>
      <w:r>
        <w:rPr>
          <w:rFonts w:ascii="Arial" w:cs="Arial" w:eastAsia="Arial" w:hAnsi="Arial"/>
          <w:sz w:val="17"/>
          <w:szCs w:val="17"/>
          <w:color w:val="auto"/>
        </w:rPr>
        <w:t xml:space="preserve">I certify that the following bank or broker-dealer accounts are the only accounts holding securities </w:t>
      </w:r>
      <w:r>
        <w:rPr>
          <w:rFonts w:ascii="Arial" w:cs="Arial" w:eastAsia="Arial" w:hAnsi="Arial"/>
          <w:sz w:val="17"/>
          <w:szCs w:val="17"/>
          <w:u w:val="single" w:color="auto"/>
          <w:color w:val="auto"/>
        </w:rPr>
        <w:t>of any kind or nature whatsoever</w:t>
      </w:r>
      <w:r>
        <w:rPr>
          <w:rFonts w:ascii="Arial" w:cs="Arial" w:eastAsia="Arial" w:hAnsi="Arial"/>
          <w:sz w:val="17"/>
          <w:szCs w:val="17"/>
          <w:color w:val="auto"/>
        </w:rPr>
        <w:t xml:space="preserve"> in which I have or share a “Beneficial Ownership” interest as such term is defined in the Sutter Rock Capital Corp. Code of Ethics.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440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Name of bank or broker custodian</w:t>
            </w:r>
          </w:p>
        </w:tc>
        <w:tc>
          <w:tcPr>
            <w:tcW w:w="262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Account Number</w:t>
            </w:r>
          </w:p>
        </w:tc>
        <w:tc>
          <w:tcPr>
            <w:tcW w:w="394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7"/>
                <w:szCs w:val="17"/>
                <w:color w:val="auto"/>
              </w:rPr>
              <w:t>Name of beneficial owner of</w:t>
            </w:r>
          </w:p>
        </w:tc>
      </w:tr>
      <w:tr>
        <w:trPr>
          <w:trHeight w:val="227"/>
        </w:trPr>
        <w:tc>
          <w:tcPr>
            <w:tcW w:w="4400" w:type="dxa"/>
            <w:vAlign w:val="bottom"/>
            <w:tcBorders>
              <w:left w:val="single" w:sz="8" w:color="auto"/>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7"/>
                <w:szCs w:val="17"/>
                <w:color w:val="auto"/>
              </w:rPr>
              <w:t>record with the account custodian</w:t>
            </w:r>
          </w:p>
        </w:tc>
      </w:tr>
      <w:tr>
        <w:trPr>
          <w:trHeight w:val="441"/>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r>
        <w:trPr>
          <w:trHeight w:val="433"/>
        </w:trPr>
        <w:tc>
          <w:tcPr>
            <w:tcW w:w="4400" w:type="dxa"/>
            <w:vAlign w:val="bottom"/>
            <w:tcBorders>
              <w:left w:val="single" w:sz="8" w:color="auto"/>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 further certify that the following is a listing of all “</w:t>
      </w:r>
      <w:r>
        <w:rPr>
          <w:rFonts w:ascii="Arial" w:cs="Arial" w:eastAsia="Arial" w:hAnsi="Arial"/>
          <w:sz w:val="16"/>
          <w:szCs w:val="16"/>
          <w:u w:val="single" w:color="auto"/>
          <w:color w:val="auto"/>
        </w:rPr>
        <w:t>Covered Securities”</w:t>
      </w:r>
      <w:r>
        <w:rPr>
          <w:rFonts w:ascii="Arial" w:cs="Arial" w:eastAsia="Arial" w:hAnsi="Arial"/>
          <w:sz w:val="16"/>
          <w:szCs w:val="16"/>
          <w:color w:val="auto"/>
        </w:rPr>
        <w:t xml:space="preserve"> in which I had or shared a “Beneficial Ownership” interest as of the following date:</w:t>
      </w:r>
    </w:p>
    <w:p>
      <w:pPr>
        <w:spacing w:after="0" w:line="211" w:lineRule="exact"/>
        <w:rPr>
          <w:sz w:val="20"/>
          <w:szCs w:val="20"/>
          <w:color w:val="auto"/>
        </w:rPr>
      </w:pPr>
    </w:p>
    <w:p>
      <w:pPr>
        <w:ind w:left="560" w:hanging="288"/>
        <w:spacing w:after="0"/>
        <w:tabs>
          <w:tab w:leader="none" w:pos="5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For an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Personal Securities Holdings Report:</w:t>
      </w:r>
    </w:p>
    <w:p>
      <w:pPr>
        <w:spacing w:after="0" w:line="20" w:lineRule="exact"/>
        <w:rPr>
          <w:sz w:val="20"/>
          <w:szCs w:val="20"/>
          <w:color w:val="auto"/>
        </w:rPr>
      </w:pPr>
    </w:p>
    <w:p>
      <w:pPr>
        <w:ind w:left="1100" w:hanging="271"/>
        <w:spacing w:after="0"/>
        <w:tabs>
          <w:tab w:leader="none" w:pos="11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date indicated may not be more than 45 days prior to the date of submission, as indicated below, of this report)</w:t>
      </w:r>
    </w:p>
    <w:p>
      <w:pPr>
        <w:spacing w:after="0" w:line="215" w:lineRule="exact"/>
        <w:rPr>
          <w:rFonts w:ascii="Arial" w:cs="Arial" w:eastAsia="Arial" w:hAnsi="Arial"/>
          <w:sz w:val="17"/>
          <w:szCs w:val="17"/>
          <w:color w:val="auto"/>
        </w:rPr>
      </w:pPr>
    </w:p>
    <w:p>
      <w:pPr>
        <w:ind w:left="560" w:hanging="288"/>
        <w:spacing w:after="0"/>
        <w:tabs>
          <w:tab w:leader="none" w:pos="5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For an </w:t>
      </w:r>
      <w:r>
        <w:rPr>
          <w:rFonts w:ascii="Arial" w:cs="Arial" w:eastAsia="Arial" w:hAnsi="Arial"/>
          <w:sz w:val="17"/>
          <w:szCs w:val="17"/>
          <w:u w:val="single" w:color="auto"/>
          <w:color w:val="auto"/>
        </w:rPr>
        <w:t>Annual</w:t>
      </w:r>
      <w:r>
        <w:rPr>
          <w:rFonts w:ascii="Arial" w:cs="Arial" w:eastAsia="Arial" w:hAnsi="Arial"/>
          <w:sz w:val="17"/>
          <w:szCs w:val="17"/>
          <w:color w:val="auto"/>
        </w:rPr>
        <w:t xml:space="preserve"> Personal Securities Holdings Report:  December 31, 20___</w:t>
      </w:r>
    </w:p>
    <w:p>
      <w:pPr>
        <w:spacing w:after="0" w:line="184" w:lineRule="exact"/>
        <w:rPr>
          <w:sz w:val="20"/>
          <w:szCs w:val="20"/>
          <w:color w:val="auto"/>
        </w:rPr>
      </w:pPr>
    </w:p>
    <w:p>
      <w:pPr>
        <w:jc w:val="both"/>
        <w:ind w:left="140"/>
        <w:spacing w:after="0" w:line="257"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For holdings report purposes, the term “</w:t>
      </w:r>
      <w:r>
        <w:rPr>
          <w:rFonts w:ascii="Arial" w:cs="Arial" w:eastAsia="Arial" w:hAnsi="Arial"/>
          <w:sz w:val="17"/>
          <w:szCs w:val="17"/>
          <w:u w:val="single" w:color="auto"/>
          <w:color w:val="auto"/>
        </w:rPr>
        <w:t>Covered Securities</w:t>
      </w:r>
      <w:r>
        <w:rPr>
          <w:rFonts w:ascii="Arial" w:cs="Arial" w:eastAsia="Arial" w:hAnsi="Arial"/>
          <w:sz w:val="17"/>
          <w:szCs w:val="17"/>
          <w:color w:val="auto"/>
        </w:rPr>
        <w:t>” should be understood as including securities of all sorts, but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not</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(i)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open-end mutual funds; (ii) U.S. government or agency issued securities; and (iii) short-term debt instruments, bank CDs, bankers acceptances or repurchase agreements. Shares of exchange-traded funds (“</w:t>
      </w:r>
      <w:r>
        <w:rPr>
          <w:rFonts w:ascii="Arial" w:cs="Arial" w:eastAsia="Arial" w:hAnsi="Arial"/>
          <w:sz w:val="17"/>
          <w:szCs w:val="17"/>
          <w:b w:val="1"/>
          <w:bCs w:val="1"/>
          <w:i w:val="1"/>
          <w:iCs w:val="1"/>
          <w:color w:val="auto"/>
        </w:rPr>
        <w:t>ETFs</w:t>
      </w:r>
      <w:r>
        <w:rPr>
          <w:rFonts w:ascii="Arial" w:cs="Arial" w:eastAsia="Arial" w:hAnsi="Arial"/>
          <w:sz w:val="17"/>
          <w:szCs w:val="17"/>
          <w:color w:val="auto"/>
        </w:rPr>
        <w:t>”) are Covered Securities.</w:t>
      </w:r>
    </w:p>
    <w:p>
      <w:pPr>
        <w:sectPr>
          <w:pgSz w:w="11900" w:h="16838" w:orient="portrait"/>
          <w:cols w:equalWidth="0" w:num="1">
            <w:col w:w="11260"/>
          </w:cols>
          <w:pgMar w:left="320" w:top="361" w:right="319" w:bottom="1440" w:gutter="0" w:footer="0" w:header="0"/>
        </w:sectPr>
      </w:pPr>
    </w:p>
    <w:bookmarkStart w:id="161" w:name="page162"/>
    <w:bookmarkEnd w:id="161"/>
    <w:p>
      <w:pPr>
        <w:jc w:val="both"/>
        <w:ind w:left="100"/>
        <w:spacing w:after="0" w:line="254" w:lineRule="auto"/>
        <w:rPr>
          <w:sz w:val="20"/>
          <w:szCs w:val="20"/>
          <w:color w:val="auto"/>
        </w:rPr>
      </w:pPr>
      <w:r>
        <w:rPr>
          <w:rFonts w:ascii="Arial" w:cs="Arial" w:eastAsia="Arial" w:hAnsi="Arial"/>
          <w:sz w:val="17"/>
          <w:szCs w:val="17"/>
          <w:color w:val="auto"/>
        </w:rPr>
        <w:t>In lieu of indicating the following required information within this form, you may submit—under cover of a signed and dated copy of this form—legible copies of statements of accounts issued by the account custodian(s) wherein Covered Securities are held as of the date indicated above. Such statements should be either emailed or sent, by U.S. mail or courier service, to:</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440" w:type="dxa"/>
            <w:vAlign w:val="bottom"/>
            <w:gridSpan w:val="4"/>
          </w:tcPr>
          <w:p>
            <w:pPr>
              <w:ind w:left="1040"/>
              <w:spacing w:after="0"/>
              <w:rPr>
                <w:sz w:val="20"/>
                <w:szCs w:val="20"/>
                <w:color w:val="auto"/>
              </w:rPr>
            </w:pPr>
            <w:r>
              <w:rPr>
                <w:rFonts w:ascii="Arial" w:cs="Arial" w:eastAsia="Arial" w:hAnsi="Arial"/>
                <w:sz w:val="17"/>
                <w:szCs w:val="17"/>
                <w:color w:val="0000FF"/>
              </w:rPr>
              <w:t>Compliance@sutterrock.com</w:t>
            </w:r>
          </w:p>
        </w:tc>
        <w:tc>
          <w:tcPr>
            <w:tcW w:w="3960" w:type="dxa"/>
            <w:vAlign w:val="bottom"/>
            <w:gridSpan w:val="2"/>
          </w:tcPr>
          <w:p>
            <w:pPr>
              <w:ind w:left="120"/>
              <w:spacing w:after="0"/>
              <w:rPr>
                <w:sz w:val="20"/>
                <w:szCs w:val="20"/>
                <w:color w:val="auto"/>
              </w:rPr>
            </w:pPr>
            <w:r>
              <w:rPr>
                <w:rFonts w:ascii="Arial" w:cs="Arial" w:eastAsia="Arial" w:hAnsi="Arial"/>
                <w:sz w:val="17"/>
                <w:szCs w:val="17"/>
                <w:color w:val="auto"/>
              </w:rPr>
              <w:t>Sutter Rock Capital Corp.</w:t>
            </w:r>
          </w:p>
        </w:tc>
        <w:tc>
          <w:tcPr>
            <w:tcW w:w="17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7"/>
        </w:trPr>
        <w:tc>
          <w:tcPr>
            <w:tcW w:w="1040" w:type="dxa"/>
            <w:vAlign w:val="bottom"/>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960" w:type="dxa"/>
            <w:vAlign w:val="bottom"/>
            <w:gridSpan w:val="2"/>
          </w:tcPr>
          <w:p>
            <w:pPr>
              <w:ind w:left="600"/>
              <w:spacing w:after="0"/>
              <w:rPr>
                <w:sz w:val="20"/>
                <w:szCs w:val="20"/>
                <w:color w:val="auto"/>
              </w:rPr>
            </w:pPr>
            <w:r>
              <w:rPr>
                <w:rFonts w:ascii="Arial" w:cs="Arial" w:eastAsia="Arial" w:hAnsi="Arial"/>
                <w:sz w:val="17"/>
                <w:szCs w:val="17"/>
                <w:color w:val="auto"/>
              </w:rPr>
              <w:t>Attn: Compliance Dept.</w:t>
            </w:r>
          </w:p>
        </w:tc>
        <w:tc>
          <w:tcPr>
            <w:tcW w:w="17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9"/>
        </w:trPr>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60" w:type="dxa"/>
            <w:vAlign w:val="bottom"/>
            <w:gridSpan w:val="2"/>
          </w:tcPr>
          <w:p>
            <w:pPr>
              <w:ind w:left="600"/>
              <w:spacing w:after="0"/>
              <w:rPr>
                <w:sz w:val="20"/>
                <w:szCs w:val="20"/>
                <w:color w:val="auto"/>
              </w:rPr>
            </w:pPr>
            <w:r>
              <w:rPr>
                <w:rFonts w:ascii="Arial" w:cs="Arial" w:eastAsia="Arial" w:hAnsi="Arial"/>
                <w:sz w:val="17"/>
                <w:szCs w:val="17"/>
                <w:color w:val="auto"/>
              </w:rPr>
              <w:t>One Sansome Street, Suite 730</w:t>
            </w:r>
          </w:p>
        </w:tc>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60" w:type="dxa"/>
            <w:vAlign w:val="bottom"/>
            <w:gridSpan w:val="2"/>
          </w:tcPr>
          <w:p>
            <w:pPr>
              <w:ind w:left="600"/>
              <w:spacing w:after="0"/>
              <w:rPr>
                <w:sz w:val="20"/>
                <w:szCs w:val="20"/>
                <w:color w:val="auto"/>
              </w:rPr>
            </w:pPr>
            <w:r>
              <w:rPr>
                <w:rFonts w:ascii="Arial" w:cs="Arial" w:eastAsia="Arial" w:hAnsi="Arial"/>
                <w:sz w:val="17"/>
                <w:szCs w:val="17"/>
                <w:color w:val="auto"/>
              </w:rPr>
              <w:t>San Francisco, California 94104</w:t>
            </w:r>
          </w:p>
        </w:tc>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38"/>
        </w:trPr>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97"/>
        </w:trPr>
        <w:tc>
          <w:tcPr>
            <w:tcW w:w="20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rPr>
              <w:t>Account Custodian and</w:t>
            </w:r>
          </w:p>
        </w:tc>
        <w:tc>
          <w:tcPr>
            <w:tcW w:w="144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Issuer</w:t>
            </w:r>
          </w:p>
        </w:tc>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Security</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Exchange Ticker Symbol</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5"/>
              </w:rPr>
              <w:t>Total number of equity</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Aggregate principal</w:t>
            </w:r>
          </w:p>
        </w:tc>
      </w:tr>
      <w:tr>
        <w:trPr>
          <w:trHeight w:val="197"/>
        </w:trPr>
        <w:tc>
          <w:tcPr>
            <w:tcW w:w="20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rPr>
              <w:t>Number</w:t>
            </w:r>
          </w:p>
        </w:tc>
        <w:tc>
          <w:tcPr>
            <w:tcW w:w="10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Type</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or CUSIP Number</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security shares</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amount of</w:t>
            </w:r>
          </w:p>
        </w:tc>
      </w:tr>
      <w:tr>
        <w:trPr>
          <w:trHeight w:val="227"/>
        </w:trPr>
        <w:tc>
          <w:tcPr>
            <w:tcW w:w="104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debt securities</w:t>
            </w:r>
          </w:p>
        </w:tc>
      </w:tr>
      <w:tr>
        <w:trPr>
          <w:trHeight w:val="441"/>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433"/>
        </w:trPr>
        <w:tc>
          <w:tcPr>
            <w:tcW w:w="104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bl>
    <w:p>
      <w:pPr>
        <w:ind w:left="100"/>
        <w:spacing w:after="0"/>
        <w:rPr>
          <w:sz w:val="20"/>
          <w:szCs w:val="20"/>
          <w:color w:val="auto"/>
        </w:rPr>
      </w:pPr>
      <w:r>
        <w:rPr>
          <w:rFonts w:ascii="Arial" w:cs="Arial" w:eastAsia="Arial" w:hAnsi="Arial"/>
          <w:sz w:val="17"/>
          <w:szCs w:val="17"/>
          <w:color w:val="auto"/>
        </w:rPr>
        <w:t>(Use a continuation sheet if necessary.)</w:t>
      </w:r>
    </w:p>
    <w:p>
      <w:pPr>
        <w:spacing w:after="0" w:line="200" w:lineRule="exact"/>
        <w:rPr>
          <w:sz w:val="20"/>
          <w:szCs w:val="20"/>
          <w:color w:val="auto"/>
        </w:rPr>
      </w:pPr>
    </w:p>
    <w:p>
      <w:pPr>
        <w:spacing w:after="0" w:line="240"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7"/>
          <w:szCs w:val="17"/>
          <w:color w:val="auto"/>
        </w:rPr>
        <w:t>Signature:</w:t>
        <w:tab/>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-10795</wp:posOffset>
            </wp:positionV>
            <wp:extent cx="1079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107950" cy="7620"/>
                    </a:xfrm>
                    <a:prstGeom prst="rect">
                      <a:avLst/>
                    </a:prstGeom>
                    <a:noFill/>
                  </pic:spPr>
                </pic:pic>
              </a:graphicData>
            </a:graphic>
          </wp:anchor>
        </w:drawing>
        <w:drawing>
          <wp:anchor simplePos="0" relativeHeight="251657728" behindDoc="1" locked="0" layoutInCell="0" allowOverlap="1">
            <wp:simplePos x="0" y="0"/>
            <wp:positionH relativeFrom="column">
              <wp:posOffset>1191895</wp:posOffset>
            </wp:positionH>
            <wp:positionV relativeFrom="paragraph">
              <wp:posOffset>-10795</wp:posOffset>
            </wp:positionV>
            <wp:extent cx="1079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107950" cy="7620"/>
                    </a:xfrm>
                    <a:prstGeom prst="rect">
                      <a:avLst/>
                    </a:prstGeom>
                    <a:noFill/>
                  </pic:spPr>
                </pic:pic>
              </a:graphicData>
            </a:graphic>
          </wp:anchor>
        </w:drawing>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793115</wp:posOffset>
            </wp:positionH>
            <wp:positionV relativeFrom="paragraph">
              <wp:posOffset>-10795</wp:posOffset>
            </wp:positionV>
            <wp:extent cx="1079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107950" cy="7620"/>
                    </a:xfrm>
                    <a:prstGeom prst="rect">
                      <a:avLst/>
                    </a:prstGeom>
                    <a:noFill/>
                  </pic:spPr>
                </pic:pic>
              </a:graphicData>
            </a:graphic>
          </wp:anchor>
        </w:drawing>
      </w:r>
    </w:p>
    <w:p>
      <w:pPr>
        <w:spacing w:after="0" w:line="249" w:lineRule="exact"/>
        <w:rPr>
          <w:sz w:val="20"/>
          <w:szCs w:val="20"/>
          <w:color w:val="auto"/>
        </w:rPr>
      </w:pPr>
    </w:p>
    <w:p>
      <w:pPr>
        <w:ind w:left="500" w:hanging="288"/>
        <w:spacing w:after="0"/>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For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Holdings Reports – Must be within 10 days of initial date of association with Sutter Rock Capital Corp.</w:t>
      </w:r>
    </w:p>
    <w:p>
      <w:pPr>
        <w:spacing w:after="0" w:line="36" w:lineRule="exact"/>
        <w:rPr>
          <w:rFonts w:ascii="Arial" w:cs="Arial" w:eastAsia="Arial" w:hAnsi="Arial"/>
          <w:sz w:val="17"/>
          <w:szCs w:val="17"/>
          <w:color w:val="auto"/>
        </w:rPr>
      </w:pPr>
    </w:p>
    <w:p>
      <w:pPr>
        <w:ind w:left="500" w:hanging="288"/>
        <w:spacing w:after="0"/>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For </w:t>
      </w:r>
      <w:r>
        <w:rPr>
          <w:rFonts w:ascii="Arial" w:cs="Arial" w:eastAsia="Arial" w:hAnsi="Arial"/>
          <w:sz w:val="17"/>
          <w:szCs w:val="17"/>
          <w:u w:val="single" w:color="auto"/>
          <w:color w:val="auto"/>
        </w:rPr>
        <w:t>Annual</w:t>
      </w:r>
      <w:r>
        <w:rPr>
          <w:rFonts w:ascii="Arial" w:cs="Arial" w:eastAsia="Arial" w:hAnsi="Arial"/>
          <w:sz w:val="17"/>
          <w:szCs w:val="17"/>
          <w:color w:val="auto"/>
        </w:rPr>
        <w:t xml:space="preserve"> Holdings Reports – Must be on or before January 30 of the current year.</w:t>
      </w:r>
    </w:p>
    <w:p>
      <w:pPr>
        <w:sectPr>
          <w:pgSz w:w="11900" w:h="16838" w:orient="portrait"/>
          <w:cols w:equalWidth="0" w:num="1">
            <w:col w:w="11180"/>
          </w:cols>
          <w:pgMar w:left="380" w:top="694" w:right="339" w:bottom="1440" w:gutter="0" w:footer="0" w:header="0"/>
        </w:sectPr>
      </w:pPr>
    </w:p>
    <w:bookmarkStart w:id="162" w:name="page163"/>
    <w:bookmarkEnd w:id="162"/>
    <w:p>
      <w:pPr>
        <w:ind w:left="6600"/>
        <w:spacing w:after="0"/>
        <w:rPr>
          <w:sz w:val="20"/>
          <w:szCs w:val="20"/>
          <w:color w:val="auto"/>
        </w:rPr>
      </w:pPr>
      <w:r>
        <w:rPr>
          <w:rFonts w:ascii="Arial" w:cs="Arial" w:eastAsia="Arial" w:hAnsi="Arial"/>
          <w:sz w:val="19"/>
          <w:szCs w:val="19"/>
          <w:b w:val="1"/>
          <w:bCs w:val="1"/>
          <w:u w:val="single" w:color="auto"/>
          <w:color w:val="auto"/>
        </w:rPr>
        <w:t>SCHEDULE C</w:t>
      </w:r>
    </w:p>
    <w:p>
      <w:pPr>
        <w:spacing w:after="0" w:line="107" w:lineRule="exact"/>
        <w:rPr>
          <w:sz w:val="20"/>
          <w:szCs w:val="20"/>
          <w:color w:val="auto"/>
        </w:rPr>
      </w:pPr>
    </w:p>
    <w:p>
      <w:pPr>
        <w:ind w:left="4080"/>
        <w:spacing w:after="0"/>
        <w:rPr>
          <w:sz w:val="20"/>
          <w:szCs w:val="20"/>
          <w:color w:val="auto"/>
        </w:rPr>
      </w:pPr>
      <w:r>
        <w:rPr>
          <w:rFonts w:ascii="Arial" w:cs="Arial" w:eastAsia="Arial" w:hAnsi="Arial"/>
          <w:sz w:val="19"/>
          <w:szCs w:val="19"/>
          <w:b w:val="1"/>
          <w:bCs w:val="1"/>
          <w:u w:val="single" w:color="auto"/>
          <w:color w:val="auto"/>
        </w:rPr>
        <w:t>QUARTERLY SECURITIES TRANSACTION REPORT</w:t>
      </w:r>
    </w:p>
    <w:p>
      <w:pPr>
        <w:spacing w:after="0" w:line="196" w:lineRule="exact"/>
        <w:rPr>
          <w:sz w:val="20"/>
          <w:szCs w:val="20"/>
          <w:color w:val="auto"/>
        </w:rPr>
      </w:pPr>
    </w:p>
    <w:p>
      <w:pPr>
        <w:jc w:val="both"/>
        <w:ind w:firstLine="557"/>
        <w:spacing w:after="0" w:line="250" w:lineRule="auto"/>
        <w:rPr>
          <w:sz w:val="20"/>
          <w:szCs w:val="20"/>
          <w:color w:val="auto"/>
        </w:rPr>
      </w:pPr>
      <w:r>
        <w:rPr>
          <w:rFonts w:ascii="Arial" w:cs="Arial" w:eastAsia="Arial" w:hAnsi="Arial"/>
          <w:sz w:val="17"/>
          <w:szCs w:val="17"/>
          <w:color w:val="auto"/>
        </w:rPr>
        <w:t>The following lists all transactions in Covered Securities, in which I had any direct or indirect Beneficial Ownership interest, that were effected during the last calendar quarter and required to be reported by Section V(B) of the Sutter Rock Capital Corp. Code of Ethics. (If no such transactions took place write “NONE.”) Please sign and date this report and return it to the Chief Compliance Officer no later than the 30th day following the end of the quarter. Use reverse side if additional space is needed.</w:t>
      </w:r>
    </w:p>
    <w:p>
      <w:pPr>
        <w:spacing w:after="0" w:line="207" w:lineRule="exact"/>
        <w:rPr>
          <w:sz w:val="20"/>
          <w:szCs w:val="20"/>
          <w:color w:val="auto"/>
        </w:rPr>
      </w:pPr>
    </w:p>
    <w:p>
      <w:pPr>
        <w:ind w:left="2460"/>
        <w:spacing w:after="0"/>
        <w:rPr>
          <w:sz w:val="20"/>
          <w:szCs w:val="20"/>
          <w:color w:val="auto"/>
        </w:rPr>
      </w:pPr>
      <w:r>
        <w:rPr>
          <w:rFonts w:ascii="Arial" w:cs="Arial" w:eastAsia="Arial" w:hAnsi="Arial"/>
          <w:sz w:val="17"/>
          <w:szCs w:val="17"/>
          <w:u w:val="single" w:color="auto"/>
          <w:color w:val="auto"/>
        </w:rPr>
        <w:t>PURCHASES AND ACQUISITIONS</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80" w:type="dxa"/>
            <w:vAlign w:val="bottom"/>
            <w:gridSpan w:val="6"/>
          </w:tcPr>
          <w:p>
            <w:pPr>
              <w:jc w:val="center"/>
              <w:ind w:right="480"/>
              <w:spacing w:after="0"/>
              <w:rPr>
                <w:sz w:val="20"/>
                <w:szCs w:val="20"/>
                <w:color w:val="auto"/>
              </w:rPr>
            </w:pPr>
            <w:r>
              <w:rPr>
                <w:rFonts w:ascii="Arial" w:cs="Arial" w:eastAsia="Arial" w:hAnsi="Arial"/>
                <w:sz w:val="17"/>
                <w:szCs w:val="17"/>
                <w:color w:val="auto"/>
                <w:w w:val="88"/>
              </w:rPr>
              <w:t>No. of Shares or</w:t>
            </w:r>
          </w:p>
        </w:tc>
        <w:tc>
          <w:tcPr>
            <w:tcW w:w="460" w:type="dxa"/>
            <w:vAlign w:val="bottom"/>
          </w:tcPr>
          <w:p>
            <w:pPr>
              <w:spacing w:after="0"/>
              <w:rPr>
                <w:sz w:val="16"/>
                <w:szCs w:val="16"/>
                <w:color w:val="auto"/>
              </w:rPr>
            </w:pPr>
          </w:p>
        </w:tc>
        <w:tc>
          <w:tcPr>
            <w:tcW w:w="1920" w:type="dxa"/>
            <w:vAlign w:val="bottom"/>
            <w:gridSpan w:val="4"/>
          </w:tcPr>
          <w:p>
            <w:pPr>
              <w:jc w:val="right"/>
              <w:ind w:right="1020"/>
              <w:spacing w:after="0"/>
              <w:rPr>
                <w:sz w:val="20"/>
                <w:szCs w:val="20"/>
                <w:color w:val="auto"/>
              </w:rPr>
            </w:pPr>
            <w:r>
              <w:rPr>
                <w:rFonts w:ascii="Arial" w:cs="Arial" w:eastAsia="Arial" w:hAnsi="Arial"/>
                <w:sz w:val="17"/>
                <w:szCs w:val="17"/>
                <w:color w:val="auto"/>
                <w:w w:val="90"/>
              </w:rPr>
              <w:t>Interest Rate</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5"/>
          </w:tcPr>
          <w:p>
            <w:pPr>
              <w:jc w:val="center"/>
              <w:ind w:right="700"/>
              <w:spacing w:after="0"/>
              <w:rPr>
                <w:sz w:val="20"/>
                <w:szCs w:val="20"/>
                <w:color w:val="auto"/>
              </w:rPr>
            </w:pPr>
            <w:r>
              <w:rPr>
                <w:rFonts w:ascii="Arial" w:cs="Arial" w:eastAsia="Arial" w:hAnsi="Arial"/>
                <w:sz w:val="17"/>
                <w:szCs w:val="17"/>
                <w:color w:val="auto"/>
                <w:w w:val="91"/>
              </w:rPr>
              <w:t>Broker,</w:t>
            </w: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4"/>
        </w:trPr>
        <w:tc>
          <w:tcPr>
            <w:tcW w:w="220" w:type="dxa"/>
            <w:vAlign w:val="bottom"/>
          </w:tcPr>
          <w:p>
            <w:pPr>
              <w:spacing w:after="0"/>
              <w:rPr>
                <w:sz w:val="19"/>
                <w:szCs w:val="19"/>
                <w:color w:val="auto"/>
              </w:rPr>
            </w:pPr>
          </w:p>
        </w:tc>
        <w:tc>
          <w:tcPr>
            <w:tcW w:w="1080" w:type="dxa"/>
            <w:vAlign w:val="bottom"/>
            <w:gridSpan w:val="4"/>
          </w:tcPr>
          <w:p>
            <w:pPr>
              <w:jc w:val="center"/>
              <w:ind w:right="700"/>
              <w:spacing w:after="0"/>
              <w:rPr>
                <w:sz w:val="20"/>
                <w:szCs w:val="20"/>
                <w:color w:val="auto"/>
              </w:rPr>
            </w:pPr>
            <w:r>
              <w:rPr>
                <w:rFonts w:ascii="Arial" w:cs="Arial" w:eastAsia="Arial" w:hAnsi="Arial"/>
                <w:sz w:val="17"/>
                <w:szCs w:val="17"/>
                <w:color w:val="auto"/>
                <w:w w:val="85"/>
              </w:rPr>
              <w:t>Trade</w:t>
            </w:r>
          </w:p>
        </w:tc>
        <w:tc>
          <w:tcPr>
            <w:tcW w:w="240" w:type="dxa"/>
            <w:vAlign w:val="bottom"/>
          </w:tcPr>
          <w:p>
            <w:pPr>
              <w:spacing w:after="0"/>
              <w:rPr>
                <w:sz w:val="19"/>
                <w:szCs w:val="19"/>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7"/>
                <w:szCs w:val="17"/>
                <w:color w:val="auto"/>
                <w:w w:val="95"/>
              </w:rPr>
              <w:t>Principal</w:t>
            </w:r>
          </w:p>
        </w:tc>
        <w:tc>
          <w:tcPr>
            <w:tcW w:w="480" w:type="dxa"/>
            <w:vAlign w:val="bottom"/>
          </w:tcPr>
          <w:p>
            <w:pPr>
              <w:spacing w:after="0"/>
              <w:rPr>
                <w:sz w:val="19"/>
                <w:szCs w:val="19"/>
                <w:color w:val="auto"/>
              </w:rPr>
            </w:pPr>
          </w:p>
        </w:tc>
        <w:tc>
          <w:tcPr>
            <w:tcW w:w="2380" w:type="dxa"/>
            <w:vAlign w:val="bottom"/>
            <w:gridSpan w:val="5"/>
          </w:tcPr>
          <w:p>
            <w:pPr>
              <w:jc w:val="right"/>
              <w:ind w:right="1020"/>
              <w:spacing w:after="0"/>
              <w:rPr>
                <w:sz w:val="20"/>
                <w:szCs w:val="20"/>
                <w:color w:val="auto"/>
              </w:rPr>
            </w:pPr>
            <w:r>
              <w:rPr>
                <w:rFonts w:ascii="Arial" w:cs="Arial" w:eastAsia="Arial" w:hAnsi="Arial"/>
                <w:sz w:val="17"/>
                <w:szCs w:val="17"/>
                <w:color w:val="auto"/>
              </w:rPr>
              <w:t>and Maturity</w:t>
            </w:r>
          </w:p>
        </w:tc>
        <w:tc>
          <w:tcPr>
            <w:tcW w:w="1360" w:type="dxa"/>
            <w:vAlign w:val="bottom"/>
            <w:gridSpan w:val="2"/>
          </w:tcPr>
          <w:p>
            <w:pPr>
              <w:spacing w:after="0"/>
              <w:rPr>
                <w:sz w:val="20"/>
                <w:szCs w:val="20"/>
                <w:color w:val="auto"/>
              </w:rPr>
            </w:pPr>
            <w:r>
              <w:rPr>
                <w:rFonts w:ascii="Arial" w:cs="Arial" w:eastAsia="Arial" w:hAnsi="Arial"/>
                <w:sz w:val="17"/>
                <w:szCs w:val="17"/>
                <w:color w:val="auto"/>
              </w:rPr>
              <w:t>Name of</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5"/>
          </w:tcPr>
          <w:p>
            <w:pPr>
              <w:jc w:val="center"/>
              <w:ind w:right="680"/>
              <w:spacing w:after="0"/>
              <w:rPr>
                <w:sz w:val="20"/>
                <w:szCs w:val="20"/>
                <w:color w:val="auto"/>
              </w:rPr>
            </w:pPr>
            <w:r>
              <w:rPr>
                <w:rFonts w:ascii="Arial" w:cs="Arial" w:eastAsia="Arial" w:hAnsi="Arial"/>
                <w:sz w:val="17"/>
                <w:szCs w:val="17"/>
                <w:color w:val="auto"/>
                <w:w w:val="91"/>
              </w:rPr>
              <w:t>Dealer, or</w:t>
            </w:r>
          </w:p>
        </w:tc>
      </w:tr>
      <w:tr>
        <w:trPr>
          <w:trHeight w:val="224"/>
        </w:trPr>
        <w:tc>
          <w:tcPr>
            <w:tcW w:w="220" w:type="dxa"/>
            <w:vAlign w:val="bottom"/>
          </w:tcPr>
          <w:p>
            <w:pPr>
              <w:spacing w:after="0"/>
              <w:rPr>
                <w:sz w:val="19"/>
                <w:szCs w:val="19"/>
                <w:color w:val="auto"/>
              </w:rPr>
            </w:pPr>
          </w:p>
        </w:tc>
        <w:tc>
          <w:tcPr>
            <w:tcW w:w="38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88"/>
              </w:rPr>
              <w:t>Date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5"/>
              </w:rPr>
              <w:t>Amount</w:t>
            </w:r>
          </w:p>
        </w:tc>
        <w:tc>
          <w:tcPr>
            <w:tcW w:w="7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color w:val="auto"/>
                <w:w w:val="83"/>
              </w:rPr>
              <w:t>Date</w:t>
            </w:r>
          </w:p>
        </w:tc>
        <w:tc>
          <w:tcPr>
            <w:tcW w:w="100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1"/>
              </w:rPr>
              <w:t>Security</w:t>
            </w:r>
          </w:p>
        </w:tc>
        <w:tc>
          <w:tcPr>
            <w:tcW w:w="78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7"/>
                <w:szCs w:val="17"/>
                <w:color w:val="auto"/>
              </w:rPr>
              <w:t>Unit Price</w:t>
            </w:r>
          </w:p>
        </w:tc>
        <w:tc>
          <w:tcPr>
            <w:tcW w:w="1540" w:type="dxa"/>
            <w:vAlign w:val="bottom"/>
            <w:gridSpan w:val="2"/>
          </w:tcPr>
          <w:p>
            <w:pPr>
              <w:spacing w:after="0"/>
              <w:rPr>
                <w:sz w:val="20"/>
                <w:szCs w:val="20"/>
                <w:color w:val="auto"/>
              </w:rPr>
            </w:pPr>
            <w:r>
              <w:rPr>
                <w:rFonts w:ascii="Arial" w:cs="Arial" w:eastAsia="Arial" w:hAnsi="Arial"/>
                <w:sz w:val="17"/>
                <w:szCs w:val="17"/>
                <w:color w:val="auto"/>
              </w:rPr>
              <w:t>Total Price</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7"/>
                <w:szCs w:val="17"/>
                <w:color w:val="auto"/>
                <w:w w:val="92"/>
              </w:rPr>
              <w:t>Bank</w:t>
            </w:r>
          </w:p>
        </w:tc>
        <w:tc>
          <w:tcPr>
            <w:tcW w:w="680" w:type="dxa"/>
            <w:vAlign w:val="bottom"/>
          </w:tcPr>
          <w:p>
            <w:pPr>
              <w:spacing w:after="0"/>
              <w:rPr>
                <w:sz w:val="19"/>
                <w:szCs w:val="19"/>
                <w:color w:val="auto"/>
              </w:rPr>
            </w:pPr>
          </w:p>
        </w:tc>
      </w:tr>
      <w:tr>
        <w:trPr>
          <w:trHeight w:val="38"/>
        </w:trPr>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00" w:type="dxa"/>
            <w:vAlign w:val="bottom"/>
            <w:gridSpan w:val="9"/>
          </w:tcPr>
          <w:p>
            <w:pPr>
              <w:ind w:left="20"/>
              <w:spacing w:after="0"/>
              <w:rPr>
                <w:sz w:val="20"/>
                <w:szCs w:val="20"/>
                <w:color w:val="auto"/>
              </w:rPr>
            </w:pPr>
            <w:r>
              <w:rPr>
                <w:rFonts w:ascii="Arial" w:cs="Arial" w:eastAsia="Arial" w:hAnsi="Arial"/>
                <w:sz w:val="17"/>
                <w:szCs w:val="17"/>
                <w:color w:val="auto"/>
              </w:rPr>
              <w:t>SALES AND OTHER DISPOSITIONS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44"/>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6"/>
          </w:tcPr>
          <w:p>
            <w:pPr>
              <w:jc w:val="center"/>
              <w:ind w:right="40"/>
              <w:spacing w:after="0"/>
              <w:rPr>
                <w:sz w:val="20"/>
                <w:szCs w:val="20"/>
                <w:color w:val="auto"/>
              </w:rPr>
            </w:pPr>
            <w:r>
              <w:rPr>
                <w:rFonts w:ascii="Arial" w:cs="Arial" w:eastAsia="Arial" w:hAnsi="Arial"/>
                <w:sz w:val="17"/>
                <w:szCs w:val="17"/>
                <w:color w:val="auto"/>
                <w:w w:val="90"/>
              </w:rPr>
              <w:t>No. of Shares or</w:t>
            </w: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3"/>
          </w:tcPr>
          <w:p>
            <w:pPr>
              <w:jc w:val="right"/>
              <w:ind w:right="900"/>
              <w:spacing w:after="0"/>
              <w:rPr>
                <w:sz w:val="20"/>
                <w:szCs w:val="20"/>
                <w:color w:val="auto"/>
              </w:rPr>
            </w:pPr>
            <w:r>
              <w:rPr>
                <w:rFonts w:ascii="Arial" w:cs="Arial" w:eastAsia="Arial" w:hAnsi="Arial"/>
                <w:sz w:val="17"/>
                <w:szCs w:val="17"/>
                <w:color w:val="auto"/>
                <w:w w:val="84"/>
              </w:rPr>
              <w:t>Interest Rate</w:t>
            </w:r>
          </w:p>
        </w:tc>
        <w:tc>
          <w:tcPr>
            <w:tcW w:w="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5"/>
          </w:tcPr>
          <w:p>
            <w:pPr>
              <w:jc w:val="center"/>
              <w:ind w:right="740"/>
              <w:spacing w:after="0"/>
              <w:rPr>
                <w:sz w:val="20"/>
                <w:szCs w:val="20"/>
                <w:color w:val="auto"/>
              </w:rPr>
            </w:pPr>
            <w:r>
              <w:rPr>
                <w:rFonts w:ascii="Arial" w:cs="Arial" w:eastAsia="Arial" w:hAnsi="Arial"/>
                <w:sz w:val="17"/>
                <w:szCs w:val="17"/>
                <w:color w:val="auto"/>
                <w:w w:val="94"/>
              </w:rPr>
              <w:t>Broker,</w:t>
            </w: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4"/>
        </w:trPr>
        <w:tc>
          <w:tcPr>
            <w:tcW w:w="220" w:type="dxa"/>
            <w:vAlign w:val="bottom"/>
          </w:tcPr>
          <w:p>
            <w:pPr>
              <w:spacing w:after="0"/>
              <w:rPr>
                <w:sz w:val="19"/>
                <w:szCs w:val="19"/>
                <w:color w:val="auto"/>
              </w:rPr>
            </w:pPr>
          </w:p>
        </w:tc>
        <w:tc>
          <w:tcPr>
            <w:tcW w:w="660" w:type="dxa"/>
            <w:vAlign w:val="bottom"/>
            <w:gridSpan w:val="4"/>
          </w:tcPr>
          <w:p>
            <w:pPr>
              <w:jc w:val="center"/>
              <w:ind w:right="280"/>
              <w:spacing w:after="0"/>
              <w:rPr>
                <w:sz w:val="20"/>
                <w:szCs w:val="20"/>
                <w:color w:val="auto"/>
              </w:rPr>
            </w:pPr>
            <w:r>
              <w:rPr>
                <w:rFonts w:ascii="Arial" w:cs="Arial" w:eastAsia="Arial" w:hAnsi="Arial"/>
                <w:sz w:val="17"/>
                <w:szCs w:val="17"/>
                <w:color w:val="auto"/>
                <w:w w:val="85"/>
              </w:rPr>
              <w:t>Trade</w:t>
            </w:r>
          </w:p>
        </w:tc>
        <w:tc>
          <w:tcPr>
            <w:tcW w:w="28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7"/>
                <w:szCs w:val="17"/>
                <w:color w:val="auto"/>
                <w:w w:val="91"/>
              </w:rPr>
              <w:t>Principal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7"/>
                <w:szCs w:val="17"/>
                <w:color w:val="auto"/>
              </w:rPr>
              <w:t>and Maturity</w:t>
            </w:r>
          </w:p>
        </w:tc>
        <w:tc>
          <w:tcPr>
            <w:tcW w:w="1020" w:type="dxa"/>
            <w:vAlign w:val="bottom"/>
            <w:gridSpan w:val="3"/>
          </w:tcPr>
          <w:p>
            <w:pPr>
              <w:spacing w:after="0"/>
              <w:rPr>
                <w:sz w:val="20"/>
                <w:szCs w:val="20"/>
                <w:color w:val="auto"/>
              </w:rPr>
            </w:pPr>
            <w:r>
              <w:rPr>
                <w:rFonts w:ascii="Arial" w:cs="Arial" w:eastAsia="Arial" w:hAnsi="Arial"/>
                <w:sz w:val="17"/>
                <w:szCs w:val="17"/>
                <w:color w:val="auto"/>
              </w:rPr>
              <w:t>Name of</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7"/>
          </w:tcPr>
          <w:p>
            <w:pPr>
              <w:jc w:val="center"/>
              <w:ind w:right="220"/>
              <w:spacing w:after="0"/>
              <w:rPr>
                <w:sz w:val="20"/>
                <w:szCs w:val="20"/>
                <w:color w:val="auto"/>
              </w:rPr>
            </w:pPr>
            <w:r>
              <w:rPr>
                <w:rFonts w:ascii="Arial" w:cs="Arial" w:eastAsia="Arial" w:hAnsi="Arial"/>
                <w:sz w:val="17"/>
                <w:szCs w:val="17"/>
                <w:color w:val="auto"/>
                <w:w w:val="91"/>
              </w:rPr>
              <w:t>Dealer, or</w:t>
            </w:r>
          </w:p>
        </w:tc>
      </w:tr>
      <w:tr>
        <w:trPr>
          <w:trHeight w:val="224"/>
        </w:trPr>
        <w:tc>
          <w:tcPr>
            <w:tcW w:w="220" w:type="dxa"/>
            <w:vAlign w:val="bottom"/>
          </w:tcPr>
          <w:p>
            <w:pPr>
              <w:spacing w:after="0"/>
              <w:rPr>
                <w:sz w:val="19"/>
                <w:szCs w:val="19"/>
                <w:color w:val="auto"/>
              </w:rPr>
            </w:pPr>
          </w:p>
        </w:tc>
        <w:tc>
          <w:tcPr>
            <w:tcW w:w="38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88"/>
              </w:rPr>
              <w:t>Date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5"/>
              </w:rPr>
              <w:t>Amount</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color w:val="auto"/>
                <w:w w:val="83"/>
              </w:rPr>
              <w:t>Date</w:t>
            </w:r>
          </w:p>
        </w:tc>
        <w:tc>
          <w:tcPr>
            <w:tcW w:w="880" w:type="dxa"/>
            <w:vAlign w:val="bottom"/>
          </w:tcPr>
          <w:p>
            <w:pPr>
              <w:spacing w:after="0"/>
              <w:rPr>
                <w:sz w:val="19"/>
                <w:szCs w:val="19"/>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w w:val="87"/>
              </w:rPr>
              <w:t>Security</w:t>
            </w:r>
          </w:p>
        </w:tc>
        <w:tc>
          <w:tcPr>
            <w:tcW w:w="440" w:type="dxa"/>
            <w:vAlign w:val="bottom"/>
          </w:tcPr>
          <w:p>
            <w:pPr>
              <w:spacing w:after="0"/>
              <w:rPr>
                <w:sz w:val="19"/>
                <w:szCs w:val="19"/>
                <w:color w:val="auto"/>
              </w:rPr>
            </w:pPr>
          </w:p>
        </w:tc>
        <w:tc>
          <w:tcPr>
            <w:tcW w:w="1920" w:type="dxa"/>
            <w:vAlign w:val="bottom"/>
            <w:gridSpan w:val="3"/>
          </w:tcPr>
          <w:p>
            <w:pPr>
              <w:ind w:left="420"/>
              <w:spacing w:after="0"/>
              <w:rPr>
                <w:sz w:val="20"/>
                <w:szCs w:val="20"/>
                <w:color w:val="auto"/>
              </w:rPr>
            </w:pPr>
            <w:r>
              <w:rPr>
                <w:rFonts w:ascii="Arial" w:cs="Arial" w:eastAsia="Arial" w:hAnsi="Arial"/>
                <w:sz w:val="17"/>
                <w:szCs w:val="17"/>
                <w:color w:val="auto"/>
              </w:rPr>
              <w:t>Unit Price</w:t>
            </w:r>
          </w:p>
        </w:tc>
        <w:tc>
          <w:tcPr>
            <w:tcW w:w="1180" w:type="dxa"/>
            <w:vAlign w:val="bottom"/>
            <w:gridSpan w:val="2"/>
          </w:tcPr>
          <w:p>
            <w:pPr>
              <w:spacing w:after="0"/>
              <w:rPr>
                <w:sz w:val="20"/>
                <w:szCs w:val="20"/>
                <w:color w:val="auto"/>
              </w:rPr>
            </w:pPr>
            <w:r>
              <w:rPr>
                <w:rFonts w:ascii="Arial" w:cs="Arial" w:eastAsia="Arial" w:hAnsi="Arial"/>
                <w:sz w:val="17"/>
                <w:szCs w:val="17"/>
                <w:color w:val="auto"/>
              </w:rPr>
              <w:t>Total Price</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7"/>
                <w:szCs w:val="17"/>
                <w:color w:val="auto"/>
                <w:w w:val="92"/>
              </w:rPr>
              <w:t>Bank</w:t>
            </w:r>
          </w:p>
        </w:tc>
        <w:tc>
          <w:tcPr>
            <w:tcW w:w="660" w:type="dxa"/>
            <w:vAlign w:val="bottom"/>
          </w:tcPr>
          <w:p>
            <w:pPr>
              <w:spacing w:after="0"/>
              <w:rPr>
                <w:sz w:val="19"/>
                <w:szCs w:val="19"/>
                <w:color w:val="auto"/>
              </w:rPr>
            </w:pPr>
          </w:p>
        </w:tc>
      </w:tr>
      <w:tr>
        <w:trPr>
          <w:trHeight w:val="38"/>
        </w:trPr>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00" w:type="dxa"/>
            <w:vAlign w:val="bottom"/>
            <w:gridSpan w:val="6"/>
          </w:tcPr>
          <w:p>
            <w:pPr>
              <w:spacing w:after="0"/>
              <w:rPr>
                <w:sz w:val="20"/>
                <w:szCs w:val="20"/>
                <w:color w:val="auto"/>
              </w:rPr>
            </w:pPr>
            <w:r>
              <w:rPr>
                <w:rFonts w:ascii="Arial" w:cs="Arial" w:eastAsia="Arial" w:hAnsi="Arial"/>
                <w:sz w:val="17"/>
                <w:szCs w:val="17"/>
                <w:color w:val="auto"/>
              </w:rPr>
              <w:t>NEW ACCOUNTS ESTABLISHED DURING THE QUARTER</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514"/>
        </w:trPr>
        <w:tc>
          <w:tcPr>
            <w:tcW w:w="2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Name of Broker,</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3"/>
              </w:rPr>
              <w:t>Name of Account</w:t>
            </w:r>
          </w:p>
        </w:tc>
        <w:tc>
          <w:tcPr>
            <w:tcW w:w="1140" w:type="dxa"/>
            <w:vAlign w:val="bottom"/>
            <w:tcBorders>
              <w:top w:val="single" w:sz="8" w:color="auto"/>
            </w:tcBorders>
            <w:gridSpan w:val="2"/>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7"/>
                <w:szCs w:val="17"/>
                <w:color w:val="auto"/>
              </w:rPr>
              <w:t>Dealer or Bank</w:t>
            </w:r>
          </w:p>
        </w:tc>
        <w:tc>
          <w:tcPr>
            <w:tcW w:w="180" w:type="dxa"/>
            <w:vAlign w:val="bottom"/>
          </w:tcPr>
          <w:p>
            <w:pPr>
              <w:spacing w:after="0"/>
              <w:rPr>
                <w:sz w:val="19"/>
                <w:szCs w:val="19"/>
                <w:color w:val="auto"/>
              </w:rPr>
            </w:pPr>
          </w:p>
        </w:tc>
        <w:tc>
          <w:tcPr>
            <w:tcW w:w="5300" w:type="dxa"/>
            <w:vAlign w:val="bottom"/>
            <w:gridSpan w:val="6"/>
          </w:tcPr>
          <w:p>
            <w:pPr>
              <w:jc w:val="center"/>
              <w:ind w:left="35"/>
              <w:spacing w:after="0"/>
              <w:rPr>
                <w:sz w:val="20"/>
                <w:szCs w:val="20"/>
                <w:color w:val="auto"/>
              </w:rPr>
            </w:pPr>
            <w:r>
              <w:rPr>
                <w:rFonts w:ascii="Arial" w:cs="Arial" w:eastAsia="Arial" w:hAnsi="Arial"/>
                <w:sz w:val="17"/>
                <w:szCs w:val="17"/>
                <w:color w:val="auto"/>
                <w:w w:val="91"/>
              </w:rPr>
              <w:t>and Account Number</w:t>
            </w:r>
          </w:p>
        </w:tc>
        <w:tc>
          <w:tcPr>
            <w:tcW w:w="4420" w:type="dxa"/>
            <w:vAlign w:val="bottom"/>
            <w:gridSpan w:val="3"/>
          </w:tcPr>
          <w:p>
            <w:pPr>
              <w:ind w:left="840"/>
              <w:spacing w:after="0"/>
              <w:rPr>
                <w:sz w:val="20"/>
                <w:szCs w:val="20"/>
                <w:color w:val="auto"/>
              </w:rPr>
            </w:pPr>
            <w:r>
              <w:rPr>
                <w:rFonts w:ascii="Arial" w:cs="Arial" w:eastAsia="Arial" w:hAnsi="Arial"/>
                <w:sz w:val="17"/>
                <w:szCs w:val="17"/>
                <w:color w:val="auto"/>
              </w:rPr>
              <w:t>Date Established</w:t>
            </w:r>
          </w:p>
        </w:tc>
      </w:tr>
      <w:tr>
        <w:trPr>
          <w:trHeight w:val="38"/>
        </w:trPr>
        <w:tc>
          <w:tcPr>
            <w:tcW w:w="20" w:type="dxa"/>
            <w:vAlign w:val="bottom"/>
            <w:tcBorders>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361" w:right="319" w:bottom="1440" w:gutter="0" w:footer="0" w:header="0"/>
        </w:sectPr>
      </w:pPr>
    </w:p>
    <w:bookmarkStart w:id="163" w:name="page164"/>
    <w:bookmarkEnd w:id="163"/>
    <w:p>
      <w:pPr>
        <w:ind w:left="6500"/>
        <w:spacing w:after="0"/>
        <w:rPr>
          <w:sz w:val="20"/>
          <w:szCs w:val="20"/>
          <w:color w:val="auto"/>
        </w:rPr>
      </w:pPr>
      <w:r>
        <w:rPr>
          <w:rFonts w:ascii="Arial" w:cs="Arial" w:eastAsia="Arial" w:hAnsi="Arial"/>
          <w:sz w:val="19"/>
          <w:szCs w:val="19"/>
          <w:b w:val="1"/>
          <w:bCs w:val="1"/>
          <w:u w:val="single" w:color="auto"/>
          <w:color w:val="auto"/>
        </w:rPr>
        <w:t>SCHEDULE D</w:t>
      </w:r>
    </w:p>
    <w:p>
      <w:pPr>
        <w:spacing w:after="0" w:line="26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ACKNOWLEDGEMENT, AFFIRMATION AND CERTIFICATION</w:t>
      </w:r>
    </w:p>
    <w:p>
      <w:pPr>
        <w:spacing w:after="0" w:line="20"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OF COMPLIANCE WITH SUTTER ROCK COMPLIANCE PROGRAM DOCUMENTS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undersigned, as a Covered Person of Sutter Rock Capital Corp, hereby acknowledges, affirms and/or certifies as follows:</w:t>
      </w:r>
    </w:p>
    <w:p>
      <w:pPr>
        <w:spacing w:after="0" w:line="199" w:lineRule="exact"/>
        <w:rPr>
          <w:sz w:val="20"/>
          <w:szCs w:val="20"/>
          <w:color w:val="auto"/>
        </w:rPr>
      </w:pPr>
    </w:p>
    <w:p>
      <w:pPr>
        <w:ind w:left="560" w:hanging="279"/>
        <w:spacing w:after="0"/>
        <w:tabs>
          <w:tab w:leader="none" w:pos="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 have received, read and understand the</w:t>
      </w:r>
    </w:p>
    <w:p>
      <w:pPr>
        <w:spacing w:after="0" w:line="15" w:lineRule="exact"/>
        <w:rPr>
          <w:rFonts w:ascii="Arial" w:cs="Arial" w:eastAsia="Arial" w:hAnsi="Arial"/>
          <w:sz w:val="17"/>
          <w:szCs w:val="17"/>
          <w:color w:val="auto"/>
        </w:rPr>
      </w:pPr>
    </w:p>
    <w:p>
      <w:pPr>
        <w:ind w:left="1120" w:hanging="281"/>
        <w:spacing w:after="0"/>
        <w:tabs>
          <w:tab w:leader="none" w:pos="11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Sutter Rock Capital Corp. Code of Ethics;</w:t>
      </w:r>
    </w:p>
    <w:p>
      <w:pPr>
        <w:spacing w:after="0" w:line="1" w:lineRule="exact"/>
        <w:rPr>
          <w:rFonts w:ascii="Arial" w:cs="Arial" w:eastAsia="Arial" w:hAnsi="Arial"/>
          <w:sz w:val="17"/>
          <w:szCs w:val="17"/>
          <w:color w:val="auto"/>
        </w:rPr>
      </w:pPr>
    </w:p>
    <w:p>
      <w:pPr>
        <w:ind w:left="1120" w:hanging="281"/>
        <w:spacing w:after="0"/>
        <w:tabs>
          <w:tab w:leader="none" w:pos="11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Code of Business Conduct and Ethics; and</w:t>
      </w:r>
    </w:p>
    <w:p>
      <w:pPr>
        <w:spacing w:after="0" w:line="1" w:lineRule="exact"/>
        <w:rPr>
          <w:rFonts w:ascii="Arial" w:cs="Arial" w:eastAsia="Arial" w:hAnsi="Arial"/>
          <w:sz w:val="17"/>
          <w:szCs w:val="17"/>
          <w:color w:val="auto"/>
        </w:rPr>
      </w:pPr>
    </w:p>
    <w:p>
      <w:pPr>
        <w:ind w:left="1120" w:hanging="281"/>
        <w:spacing w:after="0"/>
        <w:tabs>
          <w:tab w:leader="none" w:pos="11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Insider Trading Policy and Procedures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(collectively, the “Sutter Rock Compliance Program Documents”) and agree to comply in all respects with the policies and procedures stated therein.</w:t>
      </w:r>
    </w:p>
    <w:p>
      <w:pPr>
        <w:spacing w:after="0" w:line="197" w:lineRule="exact"/>
        <w:rPr>
          <w:sz w:val="20"/>
          <w:szCs w:val="20"/>
          <w:color w:val="auto"/>
        </w:rPr>
      </w:pPr>
    </w:p>
    <w:p>
      <w:pPr>
        <w:jc w:val="both"/>
        <w:ind w:left="560" w:hanging="279"/>
        <w:spacing w:after="0" w:line="254" w:lineRule="auto"/>
        <w:tabs>
          <w:tab w:leader="none" w:pos="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at any time during the past calendar year I was subject to any one, some or all of the Sutter Rock Compliance Program Documents, I further certify that I have complied in all respects with the requirements of each such Document as was then in effect or, in the event that I have not so complied, I have previously fully disclosed all such non-compliance to the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-10795</wp:posOffset>
            </wp:positionV>
            <wp:extent cx="1079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07950" cy="762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-10795</wp:posOffset>
            </wp:positionV>
            <wp:extent cx="2159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215900" cy="76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Date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1079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107950" cy="7620"/>
                    </a:xfrm>
                    <a:prstGeom prst="rect">
                      <a:avLst/>
                    </a:prstGeom>
                    <a:noFill/>
                  </pic:spPr>
                </pic:pic>
              </a:graphicData>
            </a:graphic>
          </wp:anchor>
        </w:drawing>
      </w:r>
    </w:p>
    <w:p>
      <w:pPr>
        <w:sectPr>
          <w:pgSz w:w="11900" w:h="16838" w:orient="portrait"/>
          <w:cols w:equalWidth="0" w:num="1">
            <w:col w:w="11200"/>
          </w:cols>
          <w:pgMar w:left="380" w:top="360" w:right="3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9"/>
          <w:szCs w:val="19"/>
          <w:b w:val="1"/>
          <w:bCs w:val="1"/>
          <w:color w:val="auto"/>
        </w:rPr>
        <w:t>Exhibit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SUTTER ROCK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CODE OF BUSINESS CONDUCT AND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As approved, with revisions: March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32823638.7</w:t>
      </w:r>
    </w:p>
    <w:p>
      <w:pPr>
        <w:sectPr>
          <w:pgSz w:w="11900" w:h="16838" w:orient="portrait"/>
          <w:cols w:equalWidth="0" w:num="1">
            <w:col w:w="11260"/>
          </w:cols>
          <w:pgMar w:left="320" w:top="534" w:right="319" w:bottom="1440" w:gutter="0" w:footer="0" w:header="0"/>
        </w:sectPr>
      </w:pPr>
    </w:p>
    <w:bookmarkStart w:id="165" w:name="page166"/>
    <w:bookmarkEnd w:id="165"/>
    <w:p>
      <w:pPr>
        <w:spacing w:after="0" w:line="1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CODE OF BUSINESS CONDUCT AND ETHICS</w:t>
      </w:r>
    </w:p>
    <w:p>
      <w:pPr>
        <w:spacing w:after="0" w:line="242" w:lineRule="exact"/>
        <w:rPr>
          <w:sz w:val="20"/>
          <w:szCs w:val="20"/>
          <w:color w:val="auto"/>
        </w:rPr>
      </w:pPr>
    </w:p>
    <w:p>
      <w:pPr>
        <w:ind w:left="4620"/>
        <w:spacing w:after="0"/>
        <w:rPr>
          <w:sz w:val="20"/>
          <w:szCs w:val="20"/>
          <w:color w:val="auto"/>
        </w:rPr>
      </w:pPr>
      <w:r>
        <w:rPr>
          <w:rFonts w:ascii="Arial" w:cs="Arial" w:eastAsia="Arial" w:hAnsi="Arial"/>
          <w:sz w:val="19"/>
          <w:szCs w:val="19"/>
          <w:b w:val="1"/>
          <w:bCs w:val="1"/>
          <w:color w:val="auto"/>
        </w:rPr>
        <w:t>TABLE OF CONTENTS</w:t>
      </w:r>
    </w:p>
    <w:p>
      <w:pPr>
        <w:spacing w:after="0" w:line="227" w:lineRule="exact"/>
        <w:rPr>
          <w:sz w:val="20"/>
          <w:szCs w:val="20"/>
          <w:color w:val="auto"/>
        </w:rPr>
      </w:pPr>
    </w:p>
    <w:p>
      <w:pPr>
        <w:ind w:left="6340"/>
        <w:spacing w:after="0"/>
        <w:rPr>
          <w:sz w:val="20"/>
          <w:szCs w:val="20"/>
          <w:color w:val="auto"/>
        </w:rPr>
      </w:pPr>
      <w:r>
        <w:rPr>
          <w:rFonts w:ascii="Arial" w:cs="Arial" w:eastAsia="Arial" w:hAnsi="Arial"/>
          <w:sz w:val="19"/>
          <w:szCs w:val="19"/>
          <w:u w:val="single" w:color="auto"/>
          <w:color w:val="auto"/>
        </w:rPr>
        <w:t>Page</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1000" w:type="dxa"/>
            <w:vAlign w:val="bottom"/>
          </w:tcPr>
          <w:p>
            <w:pPr>
              <w:spacing w:after="0"/>
              <w:rPr>
                <w:sz w:val="20"/>
                <w:szCs w:val="20"/>
                <w:color w:val="auto"/>
              </w:rPr>
            </w:pPr>
            <w:r>
              <w:rPr>
                <w:rFonts w:ascii="Arial" w:cs="Arial" w:eastAsia="Arial" w:hAnsi="Arial"/>
                <w:sz w:val="19"/>
                <w:szCs w:val="19"/>
                <w:color w:val="auto"/>
                <w:w w:val="98"/>
              </w:rPr>
              <w:t>Introduction</w:t>
            </w:r>
          </w:p>
        </w:tc>
        <w:tc>
          <w:tcPr>
            <w:tcW w:w="580" w:type="dxa"/>
            <w:vAlign w:val="bottom"/>
          </w:tcPr>
          <w:p>
            <w:pPr>
              <w:jc w:val="right"/>
              <w:ind w:right="307"/>
              <w:spacing w:after="0"/>
              <w:rPr>
                <w:sz w:val="20"/>
                <w:szCs w:val="20"/>
                <w:color w:val="auto"/>
              </w:rPr>
            </w:pPr>
            <w:r>
              <w:rPr>
                <w:rFonts w:ascii="Arial" w:cs="Arial" w:eastAsia="Arial" w:hAnsi="Arial"/>
                <w:sz w:val="19"/>
                <w:szCs w:val="19"/>
                <w:color w:val="auto"/>
              </w:rPr>
              <w:t>1</w:t>
            </w:r>
          </w:p>
        </w:tc>
        <w:tc>
          <w:tcPr>
            <w:tcW w:w="500" w:type="dxa"/>
            <w:vAlign w:val="bottom"/>
          </w:tcPr>
          <w:p>
            <w:pPr>
              <w:spacing w:after="0"/>
              <w:rPr>
                <w:sz w:val="19"/>
                <w:szCs w:val="19"/>
                <w:color w:val="auto"/>
              </w:rPr>
            </w:pPr>
          </w:p>
        </w:tc>
      </w:tr>
      <w:tr>
        <w:trPr>
          <w:trHeight w:val="221"/>
        </w:trPr>
        <w:tc>
          <w:tcPr>
            <w:tcW w:w="1580" w:type="dxa"/>
            <w:vAlign w:val="bottom"/>
            <w:gridSpan w:val="2"/>
          </w:tcPr>
          <w:p>
            <w:pPr>
              <w:spacing w:after="0"/>
              <w:rPr>
                <w:sz w:val="20"/>
                <w:szCs w:val="20"/>
                <w:color w:val="auto"/>
              </w:rPr>
            </w:pPr>
            <w:r>
              <w:rPr>
                <w:rFonts w:ascii="Arial" w:cs="Arial" w:eastAsia="Arial" w:hAnsi="Arial"/>
                <w:sz w:val="19"/>
                <w:szCs w:val="19"/>
                <w:color w:val="auto"/>
                <w:w w:val="89"/>
              </w:rPr>
              <w:t>Purpose of the Code</w:t>
            </w:r>
          </w:p>
        </w:tc>
        <w:tc>
          <w:tcPr>
            <w:tcW w:w="500" w:type="dxa"/>
            <w:vAlign w:val="bottom"/>
          </w:tcPr>
          <w:p>
            <w:pPr>
              <w:jc w:val="right"/>
              <w:ind w:right="207"/>
              <w:spacing w:after="0"/>
              <w:rPr>
                <w:sz w:val="20"/>
                <w:szCs w:val="20"/>
                <w:color w:val="auto"/>
              </w:rPr>
            </w:pPr>
            <w:r>
              <w:rPr>
                <w:rFonts w:ascii="Arial" w:cs="Arial" w:eastAsia="Arial" w:hAnsi="Arial"/>
                <w:sz w:val="19"/>
                <w:szCs w:val="19"/>
                <w:color w:val="auto"/>
              </w:rPr>
              <w:t>1</w:t>
            </w:r>
          </w:p>
        </w:tc>
      </w:tr>
      <w:tr>
        <w:trPr>
          <w:trHeight w:val="221"/>
        </w:trPr>
        <w:tc>
          <w:tcPr>
            <w:tcW w:w="1580" w:type="dxa"/>
            <w:vAlign w:val="bottom"/>
            <w:gridSpan w:val="2"/>
          </w:tcPr>
          <w:p>
            <w:pPr>
              <w:spacing w:after="0"/>
              <w:rPr>
                <w:sz w:val="20"/>
                <w:szCs w:val="20"/>
                <w:color w:val="auto"/>
              </w:rPr>
            </w:pPr>
            <w:r>
              <w:rPr>
                <w:rFonts w:ascii="Arial" w:cs="Arial" w:eastAsia="Arial" w:hAnsi="Arial"/>
                <w:sz w:val="19"/>
                <w:szCs w:val="19"/>
                <w:color w:val="auto"/>
                <w:w w:val="95"/>
              </w:rPr>
              <w:t>Conflicts of Interest</w:t>
            </w:r>
          </w:p>
        </w:tc>
        <w:tc>
          <w:tcPr>
            <w:tcW w:w="500" w:type="dxa"/>
            <w:vAlign w:val="bottom"/>
          </w:tcPr>
          <w:p>
            <w:pPr>
              <w:jc w:val="right"/>
              <w:ind w:right="227"/>
              <w:spacing w:after="0"/>
              <w:rPr>
                <w:sz w:val="20"/>
                <w:szCs w:val="20"/>
                <w:color w:val="auto"/>
              </w:rPr>
            </w:pPr>
            <w:r>
              <w:rPr>
                <w:rFonts w:ascii="Arial" w:cs="Arial" w:eastAsia="Arial" w:hAnsi="Arial"/>
                <w:sz w:val="19"/>
                <w:szCs w:val="19"/>
                <w:color w:val="auto"/>
              </w:rPr>
              <w:t>2</w:t>
            </w:r>
          </w:p>
        </w:tc>
      </w:tr>
      <w:tr>
        <w:trPr>
          <w:trHeight w:val="221"/>
        </w:trPr>
        <w:tc>
          <w:tcPr>
            <w:tcW w:w="2080" w:type="dxa"/>
            <w:vAlign w:val="bottom"/>
            <w:gridSpan w:val="3"/>
          </w:tcPr>
          <w:p>
            <w:pPr>
              <w:spacing w:after="0"/>
              <w:rPr>
                <w:sz w:val="20"/>
                <w:szCs w:val="20"/>
                <w:color w:val="auto"/>
              </w:rPr>
            </w:pPr>
            <w:r>
              <w:rPr>
                <w:rFonts w:ascii="Arial" w:cs="Arial" w:eastAsia="Arial" w:hAnsi="Arial"/>
                <w:sz w:val="19"/>
                <w:szCs w:val="19"/>
                <w:color w:val="auto"/>
                <w:w w:val="91"/>
              </w:rPr>
              <w:t>Corporate Opportunities  2</w:t>
            </w:r>
          </w:p>
        </w:tc>
      </w:tr>
      <w:tr>
        <w:trPr>
          <w:trHeight w:val="221"/>
        </w:trPr>
        <w:tc>
          <w:tcPr>
            <w:tcW w:w="1580" w:type="dxa"/>
            <w:vAlign w:val="bottom"/>
            <w:gridSpan w:val="2"/>
          </w:tcPr>
          <w:p>
            <w:pPr>
              <w:spacing w:after="0"/>
              <w:rPr>
                <w:sz w:val="20"/>
                <w:szCs w:val="20"/>
                <w:color w:val="auto"/>
              </w:rPr>
            </w:pPr>
            <w:r>
              <w:rPr>
                <w:rFonts w:ascii="Arial" w:cs="Arial" w:eastAsia="Arial" w:hAnsi="Arial"/>
                <w:sz w:val="19"/>
                <w:szCs w:val="19"/>
                <w:color w:val="auto"/>
              </w:rPr>
              <w:t>Confidentiality  2</w:t>
            </w:r>
          </w:p>
        </w:tc>
        <w:tc>
          <w:tcPr>
            <w:tcW w:w="500" w:type="dxa"/>
            <w:vAlign w:val="bottom"/>
          </w:tcPr>
          <w:p>
            <w:pPr>
              <w:spacing w:after="0"/>
              <w:rPr>
                <w:sz w:val="19"/>
                <w:szCs w:val="19"/>
                <w:color w:val="auto"/>
              </w:rPr>
            </w:pPr>
          </w:p>
        </w:tc>
      </w:tr>
      <w:tr>
        <w:trPr>
          <w:trHeight w:val="238"/>
        </w:trPr>
        <w:tc>
          <w:tcPr>
            <w:tcW w:w="1000" w:type="dxa"/>
            <w:vAlign w:val="bottom"/>
          </w:tcPr>
          <w:p>
            <w:pPr>
              <w:spacing w:after="0"/>
              <w:rPr>
                <w:sz w:val="20"/>
                <w:szCs w:val="20"/>
                <w:color w:val="auto"/>
              </w:rPr>
            </w:pPr>
            <w:r>
              <w:rPr>
                <w:rFonts w:ascii="Arial" w:cs="Arial" w:eastAsia="Arial" w:hAnsi="Arial"/>
                <w:sz w:val="19"/>
                <w:szCs w:val="19"/>
                <w:color w:val="auto"/>
                <w:w w:val="95"/>
              </w:rPr>
              <w:t>Fair Dealing</w:t>
            </w:r>
          </w:p>
        </w:tc>
        <w:tc>
          <w:tcPr>
            <w:tcW w:w="580" w:type="dxa"/>
            <w:vAlign w:val="bottom"/>
          </w:tcPr>
          <w:p>
            <w:pPr>
              <w:jc w:val="right"/>
              <w:ind w:right="287"/>
              <w:spacing w:after="0"/>
              <w:rPr>
                <w:sz w:val="20"/>
                <w:szCs w:val="20"/>
                <w:color w:val="auto"/>
              </w:rPr>
            </w:pPr>
            <w:r>
              <w:rPr>
                <w:rFonts w:ascii="Arial" w:cs="Arial" w:eastAsia="Arial" w:hAnsi="Arial"/>
                <w:sz w:val="19"/>
                <w:szCs w:val="19"/>
                <w:color w:val="auto"/>
              </w:rPr>
              <w:t>3</w:t>
            </w:r>
          </w:p>
        </w:tc>
        <w:tc>
          <w:tcPr>
            <w:tcW w:w="500" w:type="dxa"/>
            <w:vAlign w:val="bottom"/>
          </w:tcPr>
          <w:p>
            <w:pPr>
              <w:spacing w:after="0"/>
              <w:rPr>
                <w:sz w:val="20"/>
                <w:szCs w:val="20"/>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500" w:type="dxa"/>
            <w:vAlign w:val="bottom"/>
            <w:gridSpan w:val="4"/>
          </w:tcPr>
          <w:p>
            <w:pPr>
              <w:spacing w:after="0"/>
              <w:rPr>
                <w:sz w:val="20"/>
                <w:szCs w:val="20"/>
                <w:color w:val="auto"/>
              </w:rPr>
            </w:pPr>
            <w:r>
              <w:rPr>
                <w:rFonts w:ascii="Arial" w:cs="Arial" w:eastAsia="Arial" w:hAnsi="Arial"/>
                <w:sz w:val="19"/>
                <w:szCs w:val="19"/>
                <w:color w:val="auto"/>
                <w:w w:val="93"/>
              </w:rPr>
              <w:t>Equal Opportunity, Harassment</w:t>
            </w:r>
          </w:p>
        </w:tc>
        <w:tc>
          <w:tcPr>
            <w:tcW w:w="1200" w:type="dxa"/>
            <w:vAlign w:val="bottom"/>
          </w:tcPr>
          <w:p>
            <w:pPr>
              <w:jc w:val="right"/>
              <w:ind w:right="987"/>
              <w:spacing w:after="0"/>
              <w:rPr>
                <w:sz w:val="20"/>
                <w:szCs w:val="20"/>
                <w:color w:val="auto"/>
              </w:rPr>
            </w:pPr>
            <w:r>
              <w:rPr>
                <w:rFonts w:ascii="Arial" w:cs="Arial" w:eastAsia="Arial" w:hAnsi="Arial"/>
                <w:sz w:val="19"/>
                <w:szCs w:val="19"/>
                <w:color w:val="auto"/>
                <w:w w:val="94"/>
              </w:rPr>
              <w:t>4</w:t>
            </w:r>
          </w:p>
        </w:tc>
      </w:tr>
      <w:tr>
        <w:trPr>
          <w:trHeight w:val="221"/>
        </w:trPr>
        <w:tc>
          <w:tcPr>
            <w:tcW w:w="2500" w:type="dxa"/>
            <w:vAlign w:val="bottom"/>
            <w:gridSpan w:val="4"/>
          </w:tcPr>
          <w:p>
            <w:pPr>
              <w:spacing w:after="0"/>
              <w:rPr>
                <w:sz w:val="20"/>
                <w:szCs w:val="20"/>
                <w:color w:val="auto"/>
              </w:rPr>
            </w:pPr>
            <w:r>
              <w:rPr>
                <w:rFonts w:ascii="Arial" w:cs="Arial" w:eastAsia="Arial" w:hAnsi="Arial"/>
                <w:sz w:val="19"/>
                <w:szCs w:val="19"/>
                <w:color w:val="auto"/>
                <w:w w:val="94"/>
              </w:rPr>
              <w:t>Accuracy of Company Records</w:t>
            </w:r>
          </w:p>
        </w:tc>
        <w:tc>
          <w:tcPr>
            <w:tcW w:w="1200" w:type="dxa"/>
            <w:vAlign w:val="bottom"/>
          </w:tcPr>
          <w:p>
            <w:pPr>
              <w:jc w:val="right"/>
              <w:ind w:right="1007"/>
              <w:spacing w:after="0"/>
              <w:rPr>
                <w:sz w:val="20"/>
                <w:szCs w:val="20"/>
                <w:color w:val="auto"/>
              </w:rPr>
            </w:pPr>
            <w:r>
              <w:rPr>
                <w:rFonts w:ascii="Arial" w:cs="Arial" w:eastAsia="Arial" w:hAnsi="Arial"/>
                <w:sz w:val="19"/>
                <w:szCs w:val="19"/>
                <w:color w:val="auto"/>
                <w:w w:val="75"/>
              </w:rPr>
              <w:t>4</w:t>
            </w:r>
          </w:p>
        </w:tc>
      </w:tr>
      <w:tr>
        <w:trPr>
          <w:trHeight w:val="221"/>
        </w:trPr>
        <w:tc>
          <w:tcPr>
            <w:tcW w:w="3700" w:type="dxa"/>
            <w:vAlign w:val="bottom"/>
            <w:gridSpan w:val="5"/>
          </w:tcPr>
          <w:p>
            <w:pPr>
              <w:spacing w:after="0"/>
              <w:rPr>
                <w:sz w:val="20"/>
                <w:szCs w:val="20"/>
                <w:color w:val="auto"/>
              </w:rPr>
            </w:pPr>
            <w:r>
              <w:rPr>
                <w:rFonts w:ascii="Arial" w:cs="Arial" w:eastAsia="Arial" w:hAnsi="Arial"/>
                <w:sz w:val="19"/>
                <w:szCs w:val="19"/>
                <w:color w:val="auto"/>
              </w:rPr>
              <w:t>Retaining Business Communications  4</w:t>
            </w:r>
          </w:p>
        </w:tc>
      </w:tr>
      <w:tr>
        <w:trPr>
          <w:trHeight w:val="221"/>
        </w:trPr>
        <w:tc>
          <w:tcPr>
            <w:tcW w:w="1840" w:type="dxa"/>
            <w:vAlign w:val="bottom"/>
            <w:gridSpan w:val="2"/>
          </w:tcPr>
          <w:p>
            <w:pPr>
              <w:spacing w:after="0"/>
              <w:rPr>
                <w:sz w:val="20"/>
                <w:szCs w:val="20"/>
                <w:color w:val="auto"/>
              </w:rPr>
            </w:pPr>
            <w:r>
              <w:rPr>
                <w:rFonts w:ascii="Arial" w:cs="Arial" w:eastAsia="Arial" w:hAnsi="Arial"/>
                <w:sz w:val="19"/>
                <w:szCs w:val="19"/>
                <w:color w:val="auto"/>
                <w:w w:val="99"/>
              </w:rPr>
              <w:t>Political Contributions</w:t>
            </w:r>
          </w:p>
        </w:tc>
        <w:tc>
          <w:tcPr>
            <w:tcW w:w="260" w:type="dxa"/>
            <w:vAlign w:val="bottom"/>
          </w:tcPr>
          <w:p>
            <w:pPr>
              <w:jc w:val="right"/>
              <w:ind w:right="47"/>
              <w:spacing w:after="0"/>
              <w:rPr>
                <w:sz w:val="20"/>
                <w:szCs w:val="20"/>
                <w:color w:val="auto"/>
              </w:rPr>
            </w:pPr>
            <w:r>
              <w:rPr>
                <w:rFonts w:ascii="Arial" w:cs="Arial" w:eastAsia="Arial" w:hAnsi="Arial"/>
                <w:sz w:val="19"/>
                <w:szCs w:val="19"/>
                <w:color w:val="auto"/>
                <w:w w:val="94"/>
              </w:rPr>
              <w:t>5</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1840" w:type="dxa"/>
            <w:vAlign w:val="bottom"/>
            <w:gridSpan w:val="2"/>
          </w:tcPr>
          <w:p>
            <w:pPr>
              <w:spacing w:after="0"/>
              <w:rPr>
                <w:sz w:val="20"/>
                <w:szCs w:val="20"/>
                <w:color w:val="auto"/>
              </w:rPr>
            </w:pPr>
            <w:r>
              <w:rPr>
                <w:rFonts w:ascii="Arial" w:cs="Arial" w:eastAsia="Arial" w:hAnsi="Arial"/>
                <w:sz w:val="19"/>
                <w:szCs w:val="19"/>
                <w:color w:val="auto"/>
              </w:rPr>
              <w:t>Media Relations  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1"/>
        </w:trPr>
        <w:tc>
          <w:tcPr>
            <w:tcW w:w="2500" w:type="dxa"/>
            <w:vAlign w:val="bottom"/>
            <w:gridSpan w:val="4"/>
          </w:tcPr>
          <w:p>
            <w:pPr>
              <w:spacing w:after="0"/>
              <w:rPr>
                <w:sz w:val="20"/>
                <w:szCs w:val="20"/>
                <w:color w:val="auto"/>
              </w:rPr>
            </w:pPr>
            <w:r>
              <w:rPr>
                <w:rFonts w:ascii="Arial" w:cs="Arial" w:eastAsia="Arial" w:hAnsi="Arial"/>
                <w:sz w:val="19"/>
                <w:szCs w:val="19"/>
                <w:color w:val="auto"/>
                <w:w w:val="92"/>
              </w:rPr>
              <w:t>Intellectual Property Information</w:t>
            </w:r>
          </w:p>
        </w:tc>
        <w:tc>
          <w:tcPr>
            <w:tcW w:w="1200" w:type="dxa"/>
            <w:vAlign w:val="bottom"/>
          </w:tcPr>
          <w:p>
            <w:pPr>
              <w:jc w:val="right"/>
              <w:ind w:right="887"/>
              <w:spacing w:after="0"/>
              <w:rPr>
                <w:sz w:val="20"/>
                <w:szCs w:val="20"/>
                <w:color w:val="auto"/>
              </w:rPr>
            </w:pPr>
            <w:r>
              <w:rPr>
                <w:rFonts w:ascii="Arial" w:cs="Arial" w:eastAsia="Arial" w:hAnsi="Arial"/>
                <w:sz w:val="19"/>
                <w:szCs w:val="19"/>
                <w:color w:val="auto"/>
              </w:rPr>
              <w:t>5</w:t>
            </w:r>
          </w:p>
        </w:tc>
      </w:tr>
      <w:tr>
        <w:trPr>
          <w:trHeight w:val="221"/>
        </w:trPr>
        <w:tc>
          <w:tcPr>
            <w:tcW w:w="2100" w:type="dxa"/>
            <w:vAlign w:val="bottom"/>
            <w:gridSpan w:val="3"/>
          </w:tcPr>
          <w:p>
            <w:pPr>
              <w:spacing w:after="0"/>
              <w:rPr>
                <w:sz w:val="20"/>
                <w:szCs w:val="20"/>
                <w:color w:val="auto"/>
              </w:rPr>
            </w:pPr>
            <w:r>
              <w:rPr>
                <w:rFonts w:ascii="Arial" w:cs="Arial" w:eastAsia="Arial" w:hAnsi="Arial"/>
                <w:sz w:val="19"/>
                <w:szCs w:val="19"/>
                <w:color w:val="auto"/>
                <w:w w:val="96"/>
              </w:rPr>
              <w:t>Internet and E-mail Policy</w:t>
            </w:r>
          </w:p>
        </w:tc>
        <w:tc>
          <w:tcPr>
            <w:tcW w:w="400" w:type="dxa"/>
            <w:vAlign w:val="bottom"/>
          </w:tcPr>
          <w:p>
            <w:pPr>
              <w:jc w:val="right"/>
              <w:ind w:right="167"/>
              <w:spacing w:after="0"/>
              <w:rPr>
                <w:sz w:val="20"/>
                <w:szCs w:val="20"/>
                <w:color w:val="auto"/>
              </w:rPr>
            </w:pPr>
            <w:r>
              <w:rPr>
                <w:rFonts w:ascii="Arial" w:cs="Arial" w:eastAsia="Arial" w:hAnsi="Arial"/>
                <w:sz w:val="19"/>
                <w:szCs w:val="19"/>
                <w:color w:val="auto"/>
              </w:rPr>
              <w:t>5</w:t>
            </w:r>
          </w:p>
        </w:tc>
        <w:tc>
          <w:tcPr>
            <w:tcW w:w="1200" w:type="dxa"/>
            <w:vAlign w:val="bottom"/>
          </w:tcPr>
          <w:p>
            <w:pPr>
              <w:spacing w:after="0"/>
              <w:rPr>
                <w:sz w:val="19"/>
                <w:szCs w:val="19"/>
                <w:color w:val="auto"/>
              </w:rPr>
            </w:pPr>
          </w:p>
        </w:tc>
      </w:tr>
      <w:tr>
        <w:trPr>
          <w:trHeight w:val="221"/>
        </w:trPr>
        <w:tc>
          <w:tcPr>
            <w:tcW w:w="3700" w:type="dxa"/>
            <w:vAlign w:val="bottom"/>
            <w:gridSpan w:val="5"/>
          </w:tcPr>
          <w:p>
            <w:pPr>
              <w:spacing w:after="0"/>
              <w:rPr>
                <w:sz w:val="20"/>
                <w:szCs w:val="20"/>
                <w:color w:val="auto"/>
              </w:rPr>
            </w:pPr>
            <w:r>
              <w:rPr>
                <w:rFonts w:ascii="Arial" w:cs="Arial" w:eastAsia="Arial" w:hAnsi="Arial"/>
                <w:sz w:val="19"/>
                <w:szCs w:val="19"/>
                <w:color w:val="auto"/>
                <w:w w:val="92"/>
              </w:rPr>
              <w:t>Reporting Violations and Complaint Handling  6</w:t>
            </w:r>
          </w:p>
        </w:tc>
      </w:tr>
      <w:tr>
        <w:trPr>
          <w:trHeight w:val="221"/>
        </w:trPr>
        <w:tc>
          <w:tcPr>
            <w:tcW w:w="2100" w:type="dxa"/>
            <w:vAlign w:val="bottom"/>
            <w:gridSpan w:val="3"/>
          </w:tcPr>
          <w:p>
            <w:pPr>
              <w:spacing w:after="0"/>
              <w:rPr>
                <w:sz w:val="20"/>
                <w:szCs w:val="20"/>
                <w:color w:val="auto"/>
              </w:rPr>
            </w:pPr>
            <w:r>
              <w:rPr>
                <w:rFonts w:ascii="Arial" w:cs="Arial" w:eastAsia="Arial" w:hAnsi="Arial"/>
                <w:sz w:val="19"/>
                <w:szCs w:val="19"/>
                <w:color w:val="auto"/>
                <w:w w:val="92"/>
              </w:rPr>
              <w:t>Administration of the Code</w:t>
            </w:r>
          </w:p>
        </w:tc>
        <w:tc>
          <w:tcPr>
            <w:tcW w:w="400" w:type="dxa"/>
            <w:vAlign w:val="bottom"/>
          </w:tcPr>
          <w:p>
            <w:pPr>
              <w:jc w:val="right"/>
              <w:ind w:right="107"/>
              <w:spacing w:after="0"/>
              <w:rPr>
                <w:sz w:val="20"/>
                <w:szCs w:val="20"/>
                <w:color w:val="auto"/>
              </w:rPr>
            </w:pPr>
            <w:r>
              <w:rPr>
                <w:rFonts w:ascii="Arial" w:cs="Arial" w:eastAsia="Arial" w:hAnsi="Arial"/>
                <w:sz w:val="19"/>
                <w:szCs w:val="19"/>
                <w:color w:val="auto"/>
              </w:rPr>
              <w:t>7</w:t>
            </w:r>
          </w:p>
        </w:tc>
        <w:tc>
          <w:tcPr>
            <w:tcW w:w="1200" w:type="dxa"/>
            <w:vAlign w:val="bottom"/>
          </w:tcPr>
          <w:p>
            <w:pPr>
              <w:spacing w:after="0"/>
              <w:rPr>
                <w:sz w:val="19"/>
                <w:szCs w:val="19"/>
                <w:color w:val="auto"/>
              </w:rPr>
            </w:pPr>
          </w:p>
        </w:tc>
      </w:tr>
      <w:tr>
        <w:trPr>
          <w:trHeight w:val="221"/>
        </w:trPr>
        <w:tc>
          <w:tcPr>
            <w:tcW w:w="2500" w:type="dxa"/>
            <w:vAlign w:val="bottom"/>
            <w:gridSpan w:val="4"/>
          </w:tcPr>
          <w:p>
            <w:pPr>
              <w:spacing w:after="0"/>
              <w:rPr>
                <w:sz w:val="20"/>
                <w:szCs w:val="20"/>
                <w:color w:val="auto"/>
              </w:rPr>
            </w:pPr>
            <w:r>
              <w:rPr>
                <w:rFonts w:ascii="Arial" w:cs="Arial" w:eastAsia="Arial" w:hAnsi="Arial"/>
                <w:sz w:val="19"/>
                <w:szCs w:val="19"/>
                <w:color w:val="auto"/>
                <w:w w:val="91"/>
              </w:rPr>
              <w:t>Sanctions for Code Violations  7</w:t>
            </w:r>
          </w:p>
        </w:tc>
        <w:tc>
          <w:tcPr>
            <w:tcW w:w="1200" w:type="dxa"/>
            <w:vAlign w:val="bottom"/>
          </w:tcPr>
          <w:p>
            <w:pPr>
              <w:spacing w:after="0"/>
              <w:rPr>
                <w:sz w:val="19"/>
                <w:szCs w:val="19"/>
                <w:color w:val="auto"/>
              </w:rPr>
            </w:pPr>
          </w:p>
        </w:tc>
      </w:tr>
      <w:tr>
        <w:trPr>
          <w:trHeight w:val="221"/>
        </w:trPr>
        <w:tc>
          <w:tcPr>
            <w:tcW w:w="1840" w:type="dxa"/>
            <w:vAlign w:val="bottom"/>
            <w:gridSpan w:val="2"/>
          </w:tcPr>
          <w:p>
            <w:pPr>
              <w:spacing w:after="0"/>
              <w:rPr>
                <w:sz w:val="20"/>
                <w:szCs w:val="20"/>
                <w:color w:val="auto"/>
              </w:rPr>
            </w:pPr>
            <w:r>
              <w:rPr>
                <w:rFonts w:ascii="Arial" w:cs="Arial" w:eastAsia="Arial" w:hAnsi="Arial"/>
                <w:sz w:val="19"/>
                <w:szCs w:val="19"/>
                <w:color w:val="auto"/>
                <w:w w:val="96"/>
              </w:rPr>
              <w:t>Application/Waivers  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8"/>
        </w:trPr>
        <w:tc>
          <w:tcPr>
            <w:tcW w:w="2100" w:type="dxa"/>
            <w:vAlign w:val="bottom"/>
            <w:gridSpan w:val="3"/>
          </w:tcPr>
          <w:p>
            <w:pPr>
              <w:spacing w:after="0"/>
              <w:rPr>
                <w:sz w:val="20"/>
                <w:szCs w:val="20"/>
                <w:color w:val="auto"/>
              </w:rPr>
            </w:pPr>
            <w:r>
              <w:rPr>
                <w:rFonts w:ascii="Arial" w:cs="Arial" w:eastAsia="Arial" w:hAnsi="Arial"/>
                <w:sz w:val="19"/>
                <w:szCs w:val="19"/>
                <w:color w:val="auto"/>
                <w:w w:val="87"/>
              </w:rPr>
              <w:t>Revisions and Amendments</w:t>
            </w:r>
          </w:p>
        </w:tc>
        <w:tc>
          <w:tcPr>
            <w:tcW w:w="400" w:type="dxa"/>
            <w:vAlign w:val="bottom"/>
          </w:tcPr>
          <w:p>
            <w:pPr>
              <w:jc w:val="right"/>
              <w:ind w:right="47"/>
              <w:spacing w:after="0"/>
              <w:rPr>
                <w:sz w:val="20"/>
                <w:szCs w:val="20"/>
                <w:color w:val="auto"/>
              </w:rPr>
            </w:pPr>
            <w:r>
              <w:rPr>
                <w:rFonts w:ascii="Arial" w:cs="Arial" w:eastAsia="Arial" w:hAnsi="Arial"/>
                <w:sz w:val="19"/>
                <w:szCs w:val="19"/>
                <w:color w:val="auto"/>
              </w:rPr>
              <w:t>7</w:t>
            </w:r>
          </w:p>
        </w:tc>
        <w:tc>
          <w:tcPr>
            <w:tcW w:w="1200" w:type="dxa"/>
            <w:vAlign w:val="bottom"/>
          </w:tcPr>
          <w:p>
            <w:pPr>
              <w:spacing w:after="0"/>
              <w:rPr>
                <w:sz w:val="20"/>
                <w:szCs w:val="20"/>
                <w:color w:val="auto"/>
              </w:rPr>
            </w:pPr>
          </w:p>
        </w:tc>
      </w:tr>
      <w:tr>
        <w:trPr>
          <w:trHeight w:val="397"/>
        </w:trPr>
        <w:tc>
          <w:tcPr>
            <w:tcW w:w="1840" w:type="dxa"/>
            <w:vAlign w:val="bottom"/>
            <w:gridSpan w:val="2"/>
          </w:tcPr>
          <w:p>
            <w:pPr>
              <w:spacing w:after="0"/>
              <w:rPr>
                <w:sz w:val="20"/>
                <w:szCs w:val="20"/>
                <w:color w:val="auto"/>
              </w:rPr>
            </w:pPr>
            <w:r>
              <w:rPr>
                <w:rFonts w:ascii="Arial" w:cs="Arial" w:eastAsia="Arial" w:hAnsi="Arial"/>
                <w:sz w:val="19"/>
                <w:szCs w:val="19"/>
                <w:b w:val="1"/>
                <w:bCs w:val="1"/>
                <w:color w:val="auto"/>
              </w:rPr>
              <w:t>Annex</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1840" w:type="dxa"/>
            <w:vAlign w:val="bottom"/>
            <w:gridSpan w:val="2"/>
          </w:tcPr>
          <w:p>
            <w:pPr>
              <w:spacing w:after="0"/>
              <w:rPr>
                <w:sz w:val="20"/>
                <w:szCs w:val="20"/>
                <w:color w:val="auto"/>
              </w:rPr>
            </w:pPr>
            <w:r>
              <w:rPr>
                <w:rFonts w:ascii="Arial" w:cs="Arial" w:eastAsia="Arial" w:hAnsi="Arial"/>
                <w:sz w:val="19"/>
                <w:szCs w:val="19"/>
                <w:color w:val="auto"/>
                <w:w w:val="93"/>
              </w:rPr>
              <w:t>Code Acknowledgment</w:t>
            </w:r>
          </w:p>
        </w:tc>
        <w:tc>
          <w:tcPr>
            <w:tcW w:w="260" w:type="dxa"/>
            <w:vAlign w:val="bottom"/>
          </w:tcPr>
          <w:p>
            <w:pPr>
              <w:jc w:val="right"/>
              <w:spacing w:after="0"/>
              <w:rPr>
                <w:sz w:val="20"/>
                <w:szCs w:val="20"/>
                <w:color w:val="auto"/>
              </w:rPr>
            </w:pPr>
            <w:r>
              <w:rPr>
                <w:rFonts w:ascii="Arial" w:cs="Arial" w:eastAsia="Arial" w:hAnsi="Arial"/>
                <w:sz w:val="19"/>
                <w:szCs w:val="19"/>
                <w:color w:val="auto"/>
              </w:rPr>
              <w:t>1</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ii</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32823638.7</w:t>
      </w:r>
    </w:p>
    <w:p>
      <w:pPr>
        <w:sectPr>
          <w:pgSz w:w="11900" w:h="16838" w:orient="portrait"/>
          <w:cols w:equalWidth="0" w:num="1">
            <w:col w:w="10139"/>
          </w:cols>
          <w:pgMar w:left="320" w:top="1440"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9"/>
          <w:szCs w:val="19"/>
          <w:b w:val="1"/>
          <w:bCs w:val="1"/>
          <w:color w:val="auto"/>
        </w:rPr>
        <w:t>CODE OF BUSINESS CONDUCT AND ETHICS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Introduction</w:t>
      </w:r>
    </w:p>
    <w:p>
      <w:pPr>
        <w:spacing w:after="0" w:line="227" w:lineRule="exact"/>
        <w:rPr>
          <w:sz w:val="20"/>
          <w:szCs w:val="20"/>
          <w:color w:val="auto"/>
        </w:rPr>
      </w:pPr>
    </w:p>
    <w:p>
      <w:pPr>
        <w:jc w:val="both"/>
        <w:ind w:firstLine="557"/>
        <w:spacing w:after="0" w:line="247" w:lineRule="auto"/>
        <w:rPr>
          <w:sz w:val="20"/>
          <w:szCs w:val="20"/>
          <w:color w:val="auto"/>
        </w:rPr>
      </w:pPr>
      <w:r>
        <w:rPr>
          <w:rFonts w:ascii="Arial" w:cs="Arial" w:eastAsia="Arial" w:hAnsi="Arial"/>
          <w:sz w:val="19"/>
          <w:szCs w:val="19"/>
          <w:color w:val="auto"/>
        </w:rPr>
        <w:t>Section 406 of the Sarbanes-Oxley Act of 2002 (“</w:t>
      </w:r>
      <w:r>
        <w:rPr>
          <w:rFonts w:ascii="Arial" w:cs="Arial" w:eastAsia="Arial" w:hAnsi="Arial"/>
          <w:sz w:val="19"/>
          <w:szCs w:val="19"/>
          <w:b w:val="1"/>
          <w:bCs w:val="1"/>
          <w:i w:val="1"/>
          <w:iCs w:val="1"/>
          <w:color w:val="auto"/>
        </w:rPr>
        <w:t>SOX</w:t>
      </w:r>
      <w:r>
        <w:rPr>
          <w:rFonts w:ascii="Arial" w:cs="Arial" w:eastAsia="Arial" w:hAnsi="Arial"/>
          <w:sz w:val="19"/>
          <w:szCs w:val="19"/>
          <w:color w:val="auto"/>
        </w:rPr>
        <w:t>”) and Item 406 of Regulation S-K require that public companies disclose whether they have adopted a code of business conduct and ethics for certain officers and, if not, to explain why not. A code of business conduct and ethics for this purpose is defined as a document setting forth standards that are reasonably designed to deter wrongdoing and to promote, among other matters, honest and ethical conduct, full and accurate disclosures in SEC filings and other public communications, and compliance with applicable laws, rules and regulations.</w:t>
      </w:r>
    </w:p>
    <w:p>
      <w:pPr>
        <w:spacing w:after="0" w:line="199" w:lineRule="exact"/>
        <w:rPr>
          <w:sz w:val="20"/>
          <w:szCs w:val="20"/>
          <w:color w:val="auto"/>
        </w:rPr>
      </w:pPr>
    </w:p>
    <w:p>
      <w:pPr>
        <w:jc w:val="both"/>
        <w:ind w:right="20" w:firstLine="557"/>
        <w:spacing w:after="0" w:line="263" w:lineRule="auto"/>
        <w:rPr>
          <w:sz w:val="20"/>
          <w:szCs w:val="20"/>
          <w:color w:val="auto"/>
        </w:rPr>
      </w:pPr>
      <w:r>
        <w:rPr>
          <w:rFonts w:ascii="Arial" w:cs="Arial" w:eastAsia="Arial" w:hAnsi="Arial"/>
          <w:sz w:val="19"/>
          <w:szCs w:val="19"/>
          <w:color w:val="auto"/>
        </w:rPr>
        <w:t>Ethics are important to Sutter Rock Capital Corp. (“</w:t>
      </w:r>
      <w:r>
        <w:rPr>
          <w:rFonts w:ascii="Arial" w:cs="Arial" w:eastAsia="Arial" w:hAnsi="Arial"/>
          <w:sz w:val="19"/>
          <w:szCs w:val="19"/>
          <w:b w:val="1"/>
          <w:bCs w:val="1"/>
          <w:i w:val="1"/>
          <w:iCs w:val="1"/>
          <w:color w:val="auto"/>
        </w:rPr>
        <w:t>Sutter Rock</w:t>
      </w:r>
      <w:r>
        <w:rPr>
          <w:rFonts w:ascii="Arial" w:cs="Arial" w:eastAsia="Arial" w:hAnsi="Arial"/>
          <w:sz w:val="19"/>
          <w:szCs w:val="19"/>
          <w:color w:val="auto"/>
        </w:rPr>
        <w:t>,” “</w:t>
      </w:r>
      <w:r>
        <w:rPr>
          <w:rFonts w:ascii="Arial" w:cs="Arial" w:eastAsia="Arial" w:hAnsi="Arial"/>
          <w:sz w:val="19"/>
          <w:szCs w:val="19"/>
          <w:b w:val="1"/>
          <w:bCs w:val="1"/>
          <w:i w:val="1"/>
          <w:iCs w:val="1"/>
          <w:color w:val="auto"/>
        </w:rPr>
        <w:t>our</w:t>
      </w:r>
      <w:r>
        <w:rPr>
          <w:rFonts w:ascii="Arial" w:cs="Arial" w:eastAsia="Arial" w:hAnsi="Arial"/>
          <w:sz w:val="19"/>
          <w:szCs w:val="19"/>
          <w:color w:val="auto"/>
        </w:rPr>
        <w:t>,” “</w:t>
      </w:r>
      <w:r>
        <w:rPr>
          <w:rFonts w:ascii="Arial" w:cs="Arial" w:eastAsia="Arial" w:hAnsi="Arial"/>
          <w:sz w:val="19"/>
          <w:szCs w:val="19"/>
          <w:b w:val="1"/>
          <w:bCs w:val="1"/>
          <w:i w:val="1"/>
          <w:iCs w:val="1"/>
          <w:color w:val="auto"/>
        </w:rPr>
        <w:t>us</w:t>
      </w:r>
      <w:r>
        <w:rPr>
          <w:rFonts w:ascii="Arial" w:cs="Arial" w:eastAsia="Arial" w:hAnsi="Arial"/>
          <w:sz w:val="19"/>
          <w:szCs w:val="19"/>
          <w:color w:val="auto"/>
        </w:rPr>
        <w:t>,” or “</w:t>
      </w:r>
      <w:r>
        <w:rPr>
          <w:rFonts w:ascii="Arial" w:cs="Arial" w:eastAsia="Arial" w:hAnsi="Arial"/>
          <w:sz w:val="19"/>
          <w:szCs w:val="19"/>
          <w:b w:val="1"/>
          <w:bCs w:val="1"/>
          <w:i w:val="1"/>
          <w:iCs w:val="1"/>
          <w:color w:val="auto"/>
        </w:rPr>
        <w:t>we</w:t>
      </w:r>
      <w:r>
        <w:rPr>
          <w:rFonts w:ascii="Arial" w:cs="Arial" w:eastAsia="Arial" w:hAnsi="Arial"/>
          <w:sz w:val="19"/>
          <w:szCs w:val="19"/>
          <w:color w:val="auto"/>
        </w:rPr>
        <w:t>”) and to our management. Sutter Rock is committed to the highest ethical standards and to conducting our business with the highest level of integrity.</w:t>
      </w:r>
    </w:p>
    <w:p>
      <w:pPr>
        <w:spacing w:after="0" w:line="183" w:lineRule="exact"/>
        <w:rPr>
          <w:sz w:val="20"/>
          <w:szCs w:val="20"/>
          <w:color w:val="auto"/>
        </w:rPr>
      </w:pPr>
    </w:p>
    <w:p>
      <w:pPr>
        <w:jc w:val="both"/>
        <w:ind w:firstLine="557"/>
        <w:spacing w:after="0" w:line="267" w:lineRule="auto"/>
        <w:rPr>
          <w:sz w:val="20"/>
          <w:szCs w:val="20"/>
          <w:color w:val="auto"/>
        </w:rPr>
      </w:pPr>
      <w:r>
        <w:rPr>
          <w:rFonts w:ascii="Arial" w:cs="Arial" w:eastAsia="Arial" w:hAnsi="Arial"/>
          <w:sz w:val="18"/>
          <w:szCs w:val="18"/>
          <w:color w:val="auto"/>
        </w:rPr>
        <w:t>All officers, directors and employees of Sutter Rock (such individuals collectively referred to as the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and individually, “</w:t>
      </w:r>
      <w:r>
        <w:rPr>
          <w:rFonts w:ascii="Arial" w:cs="Arial" w:eastAsia="Arial" w:hAnsi="Arial"/>
          <w:sz w:val="18"/>
          <w:szCs w:val="18"/>
          <w:b w:val="1"/>
          <w:bCs w:val="1"/>
          <w:i w:val="1"/>
          <w:iCs w:val="1"/>
          <w:color w:val="auto"/>
        </w:rPr>
        <w:t>you</w:t>
      </w:r>
      <w:r>
        <w:rPr>
          <w:rFonts w:ascii="Arial" w:cs="Arial" w:eastAsia="Arial" w:hAnsi="Arial"/>
          <w:sz w:val="18"/>
          <w:szCs w:val="18"/>
          <w:color w:val="auto"/>
        </w:rPr>
        <w:t>”) are responsible for maintaining this level of integrity and for complying with the policies contained in this Code of Business Conduct and Ethics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If you have a question or concern about what is proper conduct for you or anyone else, please raise these concerns with any member of Sutter Rock’s management, or follow the procedures outlined in applicable sections of this Code.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Purpose of the Code</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This Code is intended to:</w:t>
      </w:r>
    </w:p>
    <w:p>
      <w:pPr>
        <w:spacing w:after="0" w:line="223" w:lineRule="exact"/>
        <w:rPr>
          <w:sz w:val="20"/>
          <w:szCs w:val="20"/>
          <w:color w:val="auto"/>
        </w:rPr>
      </w:pPr>
    </w:p>
    <w:p>
      <w:pPr>
        <w:ind w:left="820" w:hanging="270"/>
        <w:spacing w:after="0"/>
        <w:tabs>
          <w:tab w:leader="none" w:pos="8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help you recognize ethical issues and take the appropriate steps to resolve these issues;</w:t>
      </w:r>
    </w:p>
    <w:p>
      <w:pPr>
        <w:spacing w:after="0" w:line="222" w:lineRule="exact"/>
        <w:rPr>
          <w:rFonts w:ascii="Arial" w:cs="Arial" w:eastAsia="Arial" w:hAnsi="Arial"/>
          <w:sz w:val="19"/>
          <w:szCs w:val="19"/>
          <w:color w:val="auto"/>
        </w:rPr>
      </w:pPr>
    </w:p>
    <w:p>
      <w:pPr>
        <w:ind w:left="820" w:hanging="270"/>
        <w:spacing w:after="0"/>
        <w:tabs>
          <w:tab w:leader="none" w:pos="8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deter ethical violations;</w:t>
      </w:r>
    </w:p>
    <w:p>
      <w:pPr>
        <w:spacing w:after="0" w:line="222" w:lineRule="exact"/>
        <w:rPr>
          <w:rFonts w:ascii="Arial" w:cs="Arial" w:eastAsia="Arial" w:hAnsi="Arial"/>
          <w:sz w:val="19"/>
          <w:szCs w:val="19"/>
          <w:color w:val="auto"/>
        </w:rPr>
      </w:pPr>
    </w:p>
    <w:p>
      <w:pPr>
        <w:ind w:left="820" w:hanging="270"/>
        <w:spacing w:after="0"/>
        <w:tabs>
          <w:tab w:leader="none" w:pos="8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assist you in reporting any unethical or illegal conduct; and</w:t>
      </w:r>
    </w:p>
    <w:p>
      <w:pPr>
        <w:spacing w:after="0" w:line="222" w:lineRule="exact"/>
        <w:rPr>
          <w:rFonts w:ascii="Arial" w:cs="Arial" w:eastAsia="Arial" w:hAnsi="Arial"/>
          <w:sz w:val="19"/>
          <w:szCs w:val="19"/>
          <w:color w:val="auto"/>
        </w:rPr>
      </w:pPr>
    </w:p>
    <w:p>
      <w:pPr>
        <w:ind w:left="820" w:hanging="270"/>
        <w:spacing w:after="0"/>
        <w:tabs>
          <w:tab w:leader="none" w:pos="8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reaffirm and promote our commitment to a corporate culture that values honesty and accountability.</w:t>
      </w:r>
    </w:p>
    <w:p>
      <w:pPr>
        <w:spacing w:after="0" w:line="223" w:lineRule="exact"/>
        <w:rPr>
          <w:sz w:val="20"/>
          <w:szCs w:val="20"/>
          <w:color w:val="auto"/>
        </w:rPr>
      </w:pPr>
    </w:p>
    <w:p>
      <w:pPr>
        <w:ind w:right="20" w:firstLine="557"/>
        <w:spacing w:after="0" w:line="263" w:lineRule="auto"/>
        <w:rPr>
          <w:sz w:val="20"/>
          <w:szCs w:val="20"/>
          <w:color w:val="auto"/>
        </w:rPr>
      </w:pPr>
      <w:r>
        <w:rPr>
          <w:rFonts w:ascii="Arial" w:cs="Arial" w:eastAsia="Arial" w:hAnsi="Arial"/>
          <w:sz w:val="19"/>
          <w:szCs w:val="19"/>
          <w:color w:val="auto"/>
        </w:rPr>
        <w:t>All Covered Persons will acknowledge in writing that they have received a copy of this Code, read it, and understand that the Code contains our expectations regarding their conduct.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As approved, with revisions: March 5, 2020</w:t>
      </w:r>
    </w:p>
    <w:p>
      <w:pPr>
        <w:sectPr>
          <w:pgSz w:w="11900" w:h="16838" w:orient="portrait"/>
          <w:cols w:equalWidth="0" w:num="1">
            <w:col w:w="11260"/>
          </w:cols>
          <w:pgMar w:left="320" w:top="535" w:right="3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9"/>
          <w:szCs w:val="19"/>
          <w:b w:val="1"/>
          <w:bCs w:val="1"/>
          <w:u w:val="single" w:color="auto"/>
          <w:color w:val="auto"/>
        </w:rPr>
        <w:t>Conflicts of Interest</w:t>
      </w:r>
    </w:p>
    <w:p>
      <w:pPr>
        <w:spacing w:after="0" w:line="227" w:lineRule="exact"/>
        <w:rPr>
          <w:sz w:val="20"/>
          <w:szCs w:val="20"/>
          <w:color w:val="auto"/>
        </w:rPr>
      </w:pPr>
    </w:p>
    <w:p>
      <w:pPr>
        <w:jc w:val="both"/>
        <w:ind w:right="20" w:firstLine="557"/>
        <w:spacing w:after="0" w:line="273" w:lineRule="auto"/>
        <w:rPr>
          <w:sz w:val="20"/>
          <w:szCs w:val="20"/>
          <w:color w:val="auto"/>
        </w:rPr>
      </w:pPr>
      <w:r>
        <w:rPr>
          <w:rFonts w:ascii="Arial" w:cs="Arial" w:eastAsia="Arial" w:hAnsi="Arial"/>
          <w:sz w:val="18"/>
          <w:szCs w:val="18"/>
          <w:color w:val="auto"/>
        </w:rPr>
        <w:t>You must avoid any conflict, or the appearance of a conflict, between your personal interests and our interests. A conflict exists when your personal interests in any way interfere—or even appear to interfere—with our interests, or when you take any action or have any interests that may make it difficult for you to perform your job objectively and effectively. For example, a conflict of interest probably exists if:</w:t>
      </w:r>
    </w:p>
    <w:p>
      <w:pPr>
        <w:spacing w:after="0" w:line="176" w:lineRule="exact"/>
        <w:rPr>
          <w:sz w:val="20"/>
          <w:szCs w:val="20"/>
          <w:color w:val="auto"/>
        </w:rPr>
      </w:pPr>
    </w:p>
    <w:p>
      <w:pPr>
        <w:ind w:left="560" w:hanging="288"/>
        <w:spacing w:after="0" w:line="263" w:lineRule="auto"/>
        <w:tabs>
          <w:tab w:leader="none" w:pos="5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cause us to enter into business relationships with you or a member of your family, or invest in companies affiliated with you or a member of your family;</w:t>
      </w:r>
    </w:p>
    <w:p>
      <w:pPr>
        <w:spacing w:after="0" w:line="148" w:lineRule="exact"/>
        <w:rPr>
          <w:rFonts w:ascii="Arial" w:cs="Arial" w:eastAsia="Arial" w:hAnsi="Arial"/>
          <w:sz w:val="19"/>
          <w:szCs w:val="19"/>
          <w:color w:val="auto"/>
        </w:rPr>
      </w:pPr>
    </w:p>
    <w:p>
      <w:pPr>
        <w:ind w:left="560" w:hanging="288"/>
        <w:spacing w:after="0"/>
        <w:tabs>
          <w:tab w:leader="none" w:pos="5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or a member of your family, receives improper personal benefits as a result of your position with us;</w:t>
      </w:r>
    </w:p>
    <w:p>
      <w:pPr>
        <w:spacing w:after="0" w:line="187" w:lineRule="exact"/>
        <w:rPr>
          <w:rFonts w:ascii="Arial" w:cs="Arial" w:eastAsia="Arial" w:hAnsi="Arial"/>
          <w:sz w:val="19"/>
          <w:szCs w:val="19"/>
          <w:color w:val="auto"/>
        </w:rPr>
      </w:pPr>
    </w:p>
    <w:p>
      <w:pPr>
        <w:ind w:left="560" w:hanging="288"/>
        <w:spacing w:after="0" w:line="263" w:lineRule="auto"/>
        <w:tabs>
          <w:tab w:leader="none" w:pos="5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use any nonpublic information about us, our customers or our other business partners for your personal gain, or the gain of a member of your family; or</w:t>
      </w:r>
    </w:p>
    <w:p>
      <w:pPr>
        <w:spacing w:after="0" w:line="148" w:lineRule="exact"/>
        <w:rPr>
          <w:rFonts w:ascii="Arial" w:cs="Arial" w:eastAsia="Arial" w:hAnsi="Arial"/>
          <w:sz w:val="19"/>
          <w:szCs w:val="19"/>
          <w:color w:val="auto"/>
        </w:rPr>
      </w:pPr>
    </w:p>
    <w:p>
      <w:pPr>
        <w:ind w:left="560" w:hanging="288"/>
        <w:spacing w:after="0"/>
        <w:tabs>
          <w:tab w:leader="none" w:pos="5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you use or communicate confidential information obtained in the course of your work for your or another’s personal benefit.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Corporate Opportunities</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of us has a duty to advance the legitimate interests of Sutter Rock when the opportunity to do so presents itself. Therefore, you may not:</w:t>
      </w:r>
    </w:p>
    <w:p>
      <w:pPr>
        <w:spacing w:after="0" w:line="246" w:lineRule="exact"/>
        <w:rPr>
          <w:sz w:val="20"/>
          <w:szCs w:val="20"/>
          <w:color w:val="auto"/>
        </w:rPr>
      </w:pPr>
    </w:p>
    <w:p>
      <w:pPr>
        <w:ind w:left="560" w:hanging="288"/>
        <w:spacing w:after="0" w:line="263" w:lineRule="auto"/>
        <w:tabs>
          <w:tab w:leader="none" w:pos="5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take for yourself personally opportunities, including investment opportunities, discovered through the use of your position with us or through the use of our property or information;</w:t>
      </w:r>
    </w:p>
    <w:p>
      <w:pPr>
        <w:spacing w:after="0" w:line="182" w:lineRule="exact"/>
        <w:rPr>
          <w:rFonts w:ascii="Arial" w:cs="Arial" w:eastAsia="Arial" w:hAnsi="Arial"/>
          <w:sz w:val="19"/>
          <w:szCs w:val="19"/>
          <w:color w:val="auto"/>
        </w:rPr>
      </w:pPr>
    </w:p>
    <w:p>
      <w:pPr>
        <w:ind w:left="560" w:hanging="288"/>
        <w:spacing w:after="0"/>
        <w:tabs>
          <w:tab w:leader="none" w:pos="5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use our property, information, or position for your personal gain or the gain of a family member; or</w:t>
      </w:r>
    </w:p>
    <w:p>
      <w:pPr>
        <w:spacing w:after="0" w:line="222" w:lineRule="exact"/>
        <w:rPr>
          <w:rFonts w:ascii="Arial" w:cs="Arial" w:eastAsia="Arial" w:hAnsi="Arial"/>
          <w:sz w:val="19"/>
          <w:szCs w:val="19"/>
          <w:color w:val="auto"/>
        </w:rPr>
      </w:pPr>
    </w:p>
    <w:p>
      <w:pPr>
        <w:ind w:left="560" w:hanging="288"/>
        <w:spacing w:after="0"/>
        <w:tabs>
          <w:tab w:leader="none" w:pos="5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compete, or prepare to compete, with 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Confidentiality</w:t>
      </w:r>
    </w:p>
    <w:p>
      <w:pPr>
        <w:spacing w:after="0" w:line="227" w:lineRule="exact"/>
        <w:rPr>
          <w:sz w:val="20"/>
          <w:szCs w:val="20"/>
          <w:color w:val="auto"/>
        </w:rPr>
      </w:pPr>
    </w:p>
    <w:p>
      <w:pPr>
        <w:jc w:val="both"/>
        <w:ind w:firstLine="557"/>
        <w:spacing w:after="0" w:line="249" w:lineRule="auto"/>
        <w:rPr>
          <w:sz w:val="20"/>
          <w:szCs w:val="20"/>
          <w:color w:val="auto"/>
        </w:rPr>
      </w:pPr>
      <w:r>
        <w:rPr>
          <w:rFonts w:ascii="Arial" w:cs="Arial" w:eastAsia="Arial" w:hAnsi="Arial"/>
          <w:sz w:val="19"/>
          <w:szCs w:val="19"/>
          <w:color w:val="auto"/>
        </w:rPr>
        <w:t>You must not disclose confidential information regarding us, our affiliates, our lenders, our clients or our other business partners, unless disclosure is authorized or required by law. Confidential information includes all non-public information that might be harmful to, or useful to the competitors of, Sutter Rock, our affiliates, our lenders, our clients or our other business partners. This obligation continues even after you leave Sutter Rock, until the information becomes publicly available.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535" w:right="3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9"/>
          <w:szCs w:val="19"/>
          <w:b w:val="1"/>
          <w:bCs w:val="1"/>
          <w:u w:val="single" w:color="auto"/>
          <w:color w:val="auto"/>
        </w:rPr>
        <w:t>Fair Dealing</w:t>
      </w:r>
    </w:p>
    <w:p>
      <w:pPr>
        <w:spacing w:after="0" w:line="227" w:lineRule="exact"/>
        <w:rPr>
          <w:sz w:val="20"/>
          <w:szCs w:val="20"/>
          <w:color w:val="auto"/>
        </w:rPr>
      </w:pPr>
    </w:p>
    <w:p>
      <w:pPr>
        <w:jc w:val="both"/>
        <w:ind w:firstLine="557"/>
        <w:spacing w:after="0" w:line="252" w:lineRule="auto"/>
        <w:rPr>
          <w:sz w:val="20"/>
          <w:szCs w:val="20"/>
          <w:color w:val="auto"/>
        </w:rPr>
      </w:pPr>
      <w:r>
        <w:rPr>
          <w:rFonts w:ascii="Arial" w:cs="Arial" w:eastAsia="Arial" w:hAnsi="Arial"/>
          <w:sz w:val="19"/>
          <w:szCs w:val="19"/>
          <w:color w:val="auto"/>
        </w:rPr>
        <w:t>You must endeavor to deal fairly with our customers, suppliers and business partners, or any other companies or individuals with whom we do business or come into contact with, including fellow employees and our competitors. You must not take unfair advantage of these or other parties by means of:</w:t>
      </w:r>
    </w:p>
    <w:p>
      <w:pPr>
        <w:spacing w:after="0" w:line="194" w:lineRule="exact"/>
        <w:rPr>
          <w:sz w:val="20"/>
          <w:szCs w:val="20"/>
          <w:color w:val="auto"/>
        </w:rPr>
      </w:pPr>
    </w:p>
    <w:p>
      <w:pPr>
        <w:ind w:left="560" w:hanging="288"/>
        <w:spacing w:after="0"/>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manipulation;</w:t>
      </w:r>
    </w:p>
    <w:p>
      <w:pPr>
        <w:spacing w:after="0" w:line="222" w:lineRule="exact"/>
        <w:rPr>
          <w:rFonts w:ascii="Arial" w:cs="Arial" w:eastAsia="Arial" w:hAnsi="Arial"/>
          <w:sz w:val="19"/>
          <w:szCs w:val="19"/>
          <w:color w:val="auto"/>
        </w:rPr>
      </w:pPr>
    </w:p>
    <w:p>
      <w:pPr>
        <w:ind w:left="560" w:hanging="288"/>
        <w:spacing w:after="0"/>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concealment;</w:t>
      </w:r>
    </w:p>
    <w:p>
      <w:pPr>
        <w:spacing w:after="0" w:line="222" w:lineRule="exact"/>
        <w:rPr>
          <w:rFonts w:ascii="Arial" w:cs="Arial" w:eastAsia="Arial" w:hAnsi="Arial"/>
          <w:sz w:val="19"/>
          <w:szCs w:val="19"/>
          <w:color w:val="auto"/>
        </w:rPr>
      </w:pPr>
    </w:p>
    <w:p>
      <w:pPr>
        <w:ind w:left="560" w:hanging="288"/>
        <w:spacing w:after="0"/>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abuse of privileged information;</w:t>
      </w:r>
    </w:p>
    <w:p>
      <w:pPr>
        <w:spacing w:after="0" w:line="222" w:lineRule="exact"/>
        <w:rPr>
          <w:rFonts w:ascii="Arial" w:cs="Arial" w:eastAsia="Arial" w:hAnsi="Arial"/>
          <w:sz w:val="19"/>
          <w:szCs w:val="19"/>
          <w:color w:val="auto"/>
        </w:rPr>
      </w:pPr>
    </w:p>
    <w:p>
      <w:pPr>
        <w:ind w:left="560" w:hanging="288"/>
        <w:spacing w:after="0"/>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misrepresentation of material facts; or</w:t>
      </w:r>
    </w:p>
    <w:p>
      <w:pPr>
        <w:spacing w:after="0" w:line="222" w:lineRule="exact"/>
        <w:rPr>
          <w:rFonts w:ascii="Arial" w:cs="Arial" w:eastAsia="Arial" w:hAnsi="Arial"/>
          <w:sz w:val="19"/>
          <w:szCs w:val="19"/>
          <w:color w:val="auto"/>
        </w:rPr>
      </w:pPr>
    </w:p>
    <w:p>
      <w:pPr>
        <w:ind w:left="560" w:hanging="288"/>
        <w:spacing w:after="0"/>
        <w:tabs>
          <w:tab w:leader="none" w:pos="5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other unfair-dealing practice.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Protection and Proper Use of Company Assets</w:t>
      </w:r>
    </w:p>
    <w:p>
      <w:pPr>
        <w:spacing w:after="0" w:line="227" w:lineRule="exact"/>
        <w:rPr>
          <w:sz w:val="20"/>
          <w:szCs w:val="20"/>
          <w:color w:val="auto"/>
        </w:rPr>
      </w:pPr>
    </w:p>
    <w:p>
      <w:pPr>
        <w:jc w:val="both"/>
        <w:ind w:right="20" w:firstLine="557"/>
        <w:spacing w:after="0" w:line="263" w:lineRule="auto"/>
        <w:rPr>
          <w:sz w:val="20"/>
          <w:szCs w:val="20"/>
          <w:color w:val="auto"/>
        </w:rPr>
      </w:pPr>
      <w:r>
        <w:rPr>
          <w:rFonts w:ascii="Arial" w:cs="Arial" w:eastAsia="Arial" w:hAnsi="Arial"/>
          <w:sz w:val="19"/>
          <w:szCs w:val="19"/>
          <w:color w:val="auto"/>
        </w:rPr>
        <w:t>Our assets are to be used only for legitimate business purposes. Theft, carelessness and waste have a direct impact on our profitability. You should protect our assets and ensure they are used efficiently.</w:t>
      </w:r>
    </w:p>
    <w:p>
      <w:pPr>
        <w:spacing w:after="0" w:line="183" w:lineRule="exact"/>
        <w:rPr>
          <w:sz w:val="20"/>
          <w:szCs w:val="20"/>
          <w:color w:val="auto"/>
        </w:rPr>
      </w:pPr>
    </w:p>
    <w:p>
      <w:pPr>
        <w:jc w:val="both"/>
        <w:ind w:firstLine="557"/>
        <w:spacing w:after="0" w:line="252" w:lineRule="auto"/>
        <w:rPr>
          <w:sz w:val="20"/>
          <w:szCs w:val="20"/>
          <w:color w:val="auto"/>
        </w:rPr>
      </w:pPr>
      <w:r>
        <w:rPr>
          <w:rFonts w:ascii="Arial" w:cs="Arial" w:eastAsia="Arial" w:hAnsi="Arial"/>
          <w:sz w:val="19"/>
          <w:szCs w:val="19"/>
          <w:color w:val="auto"/>
        </w:rPr>
        <w:t>Incidental personal use of telephones, fax machines, copy machines, personal computers and similar equipment is generally allowed if there is no significant added cost to us, if it does not interfere with your work duties and if such use is not related to an illegal activity or to any outside business.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Compliance with Applicable Laws, Rules and Regulations</w:t>
      </w:r>
    </w:p>
    <w:p>
      <w:pPr>
        <w:spacing w:after="0" w:line="227" w:lineRule="exact"/>
        <w:rPr>
          <w:sz w:val="20"/>
          <w:szCs w:val="20"/>
          <w:color w:val="auto"/>
        </w:rPr>
      </w:pPr>
    </w:p>
    <w:p>
      <w:pPr>
        <w:jc w:val="both"/>
        <w:ind w:right="20" w:firstLine="557"/>
        <w:spacing w:after="0" w:line="252" w:lineRule="auto"/>
        <w:rPr>
          <w:sz w:val="20"/>
          <w:szCs w:val="20"/>
          <w:color w:val="auto"/>
        </w:rPr>
      </w:pPr>
      <w:r>
        <w:rPr>
          <w:rFonts w:ascii="Arial" w:cs="Arial" w:eastAsia="Arial" w:hAnsi="Arial"/>
          <w:sz w:val="19"/>
          <w:szCs w:val="19"/>
          <w:color w:val="auto"/>
        </w:rPr>
        <w:t>All Covered Persons have a duty to comply with all laws, rules and regulations that apply to our business, including those relating to insider trading. Highlighted below are some of the key compliance guidelines that must be followed. Please talk to our Chief Compliance Officer if you have any questions about how to comply with these regulations and other laws, rules and regulations.</w:t>
      </w:r>
    </w:p>
    <w:p>
      <w:pPr>
        <w:spacing w:after="0" w:line="190" w:lineRule="exact"/>
        <w:rPr>
          <w:sz w:val="20"/>
          <w:szCs w:val="20"/>
          <w:color w:val="auto"/>
        </w:rPr>
      </w:pPr>
    </w:p>
    <w:p>
      <w:pPr>
        <w:jc w:val="both"/>
        <w:ind w:left="1100" w:hanging="271"/>
        <w:spacing w:after="0" w:line="250" w:lineRule="auto"/>
        <w:tabs>
          <w:tab w:leader="none" w:pos="1100" w:val="left"/>
        </w:tabs>
        <w:numPr>
          <w:ilvl w:val="0"/>
          <w:numId w:val="116"/>
        </w:numPr>
        <w:rPr>
          <w:rFonts w:ascii="Arial" w:cs="Arial" w:eastAsia="Arial" w:hAnsi="Arial"/>
          <w:sz w:val="19"/>
          <w:szCs w:val="19"/>
          <w:color w:val="auto"/>
        </w:rPr>
      </w:pPr>
      <w:r>
        <w:rPr>
          <w:rFonts w:ascii="Arial" w:cs="Arial" w:eastAsia="Arial" w:hAnsi="Arial"/>
          <w:sz w:val="19"/>
          <w:szCs w:val="19"/>
          <w:b w:val="1"/>
          <w:bCs w:val="1"/>
          <w:color w:val="auto"/>
        </w:rPr>
        <w:t xml:space="preserve">Insider trading. </w:t>
      </w:r>
      <w:r>
        <w:rPr>
          <w:rFonts w:ascii="Arial" w:cs="Arial" w:eastAsia="Arial" w:hAnsi="Arial"/>
          <w:sz w:val="19"/>
          <w:szCs w:val="19"/>
          <w:color w:val="auto"/>
        </w:rPr>
        <w:t>It is against the law to buy or sell securities using material information that is not available to the public. Individuals</w:t>
      </w:r>
      <w:r>
        <w:rPr>
          <w:rFonts w:ascii="Arial" w:cs="Arial" w:eastAsia="Arial" w:hAnsi="Arial"/>
          <w:sz w:val="19"/>
          <w:szCs w:val="19"/>
          <w:b w:val="1"/>
          <w:bCs w:val="1"/>
          <w:color w:val="auto"/>
        </w:rPr>
        <w:t xml:space="preserve"> </w:t>
      </w:r>
      <w:r>
        <w:rPr>
          <w:rFonts w:ascii="Arial" w:cs="Arial" w:eastAsia="Arial" w:hAnsi="Arial"/>
          <w:sz w:val="19"/>
          <w:szCs w:val="19"/>
          <w:color w:val="auto"/>
        </w:rPr>
        <w:t>who give this “inside” information to others may be liable to the same extent as the individuals who trade while in possession of such information. You must not trade in our securities, or the securities of our affiliates, our lenders, our clients, or our other business partners while in the possession of “inside” information.</w:t>
      </w:r>
    </w:p>
    <w:p>
      <w:pPr>
        <w:spacing w:after="0" w:line="192" w:lineRule="exact"/>
        <w:rPr>
          <w:rFonts w:ascii="Arial" w:cs="Arial" w:eastAsia="Arial" w:hAnsi="Arial"/>
          <w:sz w:val="19"/>
          <w:szCs w:val="19"/>
          <w:color w:val="auto"/>
        </w:rPr>
      </w:pPr>
    </w:p>
    <w:p>
      <w:pPr>
        <w:ind w:left="1100" w:hanging="271"/>
        <w:spacing w:after="0" w:line="295" w:lineRule="auto"/>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“Whistleblower” protections. </w:t>
      </w:r>
      <w:r>
        <w:rPr>
          <w:rFonts w:ascii="Arial" w:cs="Arial" w:eastAsia="Arial" w:hAnsi="Arial"/>
          <w:sz w:val="18"/>
          <w:szCs w:val="18"/>
          <w:color w:val="auto"/>
        </w:rPr>
        <w:t>It is against the law to discharge, demote, suspend, threaten, harass, or discriminate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 employee who provides information or otherwise assists in investigations or proceedings relating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535" w:right="319" w:bottom="1440" w:gutter="0" w:footer="0" w:header="0"/>
        </w:sectPr>
      </w:pPr>
    </w:p>
    <w:bookmarkStart w:id="169" w:name="page170"/>
    <w:bookmarkEnd w:id="169"/>
    <w:p>
      <w:pPr>
        <w:ind w:left="1100" w:right="20"/>
        <w:spacing w:after="0" w:line="232" w:lineRule="auto"/>
        <w:rPr>
          <w:sz w:val="20"/>
          <w:szCs w:val="20"/>
          <w:color w:val="auto"/>
        </w:rPr>
      </w:pPr>
      <w:r>
        <w:rPr>
          <w:rFonts w:ascii="Arial" w:cs="Arial" w:eastAsia="Arial" w:hAnsi="Arial"/>
          <w:sz w:val="19"/>
          <w:szCs w:val="19"/>
          <w:color w:val="auto"/>
        </w:rPr>
        <w:t>violations of federal securities laws or other federal laws prohibiting fraud against shareholders. You must not discriminate in any way against an employee who engages in these “whistleblower” activities.</w:t>
      </w:r>
    </w:p>
    <w:p>
      <w:pPr>
        <w:spacing w:after="0" w:line="189" w:lineRule="exact"/>
        <w:rPr>
          <w:sz w:val="20"/>
          <w:szCs w:val="20"/>
          <w:color w:val="auto"/>
        </w:rPr>
      </w:pPr>
    </w:p>
    <w:p>
      <w:pPr>
        <w:ind w:left="1100" w:right="20" w:hanging="271"/>
        <w:spacing w:after="0" w:line="267" w:lineRule="auto"/>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Investment Company Act requirements. </w:t>
      </w:r>
      <w:r>
        <w:rPr>
          <w:rFonts w:ascii="Arial" w:cs="Arial" w:eastAsia="Arial" w:hAnsi="Arial"/>
          <w:sz w:val="19"/>
          <w:szCs w:val="19"/>
          <w:color w:val="auto"/>
        </w:rPr>
        <w:t>A separate code of ethics has been established to comply with the Investment Company Act</w:t>
      </w:r>
      <w:r>
        <w:rPr>
          <w:rFonts w:ascii="Arial" w:cs="Arial" w:eastAsia="Arial" w:hAnsi="Arial"/>
          <w:sz w:val="19"/>
          <w:szCs w:val="19"/>
          <w:b w:val="1"/>
          <w:bCs w:val="1"/>
          <w:color w:val="auto"/>
        </w:rPr>
        <w:t xml:space="preserve"> </w:t>
      </w:r>
      <w:r>
        <w:rPr>
          <w:rFonts w:ascii="Arial" w:cs="Arial" w:eastAsia="Arial" w:hAnsi="Arial"/>
          <w:sz w:val="19"/>
          <w:szCs w:val="19"/>
          <w:color w:val="auto"/>
        </w:rPr>
        <w:t>of 1940, as amended, and is applicable to those persons designated in such code.</w:t>
      </w:r>
    </w:p>
    <w:p>
      <w:pPr>
        <w:spacing w:after="0" w:line="175" w:lineRule="exact"/>
        <w:rPr>
          <w:rFonts w:ascii="Arial" w:cs="Arial" w:eastAsia="Arial" w:hAnsi="Arial"/>
          <w:sz w:val="19"/>
          <w:szCs w:val="19"/>
          <w:color w:val="auto"/>
        </w:rPr>
      </w:pPr>
    </w:p>
    <w:p>
      <w:pPr>
        <w:jc w:val="both"/>
        <w:ind w:left="1100" w:hanging="271"/>
        <w:spacing w:after="0" w:line="254" w:lineRule="auto"/>
        <w:tabs>
          <w:tab w:leader="none" w:pos="1100"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 xml:space="preserve">Document retention. </w:t>
      </w:r>
      <w:r>
        <w:rPr>
          <w:rFonts w:ascii="Arial" w:cs="Arial" w:eastAsia="Arial" w:hAnsi="Arial"/>
          <w:sz w:val="19"/>
          <w:szCs w:val="19"/>
          <w:color w:val="auto"/>
        </w:rPr>
        <w:t>You must adhere to appropriate procedures governing the retention and destruction of records consistent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regulations and our policies. You may not destroy, alter or falsify any document that may be relevant to a threatened or pending lawsuit or governmental investigation.</w:t>
      </w:r>
    </w:p>
    <w:p>
      <w:pPr>
        <w:spacing w:after="0" w:line="193" w:lineRule="exact"/>
        <w:rPr>
          <w:sz w:val="20"/>
          <w:szCs w:val="20"/>
          <w:color w:val="auto"/>
        </w:rPr>
      </w:pPr>
    </w:p>
    <w:p>
      <w:pPr>
        <w:jc w:val="both"/>
        <w:ind w:firstLine="557"/>
        <w:spacing w:after="0" w:line="252" w:lineRule="auto"/>
        <w:rPr>
          <w:sz w:val="20"/>
          <w:szCs w:val="20"/>
          <w:color w:val="auto"/>
        </w:rPr>
      </w:pPr>
      <w:r>
        <w:rPr>
          <w:rFonts w:ascii="Arial" w:cs="Arial" w:eastAsia="Arial" w:hAnsi="Arial"/>
          <w:sz w:val="19"/>
          <w:szCs w:val="19"/>
          <w:color w:val="auto"/>
        </w:rPr>
        <w:t>In addition, we expect you to comply with all of our policies and procedures that apply to you. We may modify or update our policies and procedures in the future, and may adopt new company policies and procedures from time to time. You are also expected to observe the terms of any confidentiality agreement, employment agreement or other similar agreement that applies to you.</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Equal Opportunity, Harassment</w:t>
      </w:r>
    </w:p>
    <w:p>
      <w:pPr>
        <w:spacing w:after="0" w:line="227" w:lineRule="exact"/>
        <w:rPr>
          <w:sz w:val="20"/>
          <w:szCs w:val="20"/>
          <w:color w:val="auto"/>
        </w:rPr>
      </w:pPr>
    </w:p>
    <w:p>
      <w:pPr>
        <w:jc w:val="both"/>
        <w:ind w:firstLine="557"/>
        <w:spacing w:after="0" w:line="283" w:lineRule="auto"/>
        <w:rPr>
          <w:sz w:val="20"/>
          <w:szCs w:val="20"/>
          <w:color w:val="auto"/>
        </w:rPr>
      </w:pPr>
      <w:r>
        <w:rPr>
          <w:rFonts w:ascii="Arial" w:cs="Arial" w:eastAsia="Arial" w:hAnsi="Arial"/>
          <w:sz w:val="17"/>
          <w:szCs w:val="17"/>
          <w:color w:val="auto"/>
        </w:rPr>
        <w:t>We are committed to providing equal opportunity in all of our employment practices including selection, hiring, promotion, transfer and compensation of all qualified applicants and employees without regard to race, color, sex or gender, sexual orientation, religion, age, national origin, handicap, disability, citizenship status, marital status or any other status protected by law. With this in mind, there are certain behaviors that will not be tolerated. These include harassment, violence, intimidation, and discrimination of any kind involving race, color, sex or gender, sexual orientation, religion, age, national origin, handicap, disability, citizenship status, marital status or any other status protected by law.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Accuracy of Company Records</w:t>
      </w:r>
    </w:p>
    <w:p>
      <w:pPr>
        <w:spacing w:after="0" w:line="227"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9"/>
          <w:szCs w:val="19"/>
          <w:color w:val="auto"/>
        </w:rPr>
        <w:t>We require honest and accurate recording and reporting of information in order to make responsible business decisions. This includes data such as quality, safety and personnel records, as well as financial records.</w:t>
      </w:r>
    </w:p>
    <w:p>
      <w:pPr>
        <w:spacing w:after="0" w:line="183"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9"/>
          <w:szCs w:val="19"/>
          <w:color w:val="auto"/>
        </w:rPr>
        <w:t>All financial books, records and accounts must accurately reflect transactions and events, and conform both to required accounting principles and to our system of internal controls.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Retaining Business Communications</w:t>
      </w:r>
    </w:p>
    <w:p>
      <w:pPr>
        <w:spacing w:after="0" w:line="227" w:lineRule="exact"/>
        <w:rPr>
          <w:sz w:val="20"/>
          <w:szCs w:val="20"/>
          <w:color w:val="auto"/>
        </w:rPr>
      </w:pPr>
    </w:p>
    <w:p>
      <w:pPr>
        <w:jc w:val="both"/>
        <w:ind w:right="20" w:firstLine="557"/>
        <w:spacing w:after="0" w:line="252" w:lineRule="auto"/>
        <w:rPr>
          <w:sz w:val="20"/>
          <w:szCs w:val="20"/>
          <w:color w:val="auto"/>
        </w:rPr>
      </w:pPr>
      <w:r>
        <w:rPr>
          <w:rFonts w:ascii="Arial" w:cs="Arial" w:eastAsia="Arial" w:hAnsi="Arial"/>
          <w:sz w:val="19"/>
          <w:szCs w:val="19"/>
          <w:color w:val="auto"/>
        </w:rPr>
        <w:t>The law requires us to maintain certain types of corporate records, usually for specified periods of time. Failure to retain those records for those minimum periods could subject us to penalties and fines, cause the loss of rights, obstruct justice, place us in contempt of court or seriously disadvantage us in litigation.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515" w:right="319" w:bottom="1440" w:gutter="0" w:footer="0" w:header="0"/>
        </w:sectPr>
      </w:pPr>
    </w:p>
    <w:bookmarkStart w:id="170" w:name="page171"/>
    <w:bookmarkEnd w:id="170"/>
    <w:p>
      <w:pPr>
        <w:jc w:val="both"/>
        <w:ind w:firstLine="557"/>
        <w:spacing w:after="0" w:line="246" w:lineRule="auto"/>
        <w:rPr>
          <w:sz w:val="20"/>
          <w:szCs w:val="20"/>
          <w:color w:val="auto"/>
        </w:rPr>
      </w:pPr>
      <w:r>
        <w:rPr>
          <w:rFonts w:ascii="Arial" w:cs="Arial" w:eastAsia="Arial" w:hAnsi="Arial"/>
          <w:sz w:val="19"/>
          <w:szCs w:val="19"/>
          <w:color w:val="auto"/>
        </w:rPr>
        <w:t>From time to time, we establish retention or destruction policies to ensure legal compliance. We expect you to fully comply with any published records retention or destruction policies, provided that you should note the following exception: If you believe, or we inform you, that our records are relevant to any litigation or governmental action, or any potential litigation or action, then you must preserve those records until we determine the records are no longer needed. This exception supersedes any previously or subsequently established destruction policies for those records. If you believe this exception may apply, or have any questions regarding the possible applicability of this exception, please contact our Chief Compliance Officer.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Political Contributions</w:t>
      </w:r>
    </w:p>
    <w:p>
      <w:pPr>
        <w:spacing w:after="0" w:line="227"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9"/>
          <w:szCs w:val="19"/>
          <w:color w:val="auto"/>
        </w:rPr>
        <w:t>No funds of Sutter Rock may be given directly to political candidates. You may, however, engage in political activity with your own resources on your own time, subject, however, to any other applicable restrictions.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Media Relations</w:t>
      </w:r>
    </w:p>
    <w:p>
      <w:pPr>
        <w:spacing w:after="0" w:line="227" w:lineRule="exact"/>
        <w:rPr>
          <w:sz w:val="20"/>
          <w:szCs w:val="20"/>
          <w:color w:val="auto"/>
        </w:rPr>
      </w:pPr>
    </w:p>
    <w:p>
      <w:pPr>
        <w:jc w:val="both"/>
        <w:ind w:firstLine="557"/>
        <w:spacing w:after="0" w:line="252" w:lineRule="auto"/>
        <w:rPr>
          <w:sz w:val="20"/>
          <w:szCs w:val="20"/>
          <w:color w:val="auto"/>
        </w:rPr>
      </w:pPr>
      <w:r>
        <w:rPr>
          <w:rFonts w:ascii="Arial" w:cs="Arial" w:eastAsia="Arial" w:hAnsi="Arial"/>
          <w:sz w:val="19"/>
          <w:szCs w:val="19"/>
          <w:color w:val="auto"/>
        </w:rPr>
        <w:t>We must speak with a unified voice in all dealings with the press and other media. As a result, our Chief Executive Officer or our Investor Relations personnel are the only contact for media seeking information about Sutter Rock. Any requests from the media must be referred to our Chief Executive Officer or our Investor Relations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61595</wp:posOffset>
            </wp:positionV>
            <wp:extent cx="196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19685" cy="762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Intellectual Property Information</w:t>
      </w:r>
    </w:p>
    <w:p>
      <w:pPr>
        <w:spacing w:after="0" w:line="227" w:lineRule="exact"/>
        <w:rPr>
          <w:sz w:val="20"/>
          <w:szCs w:val="20"/>
          <w:color w:val="auto"/>
        </w:rPr>
      </w:pPr>
    </w:p>
    <w:p>
      <w:pPr>
        <w:jc w:val="both"/>
        <w:ind w:firstLine="557"/>
        <w:spacing w:after="0" w:line="249" w:lineRule="auto"/>
        <w:rPr>
          <w:sz w:val="20"/>
          <w:szCs w:val="20"/>
          <w:color w:val="auto"/>
        </w:rPr>
      </w:pPr>
      <w:r>
        <w:rPr>
          <w:rFonts w:ascii="Arial" w:cs="Arial" w:eastAsia="Arial" w:hAnsi="Arial"/>
          <w:sz w:val="19"/>
          <w:szCs w:val="19"/>
          <w:color w:val="auto"/>
        </w:rPr>
        <w:t>Information generated in our business is a valuable asset. Protecting this information plays an important role in our growth and ability to compete. Such information includes business and research plans; objectives and strategies; trade secrets; unpublished financial information; salary and benefits data; lender and other business partner lists. Employees who have access to our intellectual property information are obligated to safeguard it from unauthorized access and:</w:t>
      </w:r>
    </w:p>
    <w:p>
      <w:pPr>
        <w:spacing w:after="0" w:line="196" w:lineRule="exact"/>
        <w:rPr>
          <w:sz w:val="20"/>
          <w:szCs w:val="20"/>
          <w:color w:val="auto"/>
        </w:rPr>
      </w:pPr>
    </w:p>
    <w:p>
      <w:pPr>
        <w:ind w:left="1100" w:hanging="271"/>
        <w:spacing w:after="0"/>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 disclose this information to persons outside of Sutter Rock;</w:t>
      </w:r>
    </w:p>
    <w:p>
      <w:pPr>
        <w:spacing w:after="0" w:line="222" w:lineRule="exact"/>
        <w:rPr>
          <w:rFonts w:ascii="Arial" w:cs="Arial" w:eastAsia="Arial" w:hAnsi="Arial"/>
          <w:sz w:val="19"/>
          <w:szCs w:val="19"/>
          <w:color w:val="auto"/>
        </w:rPr>
      </w:pPr>
    </w:p>
    <w:p>
      <w:pPr>
        <w:ind w:left="1100" w:hanging="271"/>
        <w:spacing w:after="0"/>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 use this information for personal benefit or the benefit of persons outside of Sutter Rock; and</w:t>
      </w:r>
    </w:p>
    <w:p>
      <w:pPr>
        <w:spacing w:after="0" w:line="222" w:lineRule="exact"/>
        <w:rPr>
          <w:rFonts w:ascii="Arial" w:cs="Arial" w:eastAsia="Arial" w:hAnsi="Arial"/>
          <w:sz w:val="19"/>
          <w:szCs w:val="19"/>
          <w:color w:val="auto"/>
        </w:rPr>
      </w:pPr>
    </w:p>
    <w:p>
      <w:pPr>
        <w:ind w:left="1100" w:hanging="271"/>
        <w:spacing w:after="0"/>
        <w:tabs>
          <w:tab w:leader="none" w:pos="11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not share this information with other employees except on a legitimate “need to know” basis.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Internet and E-Mail Policy</w:t>
      </w:r>
    </w:p>
    <w:p>
      <w:pPr>
        <w:spacing w:after="0" w:line="227" w:lineRule="exact"/>
        <w:rPr>
          <w:sz w:val="20"/>
          <w:szCs w:val="20"/>
          <w:color w:val="auto"/>
        </w:rPr>
      </w:pPr>
    </w:p>
    <w:p>
      <w:pPr>
        <w:ind w:firstLine="557"/>
        <w:spacing w:after="0" w:line="263" w:lineRule="auto"/>
        <w:rPr>
          <w:sz w:val="20"/>
          <w:szCs w:val="20"/>
          <w:color w:val="auto"/>
        </w:rPr>
      </w:pPr>
      <w:r>
        <w:rPr>
          <w:rFonts w:ascii="Arial" w:cs="Arial" w:eastAsia="Arial" w:hAnsi="Arial"/>
          <w:sz w:val="19"/>
          <w:szCs w:val="19"/>
          <w:color w:val="auto"/>
        </w:rPr>
        <w:t>We provide an e-mail system and Internet access to certain of our employees to help them do their work. You may use the e-mail system and the Internet only for legitimate business purposes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759" w:right="319" w:bottom="1440" w:gutter="0" w:footer="0" w:header="0"/>
        </w:sectPr>
      </w:pPr>
    </w:p>
    <w:bookmarkStart w:id="171" w:name="page172"/>
    <w:bookmarkEnd w:id="171"/>
    <w:p>
      <w:pPr>
        <w:jc w:val="both"/>
        <w:ind w:right="20"/>
        <w:spacing w:after="0" w:line="252" w:lineRule="auto"/>
        <w:rPr>
          <w:sz w:val="20"/>
          <w:szCs w:val="20"/>
          <w:color w:val="auto"/>
        </w:rPr>
      </w:pPr>
      <w:r>
        <w:rPr>
          <w:rFonts w:ascii="Arial" w:cs="Arial" w:eastAsia="Arial" w:hAnsi="Arial"/>
          <w:sz w:val="19"/>
          <w:szCs w:val="19"/>
          <w:color w:val="auto"/>
        </w:rPr>
        <w:t>in the course of your duties. Incidental and occasional personal use is permitted, but never for personal gain or any improper use. Further, you are prohibited from discussing or posting information regarding Sutter Rock in any external electronic forum, including Internet chat rooms or electronic bulletin boards.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Reporting Violations and Complaint Handling</w:t>
      </w:r>
    </w:p>
    <w:p>
      <w:pPr>
        <w:spacing w:after="0" w:line="227" w:lineRule="exact"/>
        <w:rPr>
          <w:sz w:val="20"/>
          <w:szCs w:val="20"/>
          <w:color w:val="auto"/>
        </w:rPr>
      </w:pPr>
    </w:p>
    <w:p>
      <w:pPr>
        <w:jc w:val="both"/>
        <w:ind w:firstLine="557"/>
        <w:spacing w:after="0" w:line="329" w:lineRule="auto"/>
        <w:rPr>
          <w:sz w:val="20"/>
          <w:szCs w:val="20"/>
          <w:color w:val="auto"/>
        </w:rPr>
      </w:pPr>
      <w:r>
        <w:rPr>
          <w:rFonts w:ascii="Arial" w:cs="Arial" w:eastAsia="Arial" w:hAnsi="Arial"/>
          <w:sz w:val="15"/>
          <w:szCs w:val="15"/>
          <w:color w:val="auto"/>
        </w:rPr>
        <w:t>You are responsible for compliance with the rules, standards and principles described in this Code. In addition, you should be alert to possible violations of the Code by Sutter Rock’s employees, officers and directors, and you are expected to report a violation promptly. Normally, reports should be made to one’s immediate supervisor. Under some circumstances, it may be impractical or you may feel uncomfortable raising a matter with your supervisor. In those instances, you are encouraged to contact our Chief Compliance Officer who will investigate and report the matter to our Chief Executive Officer and/or the Board of Directors, as the circumstance dictates. You will also be expected to cooperate in an investigation of a violation.</w:t>
      </w:r>
    </w:p>
    <w:p>
      <w:pPr>
        <w:spacing w:after="0" w:line="141" w:lineRule="exact"/>
        <w:rPr>
          <w:sz w:val="20"/>
          <w:szCs w:val="20"/>
          <w:color w:val="auto"/>
        </w:rPr>
      </w:pPr>
    </w:p>
    <w:p>
      <w:pPr>
        <w:jc w:val="both"/>
        <w:ind w:firstLine="557"/>
        <w:spacing w:after="0" w:line="245" w:lineRule="auto"/>
        <w:rPr>
          <w:sz w:val="20"/>
          <w:szCs w:val="20"/>
          <w:color w:val="auto"/>
        </w:rPr>
      </w:pPr>
      <w:r>
        <w:rPr>
          <w:rFonts w:ascii="Arial" w:cs="Arial" w:eastAsia="Arial" w:hAnsi="Arial"/>
          <w:sz w:val="19"/>
          <w:szCs w:val="19"/>
          <w:color w:val="auto"/>
        </w:rPr>
        <w:t>Anyone who has a concern about Sutter Rock’s conduct, the conduct of an officer, director or employee of Sutter Rock, or our accounting, internal accounting controls or auditing matters, may communicate that concern to the Audit Committee of the Board of Directors by direct communication with our Chief Compliance Officer or by email or in writing. All reported concerns shall be forwarded to the Audit Committee and will be simultaneously addressed by our Chief Compliance Officer in the same way that other concerns are addressed by us. The status of all outstanding concerns forwarded to the Audit Committee will be reported on a quarterly basis by our Chief Compliance Officer. The Audit Committee may direct that certain matters be presented to the full Board of Directors and may also direct special treatment, including the retention of outside advisers or counsel, for any concern reported to it.</w:t>
      </w:r>
    </w:p>
    <w:p>
      <w:pPr>
        <w:spacing w:after="0" w:line="204" w:lineRule="exact"/>
        <w:rPr>
          <w:sz w:val="20"/>
          <w:szCs w:val="20"/>
          <w:color w:val="auto"/>
        </w:rPr>
      </w:pPr>
    </w:p>
    <w:p>
      <w:pPr>
        <w:jc w:val="both"/>
        <w:ind w:firstLine="557"/>
        <w:spacing w:after="0" w:line="267" w:lineRule="auto"/>
        <w:rPr>
          <w:sz w:val="20"/>
          <w:szCs w:val="20"/>
          <w:color w:val="auto"/>
        </w:rPr>
      </w:pPr>
      <w:r>
        <w:rPr>
          <w:rFonts w:ascii="Arial" w:cs="Arial" w:eastAsia="Arial" w:hAnsi="Arial"/>
          <w:sz w:val="18"/>
          <w:szCs w:val="18"/>
          <w:color w:val="auto"/>
        </w:rPr>
        <w:t>All reports will be investigated and, whenever possible, requests for confidentiality shall be honored. Though, while anonymous reports will be accepted, please understand that anonymity may hinder or impede the investigation of a report. All cases of questionable activity or improper actions will be reviewed for appropriate action, discipline or corrective actions. Whenever possible, we will keep confidential the identity of employees, officers or directors who are accused of violations, unless or until it has been determined that a violation has occurred.</w:t>
      </w:r>
    </w:p>
    <w:p>
      <w:pPr>
        <w:spacing w:after="0" w:line="178" w:lineRule="exact"/>
        <w:rPr>
          <w:sz w:val="20"/>
          <w:szCs w:val="20"/>
          <w:color w:val="auto"/>
        </w:rPr>
      </w:pPr>
    </w:p>
    <w:p>
      <w:pPr>
        <w:jc w:val="both"/>
        <w:ind w:firstLine="557"/>
        <w:spacing w:after="0" w:line="254" w:lineRule="auto"/>
        <w:rPr>
          <w:sz w:val="20"/>
          <w:szCs w:val="20"/>
          <w:color w:val="auto"/>
        </w:rPr>
      </w:pPr>
      <w:r>
        <w:rPr>
          <w:rFonts w:ascii="Arial" w:cs="Arial" w:eastAsia="Arial" w:hAnsi="Arial"/>
          <w:sz w:val="19"/>
          <w:szCs w:val="19"/>
          <w:b w:val="1"/>
          <w:bCs w:val="1"/>
          <w:color w:val="auto"/>
        </w:rPr>
        <w:t>There will be no reprisal, retaliation, or adverse action taken against any employee who, in good faith, reports or assists in the investigation of a violation or suspected violation, or who makes an inquiry about the appropriateness of an anticipated or actual course of action.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539" w:right="319" w:bottom="1440" w:gutter="0" w:footer="0" w:header="0"/>
        </w:sectPr>
      </w:pPr>
    </w:p>
    <w:bookmarkStart w:id="172" w:name="page173"/>
    <w:bookmarkEnd w:id="172"/>
    <w:p>
      <w:pPr>
        <w:jc w:val="both"/>
        <w:ind w:right="20" w:firstLine="557"/>
        <w:spacing w:after="0" w:line="295" w:lineRule="auto"/>
        <w:rPr>
          <w:sz w:val="20"/>
          <w:szCs w:val="20"/>
          <w:color w:val="auto"/>
        </w:rPr>
      </w:pPr>
      <w:r>
        <w:rPr>
          <w:rFonts w:ascii="Arial" w:cs="Arial" w:eastAsia="Arial" w:hAnsi="Arial"/>
          <w:sz w:val="18"/>
          <w:szCs w:val="18"/>
          <w:b w:val="1"/>
          <w:bCs w:val="1"/>
          <w:color w:val="auto"/>
        </w:rPr>
        <w:t>For reporting concerns about Sutter Rock’s conduct, the conduct of a director or officer of Sutter Rock, or about Sutter Rock’s accounting, internal accounting controls or auditing matters, you may use the following means of communication:</w:t>
      </w:r>
    </w:p>
    <w:p>
      <w:pPr>
        <w:spacing w:after="0" w:line="153"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9"/>
          <w:szCs w:val="19"/>
          <w:b w:val="1"/>
          <w:bCs w:val="1"/>
          <w:color w:val="auto"/>
        </w:rPr>
        <w:t>ADDRESS:</w:t>
        <w:tab/>
        <w:t>Sutter Rock Capital Corp.</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One Sansome Street, Suite 730</w:t>
      </w:r>
    </w:p>
    <w:p>
      <w:pPr>
        <w:spacing w:after="0" w:line="2"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auto"/>
        </w:rPr>
        <w:t>San Francisco, California 94104</w:t>
      </w:r>
    </w:p>
    <w:p>
      <w:pPr>
        <w:spacing w:after="0" w:line="207" w:lineRule="exact"/>
        <w:rPr>
          <w:sz w:val="20"/>
          <w:szCs w:val="20"/>
          <w:color w:val="auto"/>
        </w:rPr>
      </w:pPr>
    </w:p>
    <w:p>
      <w:pPr>
        <w:jc w:val="both"/>
        <w:ind w:right="20" w:firstLine="557"/>
        <w:spacing w:after="0" w:line="252" w:lineRule="auto"/>
        <w:rPr>
          <w:sz w:val="20"/>
          <w:szCs w:val="20"/>
          <w:color w:val="auto"/>
        </w:rPr>
      </w:pPr>
      <w:r>
        <w:rPr>
          <w:rFonts w:ascii="Arial" w:cs="Arial" w:eastAsia="Arial" w:hAnsi="Arial"/>
          <w:sz w:val="19"/>
          <w:szCs w:val="19"/>
          <w:color w:val="auto"/>
        </w:rPr>
        <w:t>In the case of a confidential, anonymous submission, employees should set forth their concerns in writing and forward them in a sealed envelope to the Chair of the Audit Committee, in care of our Chief Compliance Officer, such envelope to be labeled with a legend such as: “To be opened by the Audit Committee only.”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Administration of the Code</w:t>
      </w:r>
    </w:p>
    <w:p>
      <w:pPr>
        <w:spacing w:after="0" w:line="227" w:lineRule="exact"/>
        <w:rPr>
          <w:sz w:val="20"/>
          <w:szCs w:val="20"/>
          <w:color w:val="auto"/>
        </w:rPr>
      </w:pPr>
    </w:p>
    <w:p>
      <w:pPr>
        <w:jc w:val="both"/>
        <w:ind w:firstLine="557"/>
        <w:spacing w:after="0" w:line="263" w:lineRule="auto"/>
        <w:rPr>
          <w:sz w:val="20"/>
          <w:szCs w:val="20"/>
          <w:color w:val="auto"/>
        </w:rPr>
      </w:pPr>
      <w:r>
        <w:rPr>
          <w:rFonts w:ascii="Arial" w:cs="Arial" w:eastAsia="Arial" w:hAnsi="Arial"/>
          <w:sz w:val="19"/>
          <w:szCs w:val="19"/>
          <w:color w:val="auto"/>
        </w:rPr>
        <w:t>The Chief Compliance Officer has overall responsibility for administering the Code and reporting on the administration of and compliance with the Code and related matters to our Board of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Sanctions for Code Violations</w:t>
      </w:r>
    </w:p>
    <w:p>
      <w:pPr>
        <w:spacing w:after="0" w:line="227" w:lineRule="exact"/>
        <w:rPr>
          <w:sz w:val="20"/>
          <w:szCs w:val="20"/>
          <w:color w:val="auto"/>
        </w:rPr>
      </w:pPr>
    </w:p>
    <w:p>
      <w:pPr>
        <w:jc w:val="both"/>
        <w:ind w:right="20" w:firstLine="557"/>
        <w:spacing w:after="0" w:line="263" w:lineRule="auto"/>
        <w:rPr>
          <w:sz w:val="20"/>
          <w:szCs w:val="20"/>
          <w:color w:val="auto"/>
        </w:rPr>
      </w:pPr>
      <w:r>
        <w:rPr>
          <w:rFonts w:ascii="Arial" w:cs="Arial" w:eastAsia="Arial" w:hAnsi="Arial"/>
          <w:sz w:val="19"/>
          <w:szCs w:val="19"/>
          <w:color w:val="auto"/>
        </w:rPr>
        <w:t>All violations of the Code will result in appropriate corrective action, up to and including dismissal. If the violation involves potentially criminal activity, the individual or individuals in question will be reported, as warranted, to the appropriate authorities.</w:t>
      </w:r>
    </w:p>
    <w:p>
      <w:pPr>
        <w:spacing w:after="0" w:line="179" w:lineRule="exact"/>
        <w:rPr>
          <w:sz w:val="20"/>
          <w:szCs w:val="20"/>
          <w:color w:val="auto"/>
        </w:rPr>
      </w:pPr>
    </w:p>
    <w:p>
      <w:pPr>
        <w:ind w:left="4800"/>
        <w:spacing w:after="0"/>
        <w:rPr>
          <w:sz w:val="20"/>
          <w:szCs w:val="20"/>
          <w:color w:val="auto"/>
        </w:rPr>
      </w:pPr>
      <w:r>
        <w:rPr>
          <w:rFonts w:ascii="Arial" w:cs="Arial" w:eastAsia="Arial" w:hAnsi="Arial"/>
          <w:sz w:val="19"/>
          <w:szCs w:val="19"/>
          <w:b w:val="1"/>
          <w:bCs w:val="1"/>
          <w:u w:val="single" w:color="auto"/>
          <w:color w:val="auto"/>
        </w:rPr>
        <w:t>Application/Waivers</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All directors, officers, and employees of Sutter Rock are subject to this Code.</w:t>
      </w:r>
    </w:p>
    <w:p>
      <w:pPr>
        <w:spacing w:after="0" w:line="223" w:lineRule="exact"/>
        <w:rPr>
          <w:sz w:val="20"/>
          <w:szCs w:val="20"/>
          <w:color w:val="auto"/>
        </w:rPr>
      </w:pPr>
    </w:p>
    <w:p>
      <w:pPr>
        <w:jc w:val="both"/>
        <w:ind w:right="20" w:firstLine="557"/>
        <w:spacing w:after="0" w:line="263" w:lineRule="auto"/>
        <w:rPr>
          <w:sz w:val="20"/>
          <w:szCs w:val="20"/>
          <w:color w:val="auto"/>
        </w:rPr>
      </w:pPr>
      <w:r>
        <w:rPr>
          <w:rFonts w:ascii="Arial" w:cs="Arial" w:eastAsia="Arial" w:hAnsi="Arial"/>
          <w:sz w:val="19"/>
          <w:szCs w:val="19"/>
          <w:color w:val="auto"/>
        </w:rPr>
        <w:t>Insofar as other policies or procedures of Sutter Rock govern or purport to govern the behavior or activities of all persons who are subject to this Code, they are superseded by this Code to the extent that they overlap or conflict with the provisions of this Code.</w:t>
      </w:r>
    </w:p>
    <w:p>
      <w:pPr>
        <w:spacing w:after="0" w:line="183" w:lineRule="exact"/>
        <w:rPr>
          <w:sz w:val="20"/>
          <w:szCs w:val="20"/>
          <w:color w:val="auto"/>
        </w:rPr>
      </w:pPr>
    </w:p>
    <w:p>
      <w:pPr>
        <w:jc w:val="both"/>
        <w:ind w:firstLine="557"/>
        <w:spacing w:after="0" w:line="252" w:lineRule="auto"/>
        <w:rPr>
          <w:sz w:val="20"/>
          <w:szCs w:val="20"/>
          <w:color w:val="auto"/>
        </w:rPr>
      </w:pPr>
      <w:r>
        <w:rPr>
          <w:rFonts w:ascii="Arial" w:cs="Arial" w:eastAsia="Arial" w:hAnsi="Arial"/>
          <w:sz w:val="19"/>
          <w:szCs w:val="19"/>
          <w:color w:val="auto"/>
        </w:rPr>
        <w:t>Any amendment or waiver of the Code for an executive officer or member of our Board of Directors must be made by our Board of Directors and may be required to be disclosed on a current report on Form 8-K filed with the Securities and Exchange Commission within four business days following such amendment or waiver.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Revisions and Amendments</w:t>
      </w:r>
    </w:p>
    <w:p>
      <w:pPr>
        <w:spacing w:after="0" w:line="227" w:lineRule="exact"/>
        <w:rPr>
          <w:sz w:val="20"/>
          <w:szCs w:val="20"/>
          <w:color w:val="auto"/>
        </w:rPr>
      </w:pPr>
    </w:p>
    <w:p>
      <w:pPr>
        <w:jc w:val="both"/>
        <w:ind w:firstLine="557"/>
        <w:spacing w:after="0" w:line="352" w:lineRule="auto"/>
        <w:rPr>
          <w:sz w:val="20"/>
          <w:szCs w:val="20"/>
          <w:color w:val="auto"/>
        </w:rPr>
      </w:pPr>
      <w:r>
        <w:rPr>
          <w:rFonts w:ascii="Arial" w:cs="Arial" w:eastAsia="Arial" w:hAnsi="Arial"/>
          <w:sz w:val="15"/>
          <w:szCs w:val="15"/>
          <w:color w:val="auto"/>
        </w:rPr>
        <w:t>This Code may be revised, changed or amended at any time by our Board of Directors.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the provisions.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36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As approved, with revisions:</w:t>
      </w:r>
    </w:p>
    <w:p>
      <w:pPr>
        <w:spacing w:after="0" w:line="37"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March 5, 2020</w:t>
      </w:r>
    </w:p>
    <w:p>
      <w:pPr>
        <w:sectPr>
          <w:pgSz w:w="11900" w:h="16838" w:orient="portrait"/>
          <w:cols w:equalWidth="0" w:num="1">
            <w:col w:w="11260"/>
          </w:cols>
          <w:pgMar w:left="320" w:top="535"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9"/>
          <w:szCs w:val="19"/>
          <w:u w:val="single" w:color="auto"/>
          <w:color w:val="auto"/>
        </w:rPr>
        <w:t>CODE OF BUSINESS CONDUCT AND ETHICS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ANNEX 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Sutter Rock Capital Corp.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Acknowledgment Regarding</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58990" cy="177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58990" cy="17716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This acknowledgment is to be signed and returned to our Chief Compliance Officer and will be retained as part of your permanent personnel file.</w:t>
      </w:r>
    </w:p>
    <w:p>
      <w:pPr>
        <w:spacing w:after="0" w:line="200" w:lineRule="exact"/>
        <w:rPr>
          <w:sz w:val="20"/>
          <w:szCs w:val="20"/>
          <w:color w:val="auto"/>
        </w:rPr>
      </w:pPr>
    </w:p>
    <w:p>
      <w:pPr>
        <w:spacing w:after="0" w:line="301" w:lineRule="exact"/>
        <w:rPr>
          <w:sz w:val="20"/>
          <w:szCs w:val="20"/>
          <w:color w:val="auto"/>
        </w:rPr>
      </w:pPr>
    </w:p>
    <w:p>
      <w:pPr>
        <w:jc w:val="both"/>
        <w:ind w:firstLine="557"/>
        <w:spacing w:after="0" w:line="329" w:lineRule="auto"/>
        <w:rPr>
          <w:sz w:val="20"/>
          <w:szCs w:val="20"/>
          <w:color w:val="auto"/>
        </w:rPr>
      </w:pPr>
      <w:r>
        <w:rPr>
          <w:rFonts w:ascii="Arial" w:cs="Arial" w:eastAsia="Arial" w:hAnsi="Arial"/>
          <w:sz w:val="15"/>
          <w:szCs w:val="15"/>
          <w:color w:val="auto"/>
        </w:rPr>
        <w:t>I have received a copy of Sutter Rock Capital Corp.’s Code of Business Conduct and Ethics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read it and understand that the Code contains the expectations of Sutter Rock Capital Corp. regarding conduct. I agree to observe the policies and procedures contained in the Code and have been advised and understand that, if I have any questions or concerns relating to such policies or procedures, I have an obligation to report to the Audit Committee, the Chief Compliance Officer or other such designated officer, any suspected violations of the Code of which I am aware. I also understand that the Code is issued for informational purposes and that it is not intended to create, nor does it represent, a contract of employment.</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 (Printed)</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Signature</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7158990" cy="177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58990" cy="17716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The failure to read and/or sign this acknowledgment in no way relieves you of your responsibility to comply with the Code.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260"/>
          </w:cols>
          <w:pgMar w:left="320" w:top="759" w:right="3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5"/>
          <w:szCs w:val="15"/>
          <w:b w:val="1"/>
          <w:bCs w:val="1"/>
          <w:color w:val="auto"/>
        </w:rPr>
        <w:t>Exhibit 31.1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of Sutter Rock Capital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 13a-14(a) under the Exchange Act,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 Mark D. Klein, certify that:</w:t>
      </w:r>
    </w:p>
    <w:p>
      <w:pPr>
        <w:spacing w:after="0" w:line="199" w:lineRule="exact"/>
        <w:rPr>
          <w:sz w:val="20"/>
          <w:szCs w:val="20"/>
          <w:color w:val="auto"/>
        </w:rPr>
      </w:pPr>
    </w:p>
    <w:p>
      <w:pPr>
        <w:ind w:left="560" w:hanging="288"/>
        <w:spacing w:after="0"/>
        <w:tabs>
          <w:tab w:leader="none" w:pos="5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Sutter Rock Capital Corp.;</w:t>
      </w:r>
    </w:p>
    <w:p>
      <w:pPr>
        <w:spacing w:after="0" w:line="199" w:lineRule="exact"/>
        <w:rPr>
          <w:rFonts w:ascii="Arial" w:cs="Arial" w:eastAsia="Arial" w:hAnsi="Arial"/>
          <w:sz w:val="15"/>
          <w:szCs w:val="15"/>
          <w:color w:val="auto"/>
        </w:rPr>
      </w:pPr>
    </w:p>
    <w:p>
      <w:pPr>
        <w:ind w:left="560" w:right="120" w:hanging="288"/>
        <w:spacing w:after="0" w:line="291" w:lineRule="auto"/>
        <w:tabs>
          <w:tab w:leader="none" w:pos="5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5"/>
          <w:szCs w:val="15"/>
          <w:color w:val="auto"/>
        </w:rPr>
      </w:pPr>
    </w:p>
    <w:p>
      <w:pPr>
        <w:ind w:left="560" w:right="440" w:hanging="288"/>
        <w:spacing w:after="0" w:line="291" w:lineRule="auto"/>
        <w:tabs>
          <w:tab w:leader="none" w:pos="5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5"/>
          <w:szCs w:val="15"/>
          <w:color w:val="auto"/>
        </w:rPr>
      </w:pPr>
    </w:p>
    <w:p>
      <w:pPr>
        <w:ind w:left="560" w:right="260" w:hanging="288"/>
        <w:spacing w:after="0" w:line="328" w:lineRule="auto"/>
        <w:tabs>
          <w:tab w:leader="none" w:pos="5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4"/>
          <w:szCs w:val="14"/>
          <w:color w:val="auto"/>
        </w:rPr>
      </w:pPr>
    </w:p>
    <w:p>
      <w:pPr>
        <w:ind w:left="820" w:right="20" w:hanging="270"/>
        <w:spacing w:after="0" w:line="274" w:lineRule="auto"/>
        <w:tabs>
          <w:tab w:leader="none" w:pos="8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820" w:right="440" w:hanging="270"/>
        <w:spacing w:after="0" w:line="274" w:lineRule="auto"/>
        <w:tabs>
          <w:tab w:leader="none" w:pos="8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left="820" w:right="200" w:hanging="270"/>
        <w:spacing w:after="0" w:line="291" w:lineRule="auto"/>
        <w:tabs>
          <w:tab w:leader="none" w:pos="8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820" w:right="160" w:hanging="270"/>
        <w:spacing w:after="0" w:line="274" w:lineRule="auto"/>
        <w:tabs>
          <w:tab w:leader="none" w:pos="8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5"/>
          <w:szCs w:val="15"/>
          <w:color w:val="auto"/>
        </w:rPr>
      </w:pPr>
    </w:p>
    <w:p>
      <w:pPr>
        <w:ind w:left="560" w:right="80" w:hanging="288"/>
        <w:spacing w:after="0" w:line="291" w:lineRule="auto"/>
        <w:tabs>
          <w:tab w:leader="none" w:pos="5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5"/>
          <w:szCs w:val="15"/>
          <w:color w:val="auto"/>
        </w:rPr>
      </w:pPr>
    </w:p>
    <w:p>
      <w:pPr>
        <w:ind w:left="820" w:right="40" w:hanging="270"/>
        <w:spacing w:after="0" w:line="291" w:lineRule="auto"/>
        <w:tabs>
          <w:tab w:leader="none" w:pos="8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5"/>
          <w:szCs w:val="15"/>
          <w:color w:val="auto"/>
        </w:rPr>
      </w:pPr>
    </w:p>
    <w:p>
      <w:pPr>
        <w:ind w:left="820" w:hanging="270"/>
        <w:spacing w:after="0"/>
        <w:tabs>
          <w:tab w:leader="none" w:pos="82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Dated this 13th day of March, 2020.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29845</wp:posOffset>
            </wp:positionV>
            <wp:extent cx="12388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Mark D. Klein</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Chief Executive Officer</w:t>
      </w:r>
    </w:p>
    <w:p>
      <w:pPr>
        <w:sectPr>
          <w:pgSz w:w="11900" w:h="16838" w:orient="portrait"/>
          <w:cols w:equalWidth="0" w:num="1">
            <w:col w:w="11260"/>
          </w:cols>
          <w:pgMar w:left="320" w:top="495"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5"/>
          <w:szCs w:val="15"/>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 of Sutter Rock Capital Corp.</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 13a-14(a) under the Exchange Act,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I, Allison Green, certify that:</w:t>
      </w:r>
    </w:p>
    <w:p>
      <w:pPr>
        <w:spacing w:after="0" w:line="199" w:lineRule="exact"/>
        <w:rPr>
          <w:sz w:val="20"/>
          <w:szCs w:val="20"/>
          <w:color w:val="auto"/>
        </w:rPr>
      </w:pPr>
    </w:p>
    <w:p>
      <w:pPr>
        <w:ind w:left="560" w:hanging="288"/>
        <w:spacing w:after="0"/>
        <w:tabs>
          <w:tab w:leader="none" w:pos="5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Sutter Rock Capital Corp.;</w:t>
      </w:r>
    </w:p>
    <w:p>
      <w:pPr>
        <w:spacing w:after="0" w:line="199" w:lineRule="exact"/>
        <w:rPr>
          <w:rFonts w:ascii="Arial" w:cs="Arial" w:eastAsia="Arial" w:hAnsi="Arial"/>
          <w:sz w:val="15"/>
          <w:szCs w:val="15"/>
          <w:color w:val="auto"/>
        </w:rPr>
      </w:pPr>
    </w:p>
    <w:p>
      <w:pPr>
        <w:ind w:left="560" w:right="120" w:hanging="288"/>
        <w:spacing w:after="0" w:line="291" w:lineRule="auto"/>
        <w:tabs>
          <w:tab w:leader="none" w:pos="5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5"/>
          <w:szCs w:val="15"/>
          <w:color w:val="auto"/>
        </w:rPr>
      </w:pPr>
    </w:p>
    <w:p>
      <w:pPr>
        <w:ind w:left="560" w:right="440" w:hanging="288"/>
        <w:spacing w:after="0" w:line="291" w:lineRule="auto"/>
        <w:tabs>
          <w:tab w:leader="none" w:pos="5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5"/>
          <w:szCs w:val="15"/>
          <w:color w:val="auto"/>
        </w:rPr>
      </w:pPr>
    </w:p>
    <w:p>
      <w:pPr>
        <w:ind w:left="560" w:right="260" w:hanging="288"/>
        <w:spacing w:after="0" w:line="328" w:lineRule="auto"/>
        <w:tabs>
          <w:tab w:leader="none" w:pos="5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Arial" w:cs="Arial" w:eastAsia="Arial" w:hAnsi="Arial"/>
          <w:sz w:val="14"/>
          <w:szCs w:val="14"/>
          <w:color w:val="auto"/>
        </w:rPr>
      </w:pPr>
    </w:p>
    <w:p>
      <w:pPr>
        <w:ind w:left="820" w:right="20" w:hanging="270"/>
        <w:spacing w:after="0" w:line="274" w:lineRule="auto"/>
        <w:tabs>
          <w:tab w:leader="none" w:pos="8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820" w:right="440" w:hanging="270"/>
        <w:spacing w:after="0" w:line="274" w:lineRule="auto"/>
        <w:tabs>
          <w:tab w:leader="none" w:pos="8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left="820" w:right="200" w:hanging="270"/>
        <w:spacing w:after="0" w:line="291" w:lineRule="auto"/>
        <w:tabs>
          <w:tab w:leader="none" w:pos="8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820" w:right="160" w:hanging="270"/>
        <w:spacing w:after="0" w:line="274" w:lineRule="auto"/>
        <w:tabs>
          <w:tab w:leader="none" w:pos="8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5"/>
          <w:szCs w:val="15"/>
          <w:color w:val="auto"/>
        </w:rPr>
      </w:pPr>
    </w:p>
    <w:p>
      <w:pPr>
        <w:ind w:left="560" w:right="80" w:hanging="288"/>
        <w:spacing w:after="0" w:line="291" w:lineRule="auto"/>
        <w:tabs>
          <w:tab w:leader="none" w:pos="5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5"/>
          <w:szCs w:val="15"/>
          <w:color w:val="auto"/>
        </w:rPr>
      </w:pPr>
    </w:p>
    <w:p>
      <w:pPr>
        <w:ind w:left="820" w:right="40" w:hanging="270"/>
        <w:spacing w:after="0" w:line="291" w:lineRule="auto"/>
        <w:tabs>
          <w:tab w:leader="none" w:pos="82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5"/>
          <w:szCs w:val="15"/>
          <w:color w:val="auto"/>
        </w:rPr>
      </w:pPr>
    </w:p>
    <w:p>
      <w:pPr>
        <w:ind w:left="820" w:hanging="270"/>
        <w:spacing w:after="0"/>
        <w:tabs>
          <w:tab w:leader="none" w:pos="82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Dated this 13th day of March, 2020.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29845</wp:posOffset>
            </wp:positionV>
            <wp:extent cx="14668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1466850" cy="7620"/>
                    </a:xfrm>
                    <a:prstGeom prst="rect">
                      <a:avLst/>
                    </a:prstGeom>
                    <a:noFill/>
                  </pic:spPr>
                </pic:pic>
              </a:graphicData>
            </a:graphic>
          </wp:anchor>
        </w:drawing>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Allison Green</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Chief Financial Officer</w:t>
      </w:r>
    </w:p>
    <w:p>
      <w:pPr>
        <w:sectPr>
          <w:pgSz w:w="11900" w:h="16838" w:orient="portrait"/>
          <w:cols w:equalWidth="0" w:num="1">
            <w:col w:w="11260"/>
          </w:cols>
          <w:pgMar w:left="320" w:top="495"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5"/>
          <w:szCs w:val="15"/>
          <w:b w:val="1"/>
          <w:bCs w:val="1"/>
          <w:color w:val="auto"/>
        </w:rPr>
        <w:t>Exhibit 32.1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 (18 U.S.C. 1350)</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connection with the annual report on Form 10-K for the year ended December 31, 2019 (the “Report”) of Sutter Rock Capital Corp. (the “Registrant”),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Securities and Exchange Commission on the date hereof, I, Mark D. Klein, the Chief Executive Officer of the Registrant, hereby certify, to the best of my knowledge, that:</w:t>
      </w:r>
    </w:p>
    <w:p>
      <w:pPr>
        <w:spacing w:after="0" w:line="189" w:lineRule="exact"/>
        <w:rPr>
          <w:sz w:val="20"/>
          <w:szCs w:val="20"/>
          <w:color w:val="auto"/>
        </w:rPr>
      </w:pPr>
    </w:p>
    <w:p>
      <w:pPr>
        <w:ind w:left="560" w:hanging="288"/>
        <w:spacing w:after="0"/>
        <w:tabs>
          <w:tab w:leader="none" w:pos="5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99" w:lineRule="exact"/>
        <w:rPr>
          <w:rFonts w:ascii="Arial" w:cs="Arial" w:eastAsia="Arial" w:hAnsi="Arial"/>
          <w:sz w:val="15"/>
          <w:szCs w:val="15"/>
          <w:color w:val="auto"/>
        </w:rPr>
      </w:pPr>
    </w:p>
    <w:p>
      <w:pPr>
        <w:ind w:left="560" w:hanging="288"/>
        <w:spacing w:after="0"/>
        <w:tabs>
          <w:tab w:leader="none" w:pos="5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15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29845</wp:posOffset>
            </wp:positionV>
            <wp:extent cx="35388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3538855" cy="7620"/>
                    </a:xfrm>
                    <a:prstGeom prst="rect">
                      <a:avLst/>
                    </a:prstGeom>
                    <a:noFill/>
                  </pic:spPr>
                </pic:pic>
              </a:graphicData>
            </a:graphic>
          </wp:anchor>
        </w:drawing>
      </w:r>
    </w:p>
    <w:p>
      <w:pPr>
        <w:spacing w:after="0" w:line="45"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Name: Mark D. Klein</w:t>
      </w:r>
    </w:p>
    <w:p>
      <w:pPr>
        <w:spacing w:after="0" w:line="6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Date: March 13, 2020</w:t>
      </w:r>
    </w:p>
    <w:p>
      <w:pPr>
        <w:sectPr>
          <w:pgSz w:w="11900" w:h="16838" w:orient="portrait"/>
          <w:cols w:equalWidth="0" w:num="1">
            <w:col w:w="11260"/>
          </w:cols>
          <w:pgMar w:left="320" w:top="494"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5"/>
          <w:szCs w:val="15"/>
          <w:b w:val="1"/>
          <w:bCs w:val="1"/>
          <w:color w:val="auto"/>
        </w:rPr>
        <w:t>Exhibit 32.2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 (18 U.S.C. 1350)</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connection with the annual report on Form 10-K for the year ended December 31, 2019 (the “Report”) of Sutter Rock Capital Corp. (the “Registrant”), as filed with the Securities and Exchange Commission on the date hereof, I, Allison Green, the Chief Financial Officer of the Registrant, hereby certify, to the best of my knowledge, that:</w:t>
      </w:r>
    </w:p>
    <w:p>
      <w:pPr>
        <w:spacing w:after="0" w:line="139" w:lineRule="exact"/>
        <w:rPr>
          <w:sz w:val="20"/>
          <w:szCs w:val="20"/>
          <w:color w:val="auto"/>
        </w:rPr>
      </w:pPr>
    </w:p>
    <w:p>
      <w:pPr>
        <w:ind w:left="560" w:hanging="288"/>
        <w:spacing w:after="0"/>
        <w:tabs>
          <w:tab w:leader="none" w:pos="5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99" w:lineRule="exact"/>
        <w:rPr>
          <w:rFonts w:ascii="Arial" w:cs="Arial" w:eastAsia="Arial" w:hAnsi="Arial"/>
          <w:sz w:val="15"/>
          <w:szCs w:val="15"/>
          <w:color w:val="auto"/>
        </w:rPr>
      </w:pPr>
    </w:p>
    <w:p>
      <w:pPr>
        <w:ind w:left="560" w:hanging="288"/>
        <w:spacing w:after="0"/>
        <w:tabs>
          <w:tab w:leader="none" w:pos="5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153"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29845</wp:posOffset>
            </wp:positionV>
            <wp:extent cx="350202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3502025" cy="7620"/>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5"/>
          <w:szCs w:val="15"/>
          <w:b w:val="1"/>
          <w:bCs w:val="1"/>
          <w:color w:val="auto"/>
        </w:rPr>
        <w:t>Name: Allison Green</w:t>
      </w:r>
    </w:p>
    <w:p>
      <w:pPr>
        <w:spacing w:after="0" w:line="66"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Date: March 13, 2020</w:t>
      </w:r>
    </w:p>
    <w:sectPr>
      <w:pgSz w:w="11900" w:h="16838" w:orient="portrait"/>
      <w:cols w:equalWidth="0" w:num="1">
        <w:col w:w="11260"/>
      </w:cols>
      <w:pgMar w:left="320" w:top="4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lvl w:ilvl="1">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1)"/>
      <w:numFmt w:val="decimal"/>
      <w:start w:val="1"/>
    </w:lvl>
  </w:abstractNum>
  <w:abstractNum w:abstractNumId="16">
    <w:nsid w:val="15014ACB"/>
    <w:multiLevelType w:val="hybridMultilevel"/>
    <w:lvl w:ilvl="0">
      <w:lvlJc w:val="left"/>
      <w:lvlText w:val="•"/>
      <w:numFmt w:val="bullet"/>
      <w:start w:val="1"/>
    </w:lvl>
    <w:lvl w:ilvl="1">
      <w:lvlJc w:val="left"/>
      <w:lvlText w:val="•"/>
      <w:numFmt w:val="bullet"/>
      <w:start w:val="1"/>
    </w:lvl>
  </w:abstractNum>
  <w:abstractNum w:abstractNumId="17">
    <w:nsid w:val="5F5E7FD0"/>
    <w:multiLevelType w:val="hybridMultilevel"/>
    <w:lvl w:ilvl="0">
      <w:lvlJc w:val="left"/>
      <w:lvlText w:val="(%1)"/>
      <w:numFmt w:val="lowerRoman"/>
      <w:start w:val="5"/>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1)"/>
      <w:numFmt w:val="decimal"/>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decimal"/>
      <w:start w:val="3"/>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1)"/>
      <w:numFmt w:val="decimal"/>
      <w:start w:val="3"/>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1)"/>
      <w:numFmt w:val="decimal"/>
      <w:start w:val="5"/>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1"/>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8"/>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1)"/>
      <w:numFmt w:val="decimal"/>
      <w:start w:val="1"/>
    </w:lvl>
  </w:abstractNum>
  <w:abstractNum w:abstractNumId="53">
    <w:nsid w:val="1716703B"/>
    <w:multiLevelType w:val="hybridMultilevel"/>
    <w:lvl w:ilvl="0">
      <w:lvlJc w:val="left"/>
      <w:lvlText w:val="(%1)"/>
      <w:numFmt w:val="decimal"/>
      <w:start w:val="14"/>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decimal"/>
      <w:start w:val="2"/>
    </w:lvl>
  </w:abstractNum>
  <w:abstractNum w:abstractNumId="58">
    <w:nsid w:val="2DF6D648"/>
    <w:multiLevelType w:val="hybridMultilevel"/>
    <w:lvl w:ilvl="0">
      <w:lvlJc w:val="left"/>
      <w:lvlText w:val="(%1)"/>
      <w:numFmt w:val="decimal"/>
      <w:start w:val="1"/>
    </w:lvl>
  </w:abstractNum>
  <w:abstractNum w:abstractNumId="59">
    <w:nsid w:val="46B7D447"/>
    <w:multiLevelType w:val="hybridMultilevel"/>
    <w:lvl w:ilvl="0">
      <w:lvlJc w:val="left"/>
      <w:lvlText w:val="(%1)"/>
      <w:numFmt w:val="decimal"/>
      <w:start w:val="2"/>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2"/>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1)"/>
      <w:numFmt w:val="decimal"/>
      <w:start w:val="1"/>
    </w:lvl>
  </w:abstractNum>
  <w:abstractNum w:abstractNumId="70">
    <w:nsid w:val="5FB8370B"/>
    <w:multiLevelType w:val="hybridMultilevel"/>
    <w:lvl w:ilvl="0">
      <w:lvlJc w:val="left"/>
      <w:lvlText w:val="(%1)"/>
      <w:numFmt w:val="decimal"/>
      <w:start w:val="4"/>
    </w:lvl>
  </w:abstractNum>
  <w:abstractNum w:abstractNumId="71">
    <w:nsid w:val="50801EE1"/>
    <w:multiLevelType w:val="hybridMultilevel"/>
    <w:lvl w:ilvl="0">
      <w:lvlJc w:val="left"/>
      <w:lvlText w:val="(%1)"/>
      <w:numFmt w:val="decimal"/>
      <w:start w:val="1"/>
    </w:lvl>
  </w:abstractNum>
  <w:abstractNum w:abstractNumId="72">
    <w:nsid w:val="488AC1A"/>
    <w:multiLevelType w:val="hybridMultilevel"/>
    <w:lvl w:ilvl="0">
      <w:lvlJc w:val="left"/>
      <w:lvlText w:val="(%1)"/>
      <w:numFmt w:val="decimal"/>
      <w:start w:val="1"/>
    </w:lvl>
  </w:abstractNum>
  <w:abstractNum w:abstractNumId="73">
    <w:nsid w:val="5FB8011C"/>
    <w:multiLevelType w:val="hybridMultilevel"/>
    <w:lvl w:ilvl="0">
      <w:lvlJc w:val="left"/>
      <w:lvlText w:val="(%1)"/>
      <w:numFmt w:val="decimal"/>
      <w:start w:val="1"/>
    </w:lvl>
  </w:abstractNum>
  <w:abstractNum w:abstractNumId="74">
    <w:nsid w:val="6AA78F7F"/>
    <w:multiLevelType w:val="hybridMultilevel"/>
    <w:lvl w:ilvl="0">
      <w:lvlJc w:val="left"/>
      <w:lvlText w:val="(%1)"/>
      <w:numFmt w:val="decimal"/>
      <w:start w:val="2"/>
    </w:lvl>
  </w:abstractNum>
  <w:abstractNum w:abstractNumId="75">
    <w:nsid w:val="7672BD23"/>
    <w:multiLevelType w:val="hybridMultilevel"/>
    <w:lvl w:ilvl="0">
      <w:lvlJc w:val="left"/>
      <w:lvlText w:val="(%1)"/>
      <w:numFmt w:val="decimal"/>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1)"/>
      <w:numFmt w:val="upperLetter"/>
      <w:start w:val="1"/>
    </w:lvl>
  </w:abstractNum>
  <w:abstractNum w:abstractNumId="82">
    <w:nsid w:val="555C55B5"/>
    <w:multiLevelType w:val="hybridMultilevel"/>
    <w:lvl w:ilvl="0">
      <w:lvlJc w:val="left"/>
      <w:lvlText w:val="(%1)"/>
      <w:numFmt w:val="upperLetter"/>
      <w:start w:val="3"/>
    </w:lvl>
  </w:abstractNum>
  <w:abstractNum w:abstractNumId="83">
    <w:nsid w:val="3FA62ACA"/>
    <w:multiLevelType w:val="hybridMultilevel"/>
    <w:lvl w:ilvl="0">
      <w:lvlJc w:val="left"/>
      <w:lvlText w:val="(%1)"/>
      <w:numFmt w:val="upperLetter"/>
      <w:start w:val="8"/>
    </w:lvl>
  </w:abstractNum>
  <w:abstractNum w:abstractNumId="84">
    <w:nsid w:val="14FCE74E"/>
    <w:multiLevelType w:val="hybridMultilevel"/>
    <w:lvl w:ilvl="0">
      <w:lvlJc w:val="left"/>
      <w:lvlText w:val="(%1)"/>
      <w:numFmt w:val="upperLetter"/>
      <w:start w:val="10"/>
    </w:lvl>
  </w:abstractNum>
  <w:abstractNum w:abstractNumId="85">
    <w:nsid w:val="6A3DD3E8"/>
    <w:multiLevelType w:val="hybridMultilevel"/>
    <w:lvl w:ilvl="0">
      <w:lvlJc w:val="left"/>
      <w:lvlText w:val="(%1)"/>
      <w:numFmt w:val="lowerRoman"/>
      <w:start w:val="1"/>
    </w:lvl>
  </w:abstractNum>
  <w:abstractNum w:abstractNumId="86">
    <w:nsid w:val="71C91298"/>
    <w:multiLevelType w:val="hybridMultilevel"/>
    <w:lvl w:ilvl="0">
      <w:lvlJc w:val="left"/>
      <w:lvlText w:val="(%1)"/>
      <w:numFmt w:val="upperLetter"/>
      <w:start w:val="1"/>
    </w:lvl>
    <w:lvl w:ilvl="1">
      <w:lvlJc w:val="left"/>
      <w:lvlText w:val="(%2)"/>
      <w:numFmt w:val="decimal"/>
      <w:start w:val="1"/>
    </w:lvl>
  </w:abstractNum>
  <w:abstractNum w:abstractNumId="87">
    <w:nsid w:val="9DAF632"/>
    <w:multiLevelType w:val="hybridMultilevel"/>
    <w:lvl w:ilvl="0">
      <w:lvlJc w:val="left"/>
      <w:lvlText w:val="(%1)"/>
      <w:numFmt w:val="upperLetter"/>
      <w:start w:val="1"/>
    </w:lvl>
  </w:abstractNum>
  <w:abstractNum w:abstractNumId="88">
    <w:nsid w:val="53299938"/>
    <w:multiLevelType w:val="hybridMultilevel"/>
    <w:lvl w:ilvl="0">
      <w:lvlJc w:val="left"/>
      <w:lvlText w:val="(%1)"/>
      <w:numFmt w:val="upperLetter"/>
      <w:start w:val="2"/>
    </w:lvl>
  </w:abstractNum>
  <w:abstractNum w:abstractNumId="89">
    <w:nsid w:val="1FBFE8E0"/>
    <w:multiLevelType w:val="hybridMultilevel"/>
    <w:lvl w:ilvl="0">
      <w:lvlJc w:val="left"/>
      <w:lvlText w:val="%1"/>
      <w:numFmt w:val="upperLetter"/>
      <w:start w:val="1"/>
    </w:lvl>
    <w:lvl w:ilvl="1">
      <w:lvlJc w:val="left"/>
      <w:lvlText w:val="(%2)"/>
      <w:numFmt w:val="decimal"/>
      <w:start w:val="1"/>
    </w:lvl>
  </w:abstractNum>
  <w:abstractNum w:abstractNumId="90">
    <w:nsid w:val="5092CA79"/>
    <w:multiLevelType w:val="hybridMultilevel"/>
    <w:lvl w:ilvl="0">
      <w:lvlJc w:val="left"/>
      <w:lvlText w:val="(%1)"/>
      <w:numFmt w:val="upperLetter"/>
      <w:start w:val="3"/>
    </w:lvl>
    <w:lvl w:ilvl="1">
      <w:lvlJc w:val="left"/>
      <w:lvlText w:val="%2"/>
      <w:numFmt w:val="decimal"/>
      <w:start w:val="1"/>
    </w:lvl>
  </w:abstractNum>
  <w:abstractNum w:abstractNumId="91">
    <w:nsid w:val="1D545C4D"/>
    <w:multiLevelType w:val="hybridMultilevel"/>
    <w:lvl w:ilvl="0">
      <w:lvlJc w:val="left"/>
      <w:lvlText w:val="(%1)"/>
      <w:numFmt w:val="upperLetter"/>
      <w:start w:val="4"/>
    </w:lvl>
  </w:abstractNum>
  <w:abstractNum w:abstractNumId="92">
    <w:nsid w:val="59ADEA3D"/>
    <w:multiLevelType w:val="hybridMultilevel"/>
    <w:lvl w:ilvl="0">
      <w:lvlJc w:val="left"/>
      <w:lvlText w:val="%1"/>
      <w:numFmt w:val="upperLetter"/>
      <w:start w:val="1"/>
    </w:lvl>
    <w:lvl w:ilvl="1">
      <w:lvlJc w:val="left"/>
      <w:lvlText w:val="(%2)"/>
      <w:numFmt w:val="decimal"/>
      <w:start w:val="1"/>
    </w:lvl>
  </w:abstractNum>
  <w:abstractNum w:abstractNumId="93">
    <w:nsid w:val="288F1A34"/>
    <w:multiLevelType w:val="hybridMultilevel"/>
    <w:lvl w:ilvl="0">
      <w:lvlJc w:val="left"/>
      <w:lvlText w:val="(%1)"/>
      <w:numFmt w:val="upperLetter"/>
      <w:start w:val="5"/>
    </w:lvl>
    <w:lvl w:ilvl="1">
      <w:lvlJc w:val="left"/>
      <w:lvlText w:val="%2"/>
      <w:numFmt w:val="decimal"/>
      <w:start w:val="1"/>
    </w:lvl>
  </w:abstractNum>
  <w:abstractNum w:abstractNumId="94">
    <w:nsid w:val="2A155DBC"/>
    <w:multiLevelType w:val="hybridMultilevel"/>
    <w:lvl w:ilvl="0">
      <w:lvlJc w:val="left"/>
      <w:lvlText w:val="(%1)"/>
      <w:numFmt w:val="upperLetter"/>
      <w:start w:val="6"/>
    </w:lvl>
  </w:abstractNum>
  <w:abstractNum w:abstractNumId="95">
    <w:nsid w:val="1D9F6E5F"/>
    <w:multiLevelType w:val="hybridMultilevel"/>
    <w:lvl w:ilvl="0">
      <w:lvlJc w:val="left"/>
      <w:lvlText w:val="(%1)"/>
      <w:numFmt w:val="upperLetter"/>
      <w:start w:val="7"/>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upperLetter"/>
      <w:start w:val="1"/>
    </w:lvl>
  </w:abstractNum>
  <w:abstractNum w:abstractNumId="98">
    <w:nsid w:val="1CA0C5FA"/>
    <w:multiLevelType w:val="hybridMultilevel"/>
    <w:lvl w:ilvl="0">
      <w:lvlJc w:val="left"/>
      <w:lvlText w:val="(%1)"/>
      <w:numFmt w:val="upperLetter"/>
      <w:start w:val="2"/>
    </w:lvl>
  </w:abstractNum>
  <w:abstractNum w:abstractNumId="99">
    <w:nsid w:val="53584BCB"/>
    <w:multiLevelType w:val="hybridMultilevel"/>
    <w:lvl w:ilvl="0">
      <w:lvlJc w:val="left"/>
      <w:lvlText w:val="(%1)"/>
      <w:numFmt w:val="upperLetter"/>
      <w:start w:val="1"/>
    </w:lvl>
  </w:abstractNum>
  <w:abstractNum w:abstractNumId="100">
    <w:nsid w:val="415E286C"/>
    <w:multiLevelType w:val="hybridMultilevel"/>
    <w:lvl w:ilvl="0">
      <w:lvlJc w:val="left"/>
      <w:lvlText w:val="(%1)"/>
      <w:numFmt w:val="upperLetter"/>
      <w:start w:val="2"/>
    </w:lvl>
  </w:abstractNum>
  <w:abstractNum w:abstractNumId="101">
    <w:nsid w:val="7C58FD05"/>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102">
    <w:nsid w:val="23D86AAC"/>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103">
    <w:nsid w:val="45E6D486"/>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04">
    <w:nsid w:val="5C10FE21"/>
    <w:multiLevelType w:val="hybridMultilevel"/>
    <w:lvl w:ilvl="0">
      <w:lvlJc w:val="left"/>
      <w:lvlText w:val="%1"/>
      <w:numFmt w:val="upperLetter"/>
      <w:start w:val="1"/>
    </w:lvl>
    <w:lvl w:ilvl="1">
      <w:lvlJc w:val="left"/>
      <w:lvlText w:val="(%2)"/>
      <w:numFmt w:val="decimal"/>
      <w:start w:val="7"/>
    </w:lvl>
  </w:abstractNum>
  <w:abstractNum w:abstractNumId="105">
    <w:nsid w:val="E7FFA2B"/>
    <w:multiLevelType w:val="hybridMultilevel"/>
    <w:lvl w:ilvl="0">
      <w:lvlJc w:val="left"/>
      <w:lvlText w:val="(%1)"/>
      <w:numFmt w:val="upperLetter"/>
      <w:start w:val="4"/>
    </w:lvl>
    <w:lvl w:ilvl="1">
      <w:lvlJc w:val="left"/>
      <w:lvlText w:val="%2"/>
      <w:numFmt w:val="decimal"/>
      <w:start w:val="1"/>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
      <w:numFmt w:val="bullet"/>
      <w:start w:val="1"/>
    </w:lvl>
    <w:lvl w:ilvl="1">
      <w:lvlJc w:val="left"/>
      <w:lvlText w:val="o"/>
      <w:numFmt w:val="bullet"/>
      <w:start w:val="1"/>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1)"/>
      <w:numFmt w:val="decimal"/>
      <w:start w:val="1"/>
    </w:lvl>
    <w:lvl w:ilvl="1">
      <w:lvlJc w:val="left"/>
      <w:lvlText w:val="•"/>
      <w:numFmt w:val="bullet"/>
      <w:start w:val="1"/>
    </w:lvl>
  </w:abstractNum>
  <w:abstractNum w:abstractNumId="110">
    <w:nsid w:val="2B0D8DBE"/>
    <w:multiLevelType w:val="hybridMultilevel"/>
    <w:lvl w:ilvl="0">
      <w:lvlJc w:val="left"/>
      <w:lvlText w:val="(%1)"/>
      <w:numFmt w:val="decimal"/>
      <w:start w:val="2"/>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
      <w:numFmt w:val="bullet"/>
      <w:start w:val="1"/>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13" Type="http://schemas.openxmlformats.org/officeDocument/2006/relationships/hyperlink" Target="http://www.sec.gov/Archives/edgar/data/1509470/000113379611000069/k216228_ex99-2a.htm" TargetMode="External"/><Relationship Id="rId114" Type="http://schemas.openxmlformats.org/officeDocument/2006/relationships/hyperlink" Target="http://www.sec.gov/Archives/edgar/data/1509470/000114420411033389/v224342_ex3-1.htm" TargetMode="External"/><Relationship Id="rId115" Type="http://schemas.openxmlformats.org/officeDocument/2006/relationships/hyperlink" Target="http://www.sec.gov/Archives/edgar/data/1509470/000114420419037014/tv526412_ex3-1.htm" TargetMode="External"/><Relationship Id="rId116" Type="http://schemas.openxmlformats.org/officeDocument/2006/relationships/hyperlink" Target="http://www.sec.gov/Archives/edgar/data/1509470/000114420419037014/tv526412_ex3-2.htm" TargetMode="External"/><Relationship Id="rId117" Type="http://schemas.openxmlformats.org/officeDocument/2006/relationships/hyperlink" Target="http://www.sec.gov/Archives/edgar/data/1509470/000114420411053817/v235130_ex99-d1.htm" TargetMode="External"/><Relationship Id="rId118" Type="http://schemas.openxmlformats.org/officeDocument/2006/relationships/hyperlink" Target="http://www.sec.gov/Archives/edgar/data/1509470/000114420418017614/tv489339_ex-d6.htm" TargetMode="External"/><Relationship Id="rId119" Type="http://schemas.openxmlformats.org/officeDocument/2006/relationships/hyperlink" Target="http://www.sec.gov/Archives/edgar/data/1509470/000114420418017614/tv489339_posex.htm" TargetMode="External"/><Relationship Id="rId120" Type="http://schemas.openxmlformats.org/officeDocument/2006/relationships/hyperlink" Target="http://www.sec.gov/Archives/edgar/data/1509470/000162828019006402/a101employementagreementma.htm" TargetMode="External"/><Relationship Id="rId121" Type="http://schemas.openxmlformats.org/officeDocument/2006/relationships/hyperlink" Target="http://www.sec.gov/Archives/edgar/data/1509470/000162828019006402/a102employmentagreementall.htm" TargetMode="External"/><Relationship Id="rId122" Type="http://schemas.openxmlformats.org/officeDocument/2006/relationships/hyperlink" Target="http://www.sec.gov/Archives/edgar/data/1509470/000114420419014017/tv516273_ex10-1.htm" TargetMode="External"/><Relationship Id="rId123" Type="http://schemas.openxmlformats.org/officeDocument/2006/relationships/hyperlink" Target="http://www.sec.gov/Archives/edgar/data/1509470/000114420419014017/tv516273_ex10-2.htm" TargetMode="External"/><Relationship Id="rId124" Type="http://schemas.openxmlformats.org/officeDocument/2006/relationships/hyperlink" Target="http://www.sec.gov/Archives/edgar/data/1509470/000114420419044579/tv528731_ex4-6.htm" TargetMode="External"/><Relationship Id="rId125" Type="http://schemas.openxmlformats.org/officeDocument/2006/relationships/hyperlink" Target="http://www.sec.gov/Archives/edgar/data/1509470/000114420419044579/tv528731_ex4-7.htm" TargetMode="External"/><Relationship Id="rId126" Type="http://schemas.openxmlformats.org/officeDocument/2006/relationships/hyperlink" Target="http://www.sec.gov/Archives/edgar/data/1509470/000113379611000069/k216228_ex99-2e.htm" TargetMode="External"/><Relationship Id="rId127" Type="http://schemas.openxmlformats.org/officeDocument/2006/relationships/hyperlink" Target="http://www.sec.gov/Archives/edgar/data/1509470/000113379611000069/k216228_ex99-2k2.htm" TargetMode="External"/><Relationship Id="rId128" Type="http://schemas.openxmlformats.org/officeDocument/2006/relationships/hyperlink" Target="http://www.sec.gov/Archives/edgar/data/1509470/000113379611000099/v217933_ex99-2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2020-03-13T13:15:49Z</dcterms:created>
  <dcterms:modified xsi:type="dcterms:W3CDTF">2020-03-13T13:15:49Z</dcterms:modified>
</cp:coreProperties>
</file>