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706120</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page">
              <wp:posOffset>234950</wp:posOffset>
            </wp:positionH>
            <wp:positionV relativeFrom="page">
              <wp:posOffset>732155</wp:posOffset>
            </wp:positionV>
            <wp:extent cx="60718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jc w:val="center"/>
        <w:ind w:right="5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368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360680</wp:posOffset>
            </wp:positionV>
            <wp:extent cx="4081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120" w:hanging="685"/>
        <w:spacing w:after="0"/>
        <w:tabs>
          <w:tab w:leader="none" w:pos="11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9"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9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4081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151" w:lineRule="exact"/>
        <w:rPr>
          <w:sz w:val="24"/>
          <w:szCs w:val="24"/>
          <w:color w:val="auto"/>
        </w:rPr>
      </w:pPr>
    </w:p>
    <w:p>
      <w:pPr>
        <w:ind w:left="1120" w:hanging="685"/>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7"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3060"/>
        <w:spacing w:after="0"/>
        <w:rPr>
          <w:sz w:val="20"/>
          <w:szCs w:val="20"/>
          <w:color w:val="auto"/>
        </w:rPr>
      </w:pPr>
      <w:r>
        <w:rPr>
          <w:rFonts w:ascii="Arial" w:cs="Arial" w:eastAsia="Arial" w:hAnsi="Arial"/>
          <w:sz w:val="18"/>
          <w:szCs w:val="18"/>
          <w:b w:val="1"/>
          <w:bCs w:val="1"/>
          <w:color w:val="auto"/>
        </w:rPr>
        <w:t>COMMISSION FILE NUMBER: 814-00852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206375</wp:posOffset>
            </wp:positionV>
            <wp:extent cx="1543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1080" w:type="dxa"/>
        <w:tblCellMar>
          <w:top w:w="0" w:type="dxa"/>
          <w:left w:w="0" w:type="dxa"/>
          <w:bottom w:w="0" w:type="dxa"/>
          <w:right w:w="0" w:type="dxa"/>
        </w:tblCellMar>
      </w:tblPr>
      <w:tr>
        <w:trPr>
          <w:trHeight w:val="421"/>
        </w:trPr>
        <w:tc>
          <w:tcPr>
            <w:tcW w:w="2320" w:type="dxa"/>
            <w:vAlign w:val="bottom"/>
          </w:tcPr>
          <w:p>
            <w:pPr>
              <w:spacing w:after="0"/>
              <w:rPr>
                <w:sz w:val="24"/>
                <w:szCs w:val="24"/>
                <w:color w:val="auto"/>
              </w:rPr>
            </w:pPr>
          </w:p>
        </w:tc>
        <w:tc>
          <w:tcPr>
            <w:tcW w:w="4480" w:type="dxa"/>
            <w:vAlign w:val="bottom"/>
            <w:gridSpan w:val="3"/>
          </w:tcPr>
          <w:p>
            <w:pPr>
              <w:jc w:val="center"/>
              <w:ind w:right="1668"/>
              <w:spacing w:after="0"/>
              <w:rPr>
                <w:sz w:val="20"/>
                <w:szCs w:val="20"/>
                <w:color w:val="auto"/>
              </w:rPr>
            </w:pPr>
            <w:r>
              <w:rPr>
                <w:rFonts w:ascii="Arial" w:cs="Arial" w:eastAsia="Arial" w:hAnsi="Arial"/>
                <w:sz w:val="32"/>
                <w:szCs w:val="32"/>
                <w:b w:val="1"/>
                <w:bCs w:val="1"/>
                <w:color w:val="auto"/>
                <w:w w:val="96"/>
              </w:rPr>
              <w:t>GSV Capital Corp.</w:t>
            </w:r>
          </w:p>
        </w:tc>
      </w:tr>
      <w:tr>
        <w:trPr>
          <w:trHeight w:val="257"/>
        </w:trPr>
        <w:tc>
          <w:tcPr>
            <w:tcW w:w="6800" w:type="dxa"/>
            <w:vAlign w:val="bottom"/>
            <w:gridSpan w:val="4"/>
          </w:tcPr>
          <w:p>
            <w:pPr>
              <w:ind w:left="2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03"/>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00" w:type="dxa"/>
            <w:vAlign w:val="bottom"/>
          </w:tcPr>
          <w:p>
            <w:pPr>
              <w:spacing w:after="0"/>
              <w:rPr>
                <w:sz w:val="24"/>
                <w:szCs w:val="24"/>
                <w:color w:val="auto"/>
              </w:rPr>
            </w:pPr>
          </w:p>
        </w:tc>
      </w:tr>
      <w:tr>
        <w:trPr>
          <w:trHeight w:val="481"/>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4480" w:type="dxa"/>
            <w:vAlign w:val="bottom"/>
            <w:gridSpan w:val="3"/>
          </w:tcPr>
          <w:p>
            <w:pPr>
              <w:jc w:val="right"/>
              <w:ind w:right="528"/>
              <w:spacing w:after="0"/>
              <w:rPr>
                <w:sz w:val="20"/>
                <w:szCs w:val="20"/>
                <w:color w:val="auto"/>
              </w:rPr>
            </w:pPr>
            <w:r>
              <w:rPr>
                <w:rFonts w:ascii="Arial" w:cs="Arial" w:eastAsia="Arial" w:hAnsi="Arial"/>
                <w:sz w:val="18"/>
                <w:szCs w:val="18"/>
                <w:b w:val="1"/>
                <w:bCs w:val="1"/>
                <w:color w:val="auto"/>
              </w:rPr>
              <w:t>27-4443543</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(State of incorporation)</w:t>
            </w:r>
          </w:p>
        </w:tc>
        <w:tc>
          <w:tcPr>
            <w:tcW w:w="160" w:type="dxa"/>
            <w:vAlign w:val="bottom"/>
          </w:tcPr>
          <w:p>
            <w:pPr>
              <w:spacing w:after="0"/>
              <w:rPr>
                <w:sz w:val="15"/>
                <w:szCs w:val="15"/>
                <w:color w:val="auto"/>
              </w:rPr>
            </w:pPr>
          </w:p>
        </w:tc>
        <w:tc>
          <w:tcPr>
            <w:tcW w:w="4320" w:type="dxa"/>
            <w:vAlign w:val="bottom"/>
            <w:gridSpan w:val="2"/>
          </w:tcPr>
          <w:p>
            <w:pPr>
              <w:jc w:val="center"/>
              <w:ind w:left="2168"/>
              <w:spacing w:after="0"/>
              <w:rPr>
                <w:sz w:val="20"/>
                <w:szCs w:val="20"/>
                <w:color w:val="auto"/>
              </w:rPr>
            </w:pPr>
            <w:r>
              <w:rPr>
                <w:rFonts w:ascii="Arial" w:cs="Arial" w:eastAsia="Arial" w:hAnsi="Arial"/>
                <w:sz w:val="14"/>
                <w:szCs w:val="14"/>
                <w:color w:val="auto"/>
                <w:w w:val="96"/>
              </w:rPr>
              <w:t>(I.R.S. Employer Identification No.)</w:t>
            </w:r>
          </w:p>
        </w:tc>
      </w:tr>
      <w:tr>
        <w:trPr>
          <w:trHeight w:val="277"/>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2925 Woodside Road</w:t>
            </w:r>
          </w:p>
        </w:tc>
        <w:tc>
          <w:tcPr>
            <w:tcW w:w="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0"/>
              </w:rPr>
              <w:t>Woodside, CA</w:t>
            </w:r>
          </w:p>
        </w:tc>
        <w:tc>
          <w:tcPr>
            <w:tcW w:w="4480" w:type="dxa"/>
            <w:vAlign w:val="bottom"/>
            <w:gridSpan w:val="3"/>
          </w:tcPr>
          <w:p>
            <w:pPr>
              <w:jc w:val="right"/>
              <w:ind w:right="748"/>
              <w:spacing w:after="0"/>
              <w:rPr>
                <w:sz w:val="20"/>
                <w:szCs w:val="20"/>
                <w:color w:val="auto"/>
              </w:rPr>
            </w:pPr>
            <w:r>
              <w:rPr>
                <w:rFonts w:ascii="Arial" w:cs="Arial" w:eastAsia="Arial" w:hAnsi="Arial"/>
                <w:sz w:val="18"/>
                <w:szCs w:val="18"/>
                <w:b w:val="1"/>
                <w:bCs w:val="1"/>
                <w:color w:val="auto"/>
              </w:rPr>
              <w:t>94062</w:t>
            </w:r>
          </w:p>
        </w:tc>
      </w:tr>
      <w:tr>
        <w:trPr>
          <w:trHeight w:val="182"/>
        </w:trPr>
        <w:tc>
          <w:tcPr>
            <w:tcW w:w="232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900" w:type="dxa"/>
            <w:vAlign w:val="bottom"/>
          </w:tcPr>
          <w:p>
            <w:pPr>
              <w:jc w:val="center"/>
              <w:ind w:right="108"/>
              <w:spacing w:after="0"/>
              <w:rPr>
                <w:sz w:val="20"/>
                <w:szCs w:val="20"/>
                <w:color w:val="auto"/>
              </w:rPr>
            </w:pPr>
            <w:r>
              <w:rPr>
                <w:rFonts w:ascii="Arial" w:cs="Arial" w:eastAsia="Arial" w:hAnsi="Arial"/>
                <w:sz w:val="14"/>
                <w:szCs w:val="14"/>
                <w:color w:val="auto"/>
                <w:w w:val="96"/>
              </w:rPr>
              <w:t>(Zip Code)</w:t>
            </w:r>
          </w:p>
        </w:tc>
      </w:tr>
      <w:tr>
        <w:trPr>
          <w:trHeight w:val="417"/>
        </w:trPr>
        <w:tc>
          <w:tcPr>
            <w:tcW w:w="2320" w:type="dxa"/>
            <w:vAlign w:val="bottom"/>
          </w:tcPr>
          <w:p>
            <w:pPr>
              <w:spacing w:after="0"/>
              <w:rPr>
                <w:sz w:val="24"/>
                <w:szCs w:val="24"/>
                <w:color w:val="auto"/>
              </w:rPr>
            </w:pPr>
          </w:p>
        </w:tc>
        <w:tc>
          <w:tcPr>
            <w:tcW w:w="2580" w:type="dxa"/>
            <w:vAlign w:val="bottom"/>
            <w:gridSpan w:val="2"/>
          </w:tcPr>
          <w:p>
            <w:pPr>
              <w:jc w:val="right"/>
              <w:ind w:right="568"/>
              <w:spacing w:after="0"/>
              <w:rPr>
                <w:sz w:val="20"/>
                <w:szCs w:val="20"/>
                <w:color w:val="auto"/>
              </w:rPr>
            </w:pPr>
            <w:r>
              <w:rPr>
                <w:rFonts w:ascii="Arial" w:cs="Arial" w:eastAsia="Arial" w:hAnsi="Arial"/>
                <w:sz w:val="18"/>
                <w:szCs w:val="18"/>
                <w:b w:val="1"/>
                <w:bCs w:val="1"/>
                <w:color w:val="auto"/>
              </w:rPr>
              <w:t>(650) 235-4769</w:t>
            </w:r>
          </w:p>
        </w:tc>
        <w:tc>
          <w:tcPr>
            <w:tcW w:w="19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-985520</wp:posOffset>
            </wp:positionV>
            <wp:extent cx="574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1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-694055</wp:posOffset>
            </wp:positionV>
            <wp:extent cx="574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83"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201295</wp:posOffset>
            </wp:positionV>
            <wp:extent cx="1543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ind w:left="40" w:right="639" w:firstLine="270"/>
        <w:spacing w:after="0" w:line="28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x No o</w:t>
      </w:r>
    </w:p>
    <w:p>
      <w:pPr>
        <w:spacing w:after="0" w:line="57" w:lineRule="exact"/>
        <w:rPr>
          <w:sz w:val="24"/>
          <w:szCs w:val="24"/>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o No o</w:t>
      </w:r>
    </w:p>
    <w:p>
      <w:pPr>
        <w:spacing w:after="0" w:line="39" w:lineRule="exact"/>
        <w:rPr>
          <w:sz w:val="24"/>
          <w:szCs w:val="24"/>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sectPr>
      </w:pP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42" w:lineRule="exact"/>
        <w:rPr>
          <w:sz w:val="24"/>
          <w:szCs w:val="24"/>
          <w:color w:val="auto"/>
        </w:rPr>
      </w:pPr>
    </w:p>
    <w:p>
      <w:pPr>
        <w:sectPr>
          <w:pgSz w:w="11900" w:h="16838" w:orient="portrait"/>
          <w:cols w:equalWidth="0" w:num="2">
            <w:col w:w="3520" w:space="720"/>
            <w:col w:w="5839"/>
          </w:cols>
          <w:pgMar w:left="380" w:top="1440" w:right="1440" w:bottom="1440" w:gutter="0" w:footer="0" w:header="0"/>
          <w:type w:val="continuous"/>
        </w:sectPr>
      </w:pPr>
    </w:p>
    <w:p>
      <w:pPr>
        <w:ind w:left="320" w:right="779"/>
        <w:spacing w:after="0" w:line="440"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Act).Yes o No x The issuer had 22,181,003 shares of common stock, $0.01 par value per share, outstanding as of August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681990</wp:posOffset>
            </wp:positionV>
            <wp:extent cx="6114415"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-67945</wp:posOffset>
            </wp:positionV>
            <wp:extent cx="6071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wp:posOffset>
            </wp:positionV>
            <wp:extent cx="6071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ectPr>
          <w:pgSz w:w="11900" w:h="16838" w:orient="portrait"/>
          <w:cols w:equalWidth="0" w:num="1">
            <w:col w:w="10079"/>
          </w:cols>
          <w:pgMar w:left="380" w:top="1440"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GSV CAPITAL CORP.</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7680" w:type="dxa"/>
            <w:vAlign w:val="bottom"/>
            <w:gridSpan w:val="43"/>
            <w:shd w:val="clear" w:color="auto" w:fill="CCEEFF"/>
          </w:tcPr>
          <w:p>
            <w:pPr>
              <w:ind w:left="20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7680" w:type="dxa"/>
            <w:vAlign w:val="bottom"/>
            <w:gridSpan w:val="43"/>
          </w:tcPr>
          <w:p>
            <w:pPr>
              <w:ind w:left="2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Condensed Consolidated Financial Statements (Unaudited)</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160" w:type="dxa"/>
            <w:vAlign w:val="bottom"/>
            <w:tcBorders>
              <w:bottom w:val="single" w:sz="8" w:color="0000EE"/>
            </w:tcBorders>
            <w:gridSpan w:val="35"/>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Assets and Liabilities as of June 30, 2016 and</w:t>
              </w:r>
            </w:hyperlink>
          </w:p>
        </w:tc>
        <w:tc>
          <w:tcPr>
            <w:tcW w:w="600" w:type="dxa"/>
            <w:vAlign w:val="bottom"/>
            <w:tcBorders>
              <w:bottom w:val="single" w:sz="8" w:color="CCEEFF"/>
            </w:tcBorders>
            <w:gridSpan w:val="5"/>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40"/>
            <w:shd w:val="clear" w:color="auto" w:fill="CCEEFF"/>
          </w:tcPr>
          <w:p>
            <w:pPr>
              <w:ind w:left="18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2015</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40"/>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Operations for the three and six months ended June</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60" w:type="dxa"/>
            <w:vAlign w:val="bottom"/>
            <w:tcBorders>
              <w:top w:val="single" w:sz="8" w:color="0000EE"/>
            </w:tcBorders>
            <w:gridSpan w:val="38"/>
          </w:tcPr>
          <w:p>
            <w:pPr>
              <w:ind w:left="18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2016 and 2015</w:t>
              </w:r>
            </w:hyperlink>
          </w:p>
        </w:tc>
        <w:tc>
          <w:tcPr>
            <w:tcW w:w="200" w:type="dxa"/>
            <w:vAlign w:val="bottom"/>
            <w:gridSpan w:val="2"/>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320" w:type="dxa"/>
            <w:vAlign w:val="bottom"/>
            <w:tcBorders>
              <w:bottom w:val="single" w:sz="8" w:color="0000EE"/>
            </w:tcBorders>
            <w:gridSpan w:val="36"/>
            <w:shd w:val="clear" w:color="auto" w:fill="CCEEFF"/>
          </w:tcPr>
          <w:p>
            <w:pPr>
              <w:spacing w:after="0" w:line="17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Changes in Net Assets for the six months ended</w:t>
              </w:r>
            </w:hyperlink>
          </w:p>
        </w:tc>
        <w:tc>
          <w:tcPr>
            <w:tcW w:w="440" w:type="dxa"/>
            <w:vAlign w:val="bottom"/>
            <w:tcBorders>
              <w:bottom w:val="single" w:sz="8" w:color="CCEEFF"/>
            </w:tcBorders>
            <w:gridSpan w:val="4"/>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196"/>
        </w:trPr>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760" w:type="dxa"/>
            <w:vAlign w:val="bottom"/>
            <w:gridSpan w:val="40"/>
            <w:shd w:val="clear" w:color="auto" w:fill="CCEEFF"/>
          </w:tcPr>
          <w:p>
            <w:pPr>
              <w:ind w:left="18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June 30, 2016 and 2015</w:t>
              </w:r>
            </w:hyperlink>
          </w:p>
        </w:tc>
        <w:tc>
          <w:tcPr>
            <w:tcW w:w="54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40"/>
          </w:tcPr>
          <w:p>
            <w:pPr>
              <w:spacing w:after="0" w:line="17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Condensed Consolidated Statements of Cash Flows for the six months ended June 30, 2016</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80" w:type="dxa"/>
            <w:vAlign w:val="bottom"/>
            <w:tcBorders>
              <w:top w:val="single" w:sz="8" w:color="0000EE"/>
            </w:tcBorders>
            <w:gridSpan w:val="39"/>
          </w:tcPr>
          <w:p>
            <w:pPr>
              <w:ind w:left="18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and 2015</w:t>
              </w:r>
            </w:hyperlink>
          </w:p>
        </w:tc>
        <w:tc>
          <w:tcPr>
            <w:tcW w:w="180" w:type="dxa"/>
            <w:vAlign w:val="bottom"/>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40"/>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Condensed Consolidated Schedule of Investments as of June 30, 2016</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40"/>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Condensed Consolidated Schedule of Investments as of December 31, 2015</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40"/>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Notes to Condensed Consolidated Financial Statements as of June 30, 2016</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20" w:type="dxa"/>
            <w:vAlign w:val="bottom"/>
            <w:gridSpan w:val="32"/>
          </w:tcPr>
          <w:p>
            <w:pPr>
              <w:ind w:left="180"/>
              <w:spacing w:after="0" w:line="176"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Note 1 — Nature of Operations and Significant Accounting Policies</w:t>
              </w:r>
            </w:hyperlink>
          </w:p>
        </w:tc>
        <w:tc>
          <w:tcPr>
            <w:tcW w:w="1340" w:type="dxa"/>
            <w:vAlign w:val="bottom"/>
            <w:gridSpan w:val="8"/>
          </w:tcPr>
          <w:p>
            <w:pPr>
              <w:spacing w:after="0"/>
              <w:rPr>
                <w:sz w:val="15"/>
                <w:szCs w:val="15"/>
                <w:color w:val="auto"/>
              </w:rPr>
            </w:pPr>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40"/>
            <w:shd w:val="clear" w:color="auto" w:fill="CCEEFF"/>
          </w:tcPr>
          <w:p>
            <w:pPr>
              <w:ind w:left="1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Note 2 — Related-Party Arrangements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27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40"/>
          </w:tcPr>
          <w:p>
            <w:pPr>
              <w:ind w:left="1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Note 3 — Investments at Fair Value</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40"/>
            <w:shd w:val="clear" w:color="auto" w:fill="CCEEFF"/>
          </w:tcPr>
          <w:p>
            <w:pPr>
              <w:ind w:left="1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Note 4 — Equity Offerings and Related Expenses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40"/>
          </w:tcPr>
          <w:p>
            <w:pPr>
              <w:ind w:left="18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Note 5 — Net Increase/(Decrease) in Net Assets Resulting from Operations per</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720" w:type="dxa"/>
            <w:vAlign w:val="bottom"/>
            <w:tcBorders>
              <w:top w:val="single" w:sz="8" w:color="0000EE"/>
            </w:tcBorders>
            <w:gridSpan w:val="33"/>
          </w:tcPr>
          <w:p>
            <w:pPr>
              <w:ind w:left="18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Common Share — Basic and Diluted</w:t>
              </w:r>
            </w:hyperlink>
          </w:p>
        </w:tc>
        <w:tc>
          <w:tcPr>
            <w:tcW w:w="860" w:type="dxa"/>
            <w:vAlign w:val="bottom"/>
            <w:gridSpan w:val="6"/>
          </w:tcPr>
          <w:p>
            <w:pPr>
              <w:spacing w:after="0"/>
              <w:rPr>
                <w:sz w:val="17"/>
                <w:szCs w:val="17"/>
                <w:color w:val="auto"/>
              </w:rPr>
            </w:pPr>
          </w:p>
        </w:tc>
        <w:tc>
          <w:tcPr>
            <w:tcW w:w="540" w:type="dxa"/>
            <w:vAlign w:val="bottom"/>
            <w:gridSpan w:val="4"/>
          </w:tcPr>
          <w:p>
            <w:pPr>
              <w:jc w:val="right"/>
              <w:ind w:right="100"/>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40"/>
            <w:shd w:val="clear" w:color="auto" w:fill="CCEEFF"/>
          </w:tcPr>
          <w:p>
            <w:pPr>
              <w:ind w:left="18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Note 6 — Commitments and Contingencies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40"/>
          </w:tcPr>
          <w:p>
            <w:pPr>
              <w:ind w:left="18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Note 7 — Financial Highlights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40"/>
            <w:shd w:val="clear" w:color="auto" w:fill="CCEEFF"/>
          </w:tcPr>
          <w:p>
            <w:pPr>
              <w:ind w:left="18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Note 8 — Income Taxes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40"/>
          </w:tcPr>
          <w:p>
            <w:pPr>
              <w:ind w:left="18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Note 9 — Long-Term Liabilities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40"/>
            <w:shd w:val="clear" w:color="auto" w:fill="CCEEFF"/>
          </w:tcPr>
          <w:p>
            <w:pPr>
              <w:ind w:left="18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Note 10 — Subsequent Events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41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43"/>
          </w:tcPr>
          <w:p>
            <w:pPr>
              <w:ind w:left="200"/>
              <w:spacing w:after="0" w:line="17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Item 2.   Management’s Discussion and Analysis of Financial Condition and 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40"/>
            <w:shd w:val="clear" w:color="auto" w:fill="CCEEFF"/>
          </w:tcPr>
          <w:p>
            <w:pPr>
              <w:ind w:left="18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Forward-Looking Statements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40"/>
          </w:tcPr>
          <w:p>
            <w:pPr>
              <w:ind w:left="18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Overview</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Investments — (Portfolio Activity)</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40"/>
          </w:tcPr>
          <w:p>
            <w:pPr>
              <w:ind w:left="18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Results of Operations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40"/>
            <w:shd w:val="clear" w:color="auto" w:fill="CCEEFF"/>
          </w:tcPr>
          <w:p>
            <w:pPr>
              <w:ind w:left="1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Liquidity and Capital Resources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9"/>
          </w:tcPr>
          <w:p>
            <w:pPr>
              <w:ind w:left="1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Equity Issuances &amp; Debt Capital Activities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Contractual Obligations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9"/>
          </w:tcPr>
          <w:p>
            <w:pPr>
              <w:ind w:left="18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Off-Balance Sheet Arrangements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580" w:type="dxa"/>
            <w:vAlign w:val="bottom"/>
            <w:gridSpan w:val="39"/>
            <w:shd w:val="clear" w:color="auto" w:fill="CCEEFF"/>
          </w:tcPr>
          <w:p>
            <w:pPr>
              <w:ind w:left="18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Distributions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580" w:type="dxa"/>
            <w:vAlign w:val="bottom"/>
            <w:gridSpan w:val="39"/>
          </w:tcPr>
          <w:p>
            <w:pPr>
              <w:ind w:left="18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Borrowings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40"/>
            <w:shd w:val="clear" w:color="auto" w:fill="CCEEFF"/>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Related-Party Transactions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760" w:type="dxa"/>
            <w:vAlign w:val="bottom"/>
            <w:gridSpan w:val="40"/>
          </w:tcPr>
          <w:p>
            <w:pPr>
              <w:ind w:left="18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Critical Accounting Policies</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1"/>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760" w:type="dxa"/>
            <w:vAlign w:val="bottom"/>
            <w:gridSpan w:val="40"/>
            <w:shd w:val="clear" w:color="auto" w:fill="CCEEFF"/>
          </w:tcPr>
          <w:p>
            <w:pPr>
              <w:ind w:left="18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Recent Developments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80" w:type="dxa"/>
            <w:vAlign w:val="bottom"/>
            <w:gridSpan w:val="43"/>
          </w:tcPr>
          <w:p>
            <w:pPr>
              <w:ind w:left="20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Item 3.   Quantitative and Qualitative Disclosures About Market Risk</w:t>
              </w:r>
            </w:hyperlink>
          </w:p>
        </w:tc>
        <w:tc>
          <w:tcPr>
            <w:tcW w:w="540" w:type="dxa"/>
            <w:vAlign w:val="bottom"/>
            <w:gridSpan w:val="4"/>
          </w:tcPr>
          <w:p>
            <w:pPr>
              <w:jc w:val="right"/>
              <w:ind w:right="100"/>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1"/>
        </w:trPr>
        <w:tc>
          <w:tcPr>
            <w:tcW w:w="20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680" w:type="dxa"/>
            <w:vAlign w:val="bottom"/>
            <w:gridSpan w:val="43"/>
            <w:shd w:val="clear" w:color="auto" w:fill="CCEEFF"/>
          </w:tcPr>
          <w:p>
            <w:pPr>
              <w:ind w:left="20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4.   Controls and Procedures</w:t>
              </w:r>
            </w:hyperlink>
          </w:p>
        </w:tc>
        <w:tc>
          <w:tcPr>
            <w:tcW w:w="54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1"/>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7680" w:type="dxa"/>
            <w:vAlign w:val="bottom"/>
            <w:gridSpan w:val="18"/>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45"/>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shd w:val="clear" w:color="auto" w:fill="CCEEFF"/>
          </w:tcPr>
          <w:p>
            <w:pPr>
              <w:spacing w:after="0"/>
              <w:rPr>
                <w:sz w:val="18"/>
                <w:szCs w:val="18"/>
                <w:color w:val="auto"/>
              </w:rPr>
            </w:pPr>
          </w:p>
        </w:tc>
        <w:tc>
          <w:tcPr>
            <w:tcW w:w="7660" w:type="dxa"/>
            <w:vAlign w:val="bottom"/>
            <w:gridSpan w:val="17"/>
            <w:shd w:val="clear" w:color="auto" w:fill="CCEEFF"/>
          </w:tcPr>
          <w:p>
            <w:pPr>
              <w:ind w:left="180"/>
              <w:spacing w:after="0"/>
              <w:rPr>
                <w:sz w:val="20"/>
                <w:szCs w:val="20"/>
                <w:color w:val="auto"/>
              </w:rPr>
            </w:pPr>
            <w:r>
              <w:rPr>
                <w:rFonts w:ascii="Arial" w:cs="Arial" w:eastAsia="Arial" w:hAnsi="Arial"/>
                <w:sz w:val="18"/>
                <w:szCs w:val="18"/>
                <w:b w:val="1"/>
                <w:bCs w:val="1"/>
                <w:color w:val="auto"/>
              </w:rPr>
              <w:t>PART II.OTHER INFORMATION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Legal Proceedings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Item 1A.</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2.</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Unregistered Sales of Equity Securities and Use of Proceeds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3.</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Defaults Upon Senior Securities</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4.</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Mine Safety Disclosure</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ind w:left="1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5.</w:t>
              </w:r>
            </w:hyperlink>
          </w:p>
        </w:tc>
        <w:tc>
          <w:tcPr>
            <w:tcW w:w="6840" w:type="dxa"/>
            <w:vAlign w:val="bottom"/>
            <w:gridSpan w:val="14"/>
            <w:shd w:val="clear" w:color="auto" w:fill="CCEEFF"/>
          </w:tcPr>
          <w:p>
            <w:pPr>
              <w:ind w:left="8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c>
          <w:tcPr>
            <w:tcW w:w="540" w:type="dxa"/>
            <w:vAlign w:val="bottom"/>
            <w:gridSpan w:val="3"/>
            <w:shd w:val="clear" w:color="auto" w:fill="CCEEFF"/>
          </w:tcPr>
          <w:p>
            <w:pPr>
              <w:jc w:val="right"/>
              <w:ind w:right="100"/>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gridSpan w:val="3"/>
          </w:tcPr>
          <w:p>
            <w:pPr>
              <w:ind w:left="18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6.</w:t>
              </w:r>
            </w:hyperlink>
          </w:p>
        </w:tc>
        <w:tc>
          <w:tcPr>
            <w:tcW w:w="6840" w:type="dxa"/>
            <w:vAlign w:val="bottom"/>
            <w:gridSpan w:val="14"/>
          </w:tcPr>
          <w:p>
            <w:pPr>
              <w:ind w:left="8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760" w:type="dxa"/>
            <w:vAlign w:val="bottom"/>
            <w:gridSpan w:val="13"/>
            <w:shd w:val="clear" w:color="auto" w:fill="CCEEFF"/>
          </w:tcPr>
          <w:p>
            <w:pPr>
              <w:spacing w:after="0" w:line="176" w:lineRule="exact"/>
              <w:rPr>
                <w:rFonts w:ascii="Arial" w:cs="Arial" w:eastAsia="Arial" w:hAnsi="Arial"/>
                <w:sz w:val="18"/>
                <w:szCs w:val="18"/>
                <w:color w:val="0000EE"/>
                <w:w w:val="96"/>
              </w:rPr>
            </w:pPr>
            <w:hyperlink w:anchor="page64">
              <w:r>
                <w:rPr>
                  <w:rFonts w:ascii="Arial" w:cs="Arial" w:eastAsia="Arial" w:hAnsi="Arial"/>
                  <w:sz w:val="18"/>
                  <w:szCs w:val="18"/>
                  <w:color w:val="0000EE"/>
                  <w:w w:val="96"/>
                </w:rPr>
                <w:t>Schedules 12-14 — Schedules of Investments in and Advances to Affiliates (unaudited)</w:t>
              </w:r>
            </w:hyperlink>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320" w:type="dxa"/>
            <w:vAlign w:val="bottom"/>
            <w:tcBorders>
              <w:top w:val="single" w:sz="8" w:color="0000EE"/>
            </w:tcBorders>
            <w:gridSpan w:val="12"/>
            <w:shd w:val="clear" w:color="auto" w:fill="CCEEFF"/>
          </w:tcPr>
          <w:p>
            <w:pPr>
              <w:ind w:left="18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as of June 30, 2016 and December 31, 2015</w:t>
              </w:r>
            </w:hyperlink>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gridSpan w:val="3"/>
            <w:shd w:val="clear" w:color="auto" w:fill="CCEEFF"/>
          </w:tcPr>
          <w:p>
            <w:pPr>
              <w:jc w:val="right"/>
              <w:ind w:right="10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4"/>
          </w:tcPr>
          <w:p>
            <w:pPr>
              <w:spacing w:after="0" w:line="176" w:lineRule="exact"/>
              <w:rPr>
                <w:rFonts w:ascii="Arial" w:cs="Arial" w:eastAsia="Arial" w:hAnsi="Arial"/>
                <w:sz w:val="18"/>
                <w:szCs w:val="18"/>
                <w:color w:val="0000EE"/>
                <w:w w:val="85"/>
              </w:rPr>
            </w:pPr>
            <w:hyperlink w:anchor="page71">
              <w:r>
                <w:rPr>
                  <w:rFonts w:ascii="Arial" w:cs="Arial" w:eastAsia="Arial" w:hAnsi="Arial"/>
                  <w:sz w:val="18"/>
                  <w:szCs w:val="18"/>
                  <w:color w:val="0000EE"/>
                  <w:w w:val="85"/>
                </w:rPr>
                <w:t>Signatures</w:t>
              </w:r>
            </w:hyperlink>
          </w:p>
        </w:tc>
        <w:tc>
          <w:tcPr>
            <w:tcW w:w="6000" w:type="dxa"/>
            <w:vAlign w:val="bottom"/>
            <w:gridSpan w:val="9"/>
          </w:tcPr>
          <w:p>
            <w:pPr>
              <w:spacing w:after="0"/>
              <w:rPr>
                <w:sz w:val="15"/>
                <w:szCs w:val="15"/>
                <w:color w:val="auto"/>
              </w:rPr>
            </w:pPr>
          </w:p>
        </w:tc>
        <w:tc>
          <w:tcPr>
            <w:tcW w:w="540" w:type="dxa"/>
            <w:vAlign w:val="bottom"/>
            <w:gridSpan w:val="3"/>
          </w:tcPr>
          <w:p>
            <w:pPr>
              <w:jc w:val="right"/>
              <w:ind w:right="100"/>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-1706245</wp:posOffset>
            </wp:positionV>
            <wp:extent cx="52139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3" w:name="page4"/>
    <w:bookmarkEnd w:id="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STATEMENTS OF ASSETS AND LIABILITIES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5"/>
        </w:trPr>
        <w:tc>
          <w:tcPr>
            <w:tcW w:w="590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w w:val="95"/>
              </w:rPr>
              <w:t>Investments in controlled securities (cost of $22,831,552 and $21,830,392,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67"/>
        </w:trPr>
        <w:tc>
          <w:tcPr>
            <w:tcW w:w="5900" w:type="dxa"/>
            <w:vAlign w:val="bottom"/>
            <w:shd w:val="clear" w:color="auto" w:fill="CCEEFF"/>
          </w:tcPr>
          <w:p>
            <w:pPr>
              <w:ind w:left="38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23,666,295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22,871,790</w:t>
            </w:r>
          </w:p>
        </w:tc>
      </w:tr>
      <w:tr>
        <w:trPr>
          <w:trHeight w:val="205"/>
        </w:trPr>
        <w:tc>
          <w:tcPr>
            <w:tcW w:w="5900" w:type="dxa"/>
            <w:vAlign w:val="bottom"/>
          </w:tcPr>
          <w:p>
            <w:pPr>
              <w:ind w:left="200"/>
              <w:spacing w:after="0" w:line="206" w:lineRule="exact"/>
              <w:rPr>
                <w:sz w:val="20"/>
                <w:szCs w:val="20"/>
                <w:color w:val="auto"/>
              </w:rPr>
            </w:pPr>
            <w:r>
              <w:rPr>
                <w:rFonts w:ascii="Arial" w:cs="Arial" w:eastAsia="Arial" w:hAnsi="Arial"/>
                <w:sz w:val="18"/>
                <w:szCs w:val="18"/>
                <w:color w:val="auto"/>
                <w:w w:val="97"/>
              </w:rPr>
              <w:t>Investments in affiliated securities (cost of $71,984,912 and $73,942,123,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67"/>
        </w:trPr>
        <w:tc>
          <w:tcPr>
            <w:tcW w:w="5900" w:type="dxa"/>
            <w:vAlign w:val="bottom"/>
          </w:tcPr>
          <w:p>
            <w:pPr>
              <w:ind w:left="380"/>
              <w:spacing w:after="0" w:line="266" w:lineRule="exact"/>
              <w:rPr>
                <w:sz w:val="20"/>
                <w:szCs w:val="20"/>
                <w:color w:val="auto"/>
              </w:rPr>
            </w:pPr>
            <w:r>
              <w:rPr>
                <w:rFonts w:ascii="Arial" w:cs="Arial" w:eastAsia="Arial" w:hAnsi="Arial"/>
                <w:sz w:val="18"/>
                <w:szCs w:val="18"/>
                <w:color w:val="auto"/>
              </w:rPr>
              <w:t>respectively)</w:t>
            </w:r>
            <w:r>
              <w:rPr>
                <w:rFonts w:ascii="Arial" w:cs="Arial" w:eastAsia="Arial" w:hAnsi="Arial"/>
                <w:sz w:val="30"/>
                <w:szCs w:val="30"/>
                <w:color w:val="auto"/>
                <w:vertAlign w:val="superscript"/>
              </w:rPr>
              <w:t>(1)</w:t>
            </w:r>
          </w:p>
        </w:tc>
        <w:tc>
          <w:tcPr>
            <w:tcW w:w="10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62,705,806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66,075,585</w:t>
            </w:r>
          </w:p>
        </w:tc>
      </w:tr>
      <w:tr>
        <w:trPr>
          <w:trHeight w:val="202"/>
        </w:trPr>
        <w:tc>
          <w:tcPr>
            <w:tcW w:w="5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Investments in non-controlled/non-affiliated securities (cost of $197,104,024</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$197,577,328, respectively)</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226,652,817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260,861,392</w:t>
            </w:r>
          </w:p>
        </w:tc>
      </w:tr>
      <w:tr>
        <w:trPr>
          <w:trHeight w:val="202"/>
        </w:trPr>
        <w:tc>
          <w:tcPr>
            <w:tcW w:w="5900" w:type="dxa"/>
            <w:vAlign w:val="bottom"/>
          </w:tcPr>
          <w:p>
            <w:pPr>
              <w:ind w:left="200"/>
              <w:spacing w:after="0" w:line="201" w:lineRule="exact"/>
              <w:rPr>
                <w:sz w:val="20"/>
                <w:szCs w:val="20"/>
                <w:color w:val="auto"/>
              </w:rPr>
            </w:pPr>
            <w:r>
              <w:rPr>
                <w:rFonts w:ascii="Arial" w:cs="Arial" w:eastAsia="Arial" w:hAnsi="Arial"/>
                <w:sz w:val="18"/>
                <w:szCs w:val="18"/>
                <w:color w:val="auto"/>
              </w:rPr>
              <w:t>Investments in treasury bill (cost of $29,999,640 and $29,999,968,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590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29,999,700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30,000,000</w:t>
            </w:r>
          </w:p>
        </w:tc>
      </w:tr>
      <w:tr>
        <w:trPr>
          <w:trHeight w:val="205"/>
        </w:trPr>
        <w:tc>
          <w:tcPr>
            <w:tcW w:w="590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Investments owned and pledged (amortized cost of $1,849,291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67"/>
        </w:trPr>
        <w:tc>
          <w:tcPr>
            <w:tcW w:w="5900" w:type="dxa"/>
            <w:vAlign w:val="bottom"/>
            <w:shd w:val="clear" w:color="auto" w:fill="CCEEFF"/>
          </w:tcPr>
          <w:p>
            <w:pPr>
              <w:ind w:left="380"/>
              <w:spacing w:after="0" w:line="266" w:lineRule="exact"/>
              <w:rPr>
                <w:sz w:val="20"/>
                <w:szCs w:val="20"/>
                <w:color w:val="auto"/>
              </w:rPr>
            </w:pPr>
            <w:r>
              <w:rPr>
                <w:rFonts w:ascii="Arial" w:cs="Arial" w:eastAsia="Arial" w:hAnsi="Arial"/>
                <w:sz w:val="18"/>
                <w:szCs w:val="18"/>
                <w:color w:val="auto"/>
              </w:rPr>
              <w:t>$3,675,192, respectively)</w:t>
            </w:r>
            <w:r>
              <w:rPr>
                <w:rFonts w:ascii="Arial" w:cs="Arial" w:eastAsia="Arial" w:hAnsi="Arial"/>
                <w:sz w:val="30"/>
                <w:szCs w:val="30"/>
                <w:color w:val="auto"/>
                <w:vertAlign w:val="superscript"/>
              </w:rPr>
              <w:t>(2)</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1,850,371</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3,676,693</w:t>
            </w:r>
          </w:p>
        </w:tc>
      </w:tr>
      <w:tr>
        <w:trPr>
          <w:trHeight w:val="195"/>
        </w:trPr>
        <w:tc>
          <w:tcPr>
            <w:tcW w:w="5900" w:type="dxa"/>
            <w:vAlign w:val="bottom"/>
            <w:tcBorders>
              <w:top w:val="single" w:sz="8" w:color="CCEEFF"/>
            </w:tcBorders>
          </w:tcPr>
          <w:p>
            <w:pPr>
              <w:ind w:left="200"/>
              <w:spacing w:after="0" w:line="195" w:lineRule="exact"/>
              <w:rPr>
                <w:sz w:val="20"/>
                <w:szCs w:val="20"/>
                <w:color w:val="auto"/>
              </w:rPr>
            </w:pPr>
            <w:r>
              <w:rPr>
                <w:rFonts w:ascii="Arial" w:cs="Arial" w:eastAsia="Arial" w:hAnsi="Arial"/>
                <w:sz w:val="18"/>
                <w:szCs w:val="18"/>
                <w:color w:val="auto"/>
              </w:rPr>
              <w:t>Total Investments (cost of $323,769,419 and $327,025,003,</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30"/>
        </w:trPr>
        <w:tc>
          <w:tcPr>
            <w:tcW w:w="590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344,874,989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383,485,460</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2,457,294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13,349,877</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75,681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52,931</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from:</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5900" w:type="dxa"/>
            <w:vAlign w:val="bottom"/>
          </w:tcPr>
          <w:p>
            <w:pPr>
              <w:ind w:left="20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1,623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220,770</w:t>
            </w:r>
          </w:p>
        </w:tc>
      </w:tr>
      <w:tr>
        <w:trPr>
          <w:trHeight w:val="257"/>
        </w:trPr>
        <w:tc>
          <w:tcPr>
            <w:tcW w:w="590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Portfolio companies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52,492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56,371</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Interest and dividends receivable</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137,448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97,183</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163,720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227,826</w:t>
            </w:r>
          </w:p>
        </w:tc>
      </w:tr>
      <w:tr>
        <w:trPr>
          <w:trHeight w:val="257"/>
        </w:trPr>
        <w:tc>
          <w:tcPr>
            <w:tcW w:w="5900" w:type="dxa"/>
            <w:vAlign w:val="bottom"/>
          </w:tcPr>
          <w:p>
            <w:pPr>
              <w:ind w:left="20"/>
              <w:spacing w:after="0" w:line="256" w:lineRule="exact"/>
              <w:rPr>
                <w:sz w:val="20"/>
                <w:szCs w:val="20"/>
                <w:color w:val="auto"/>
              </w:rPr>
            </w:pPr>
            <w:r>
              <w:rPr>
                <w:rFonts w:ascii="Arial" w:cs="Arial" w:eastAsia="Arial" w:hAnsi="Arial"/>
                <w:sz w:val="18"/>
                <w:szCs w:val="18"/>
                <w:color w:val="auto"/>
              </w:rPr>
              <w:t>Deferred financing costs</w:t>
            </w:r>
            <w:r>
              <w:rPr>
                <w:rFonts w:ascii="Arial" w:cs="Arial" w:eastAsia="Arial" w:hAnsi="Arial"/>
                <w:sz w:val="29"/>
                <w:szCs w:val="29"/>
                <w:color w:val="auto"/>
                <w:vertAlign w:val="superscript"/>
              </w:rPr>
              <w:t>(3)</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298,984</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352,653</w:t>
            </w:r>
          </w:p>
        </w:tc>
        <w:tc>
          <w:tcPr>
            <w:tcW w:w="60" w:type="dxa"/>
            <w:vAlign w:val="bottom"/>
          </w:tcPr>
          <w:p>
            <w:pPr>
              <w:spacing w:after="0"/>
              <w:rPr>
                <w:sz w:val="22"/>
                <w:szCs w:val="22"/>
                <w:color w:val="auto"/>
              </w:rPr>
            </w:pPr>
          </w:p>
        </w:tc>
      </w:tr>
      <w:tr>
        <w:trPr>
          <w:trHeight w:val="210"/>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348,062,231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397,843,071</w:t>
            </w:r>
          </w:p>
        </w:tc>
      </w:tr>
      <w:tr>
        <w:trPr>
          <w:trHeight w:val="210"/>
        </w:trPr>
        <w:tc>
          <w:tcPr>
            <w:tcW w:w="59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to:</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57"/>
        </w:trPr>
        <w:tc>
          <w:tcPr>
            <w:tcW w:w="5900" w:type="dxa"/>
            <w:vAlign w:val="bottom"/>
          </w:tcPr>
          <w:p>
            <w:pPr>
              <w:ind w:left="200"/>
              <w:spacing w:after="0" w:line="256" w:lineRule="exact"/>
              <w:rPr>
                <w:sz w:val="20"/>
                <w:szCs w:val="20"/>
                <w:color w:val="auto"/>
              </w:rPr>
            </w:pPr>
            <w:r>
              <w:rPr>
                <w:rFonts w:ascii="Arial" w:cs="Arial" w:eastAsia="Arial" w:hAnsi="Arial"/>
                <w:sz w:val="18"/>
                <w:szCs w:val="18"/>
                <w:color w:val="auto"/>
              </w:rPr>
              <w:t>GSV Asset Management</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532,690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5,047,429</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267,097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105,587</w:t>
            </w:r>
          </w:p>
        </w:tc>
      </w:tr>
      <w:tr>
        <w:trPr>
          <w:trHeight w:val="257"/>
        </w:trPr>
        <w:tc>
          <w:tcPr>
            <w:tcW w:w="5900" w:type="dxa"/>
            <w:vAlign w:val="bottom"/>
          </w:tcPr>
          <w:p>
            <w:pPr>
              <w:ind w:left="2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9,288,757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17,314,565</w:t>
            </w:r>
          </w:p>
        </w:tc>
      </w:tr>
      <w:tr>
        <w:trPr>
          <w:trHeight w:val="257"/>
        </w:trPr>
        <w:tc>
          <w:tcPr>
            <w:tcW w:w="59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583,472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683,423</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1,056,563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1,056,563</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26,499,600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26,499,357</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12,476,155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12,476,155</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Line of credit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7"/>
        </w:trPr>
        <w:tc>
          <w:tcPr>
            <w:tcW w:w="5900" w:type="dxa"/>
            <w:vAlign w:val="bottom"/>
          </w:tcPr>
          <w:p>
            <w:pPr>
              <w:ind w:left="20"/>
              <w:spacing w:after="0" w:line="256" w:lineRule="exact"/>
              <w:rPr>
                <w:sz w:val="20"/>
                <w:szCs w:val="20"/>
                <w:color w:val="auto"/>
              </w:rPr>
            </w:pPr>
            <w:r>
              <w:rPr>
                <w:rFonts w:ascii="Arial" w:cs="Arial" w:eastAsia="Arial" w:hAnsi="Arial"/>
                <w:sz w:val="18"/>
                <w:szCs w:val="18"/>
                <w:color w:val="auto"/>
              </w:rPr>
              <w:t>Convertible Senior Notes payable 5.25% due September 15, 2018</w:t>
            </w:r>
            <w:r>
              <w:rPr>
                <w:rFonts w:ascii="Arial" w:cs="Arial" w:eastAsia="Arial" w:hAnsi="Arial"/>
                <w:sz w:val="29"/>
                <w:szCs w:val="29"/>
                <w:color w:val="auto"/>
                <w:vertAlign w:val="superscript"/>
              </w:rPr>
              <w:t>(2)(3)</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67,077,582</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66,649,047</w:t>
            </w:r>
          </w:p>
        </w:tc>
        <w:tc>
          <w:tcPr>
            <w:tcW w:w="60" w:type="dxa"/>
            <w:vAlign w:val="bottom"/>
          </w:tcPr>
          <w:p>
            <w:pPr>
              <w:spacing w:after="0"/>
              <w:rPr>
                <w:sz w:val="22"/>
                <w:szCs w:val="22"/>
                <w:color w:val="auto"/>
              </w:rPr>
            </w:pPr>
          </w:p>
        </w:tc>
      </w:tr>
      <w:tr>
        <w:trPr>
          <w:trHeight w:val="210"/>
        </w:trPr>
        <w:tc>
          <w:tcPr>
            <w:tcW w:w="59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121,281,916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129,832,126</w:t>
            </w:r>
          </w:p>
        </w:tc>
      </w:tr>
      <w:tr>
        <w:trPr>
          <w:trHeight w:val="210"/>
        </w:trPr>
        <w:tc>
          <w:tcPr>
            <w:tcW w:w="59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Commitments and contingencies (Note 6)</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57"/>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226,780,315</w:t>
            </w: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268,010,945</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-3686810</wp:posOffset>
            </wp:positionV>
            <wp:extent cx="5213985" cy="283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2832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-2083435</wp:posOffset>
            </wp:positionV>
            <wp:extent cx="52139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 w:name="page5"/>
    <w:bookmarkEnd w:id="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STATEMENTS OF ASSETS AND LIABILITIES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968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r>
      <w:tr>
        <w:trPr>
          <w:trHeight w:val="21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84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Common stock, par value $0.01 per share (100,000,000 authorized;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ind w:left="180"/>
              <w:spacing w:after="0"/>
              <w:rPr>
                <w:sz w:val="20"/>
                <w:szCs w:val="20"/>
                <w:color w:val="auto"/>
              </w:rPr>
            </w:pPr>
            <w:r>
              <w:rPr>
                <w:rFonts w:ascii="Arial" w:cs="Arial" w:eastAsia="Arial" w:hAnsi="Arial"/>
                <w:sz w:val="18"/>
                <w:szCs w:val="18"/>
                <w:color w:val="auto"/>
              </w:rPr>
              <w:t>22,181,003 issued and outstanding,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221,810</w:t>
            </w:r>
          </w:p>
        </w:tc>
        <w:tc>
          <w:tcPr>
            <w:tcW w:w="12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221,810</w:t>
            </w: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237,757,527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237,757,527</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Accumulated net investment loss</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(17,539,071)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(16,634,037)</w:t>
            </w: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Accumulated net realized gains (losses) on investments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(2,289,367)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2,681,342</w:t>
            </w: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Accumulated net unrealized appreciation of investments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8,629,416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43,984,303</w:t>
            </w:r>
          </w:p>
        </w:tc>
        <w:tc>
          <w:tcPr>
            <w:tcW w:w="1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20"/>
                <w:szCs w:val="20"/>
                <w:color w:val="auto"/>
              </w:rPr>
            </w:pPr>
          </w:p>
        </w:tc>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226,780,315</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268,010,945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-385445</wp:posOffset>
            </wp:positionV>
            <wp:extent cx="5213985"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balance is a related-party transaction. Refer to “Note 2 — Related-Party Arrangements” for more detail.</w:t>
      </w:r>
    </w:p>
    <w:p>
      <w:pPr>
        <w:spacing w:after="0" w:line="117" w:lineRule="exact"/>
        <w:rPr>
          <w:rFonts w:ascii="Arial" w:cs="Arial" w:eastAsia="Arial" w:hAnsi="Arial"/>
          <w:sz w:val="18"/>
          <w:szCs w:val="18"/>
          <w:color w:val="auto"/>
        </w:rPr>
      </w:pPr>
    </w:p>
    <w:p>
      <w:pPr>
        <w:ind w:left="300" w:right="519" w:hanging="272"/>
        <w:spacing w:after="0" w:line="314" w:lineRule="auto"/>
        <w:tabs>
          <w:tab w:leader="none" w:pos="3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Convertible Senior Notes have a face value of $69,000,000. Refer to “Note 9 — Long-Term Liabilities.” for a reconciliation of the carrying value to the face value. In accordance with the terms of the Company’s Convertible Senior Notes payable, the Company deposited $10,867,500 in an escrow account with U.S. Bank National Association, the trustee. These funds were used to purchase six U.S. Treasury Strips with an original cost of $10,845,236. As of June 30, 2016, five of the government securities purchased had matured and the proceeds were used by the trustee in accordance with the terms of the escrow agreement. At June 30, 2016, the remaining government securities are scheduled to mature on August 15, 2016 and are shown on the Condensed Consolidated Statements of Assets and Liabilities as “Investments owned and pledged” with an amortized cost of $1,849,291.</w:t>
      </w:r>
    </w:p>
    <w:p>
      <w:pPr>
        <w:spacing w:after="0" w:line="40" w:lineRule="exact"/>
        <w:rPr>
          <w:rFonts w:ascii="Arial" w:cs="Arial" w:eastAsia="Arial" w:hAnsi="Arial"/>
          <w:sz w:val="15"/>
          <w:szCs w:val="15"/>
          <w:color w:val="auto"/>
        </w:rPr>
      </w:pPr>
    </w:p>
    <w:p>
      <w:pPr>
        <w:ind w:left="300" w:right="559" w:hanging="272"/>
        <w:spacing w:after="0" w:line="297" w:lineRule="auto"/>
        <w:tabs>
          <w:tab w:leader="none" w:pos="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Deferred debt issuance costs of $1,947,572 related to the Company’s issuance of the Convertible Senior Notes payable were previously classified as “Deferred financing costs” as of December 31, 2015. In accordance with ASU 2015-03, this balance has been retrospectively reclassified as a direct deduction from the Convertible Senior Notes on the Condensed Consolidated Statements of Assets and Liabilities at June 30, 2016. Refer to “Note 1 — Nature of Operations and Significant Accounting Policies — Recently Adopted Accounting Standards,” as well as “Note 9 — Long-Term Liabilities” for further detail.</w:t>
      </w:r>
    </w:p>
    <w:p>
      <w:pPr>
        <w:spacing w:after="0" w:line="200" w:lineRule="exact"/>
        <w:rPr>
          <w:sz w:val="20"/>
          <w:szCs w:val="20"/>
          <w:color w:val="auto"/>
        </w:rPr>
      </w:pPr>
    </w:p>
    <w:p>
      <w:pPr>
        <w:spacing w:after="0" w:line="282"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 w:name="page6"/>
    <w:bookmarkEnd w:id="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2139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183"/>
        </w:trPr>
        <w:tc>
          <w:tcPr>
            <w:tcW w:w="38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INVESTMENT INCOME</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820" w:type="dxa"/>
            <w:vAlign w:val="bottom"/>
            <w:gridSpan w:val="3"/>
            <w:shd w:val="clear" w:color="auto" w:fill="CCEEFF"/>
          </w:tcPr>
          <w:p>
            <w:pPr>
              <w:ind w:left="20"/>
              <w:spacing w:after="0" w:line="246" w:lineRule="exact"/>
              <w:rPr>
                <w:sz w:val="20"/>
                <w:szCs w:val="20"/>
                <w:color w:val="auto"/>
              </w:rPr>
            </w:pPr>
            <w:r>
              <w:rPr>
                <w:rFonts w:ascii="Arial" w:cs="Arial" w:eastAsia="Arial" w:hAnsi="Arial"/>
                <w:sz w:val="16"/>
                <w:szCs w:val="16"/>
                <w:color w:val="auto"/>
              </w:rPr>
              <w:t>Interest income from controlled securities</w:t>
            </w:r>
            <w:r>
              <w:rPr>
                <w:rFonts w:ascii="Arial" w:cs="Arial" w:eastAsia="Arial" w:hAnsi="Arial"/>
                <w:sz w:val="27"/>
                <w:szCs w:val="27"/>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15,528</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20,417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3820" w:type="dxa"/>
            <w:vAlign w:val="bottom"/>
            <w:gridSpan w:val="3"/>
          </w:tcPr>
          <w:p>
            <w:pPr>
              <w:ind w:left="20"/>
              <w:spacing w:after="0"/>
              <w:rPr>
                <w:sz w:val="20"/>
                <w:szCs w:val="20"/>
                <w:color w:val="auto"/>
              </w:rPr>
            </w:pPr>
            <w:r>
              <w:rPr>
                <w:rFonts w:ascii="Arial" w:cs="Arial" w:eastAsia="Arial" w:hAnsi="Arial"/>
                <w:sz w:val="16"/>
                <w:szCs w:val="16"/>
                <w:color w:val="auto"/>
              </w:rPr>
              <w:t>Interest income/(reversal of interest accrual) from</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800" w:type="dxa"/>
            <w:vAlign w:val="bottom"/>
            <w:gridSpan w:val="2"/>
          </w:tcPr>
          <w:p>
            <w:pPr>
              <w:ind w:left="180"/>
              <w:spacing w:after="0" w:line="254" w:lineRule="exact"/>
              <w:rPr>
                <w:sz w:val="20"/>
                <w:szCs w:val="20"/>
                <w:color w:val="auto"/>
              </w:rPr>
            </w:pPr>
            <w:r>
              <w:rPr>
                <w:rFonts w:ascii="Arial" w:cs="Arial" w:eastAsia="Arial" w:hAnsi="Arial"/>
                <w:sz w:val="16"/>
                <w:szCs w:val="16"/>
                <w:color w:val="auto"/>
              </w:rPr>
              <w:t>affiliated securities</w:t>
            </w:r>
            <w:r>
              <w:rPr>
                <w:rFonts w:ascii="Arial" w:cs="Arial" w:eastAsia="Arial" w:hAnsi="Arial"/>
                <w:sz w:val="27"/>
                <w:szCs w:val="27"/>
                <w:color w:val="auto"/>
                <w:vertAlign w:val="superscript"/>
              </w:rPr>
              <w:t>(1)(3)</w:t>
            </w:r>
          </w:p>
        </w:tc>
        <w:tc>
          <w:tcPr>
            <w:tcW w:w="8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(73,894)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69,165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18,584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120,396</w:t>
            </w:r>
          </w:p>
        </w:tc>
        <w:tc>
          <w:tcPr>
            <w:tcW w:w="0" w:type="dxa"/>
            <w:vAlign w:val="bottom"/>
          </w:tcPr>
          <w:p>
            <w:pPr>
              <w:spacing w:after="0"/>
              <w:rPr>
                <w:sz w:val="1"/>
                <w:szCs w:val="1"/>
                <w:color w:val="auto"/>
              </w:rPr>
            </w:pPr>
          </w:p>
        </w:tc>
      </w:tr>
      <w:tr>
        <w:trPr>
          <w:trHeight w:val="19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income from non-controlled/non-affiliated</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securities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15,738</w:t>
            </w:r>
          </w:p>
        </w:tc>
        <w:tc>
          <w:tcPr>
            <w:tcW w:w="0" w:type="dxa"/>
            <w:vAlign w:val="bottom"/>
          </w:tcPr>
          <w:p>
            <w:pPr>
              <w:spacing w:after="0"/>
              <w:rPr>
                <w:sz w:val="1"/>
                <w:szCs w:val="1"/>
                <w:color w:val="auto"/>
              </w:rPr>
            </w:pPr>
          </w:p>
        </w:tc>
      </w:tr>
      <w:tr>
        <w:trPr>
          <w:trHeight w:val="193"/>
        </w:trPr>
        <w:tc>
          <w:tcPr>
            <w:tcW w:w="3820" w:type="dxa"/>
            <w:vAlign w:val="bottom"/>
            <w:gridSpan w:val="3"/>
          </w:tcPr>
          <w:p>
            <w:pPr>
              <w:ind w:left="20"/>
              <w:spacing w:after="0"/>
              <w:rPr>
                <w:sz w:val="20"/>
                <w:szCs w:val="20"/>
                <w:color w:val="auto"/>
              </w:rPr>
            </w:pPr>
            <w:r>
              <w:rPr>
                <w:rFonts w:ascii="Arial" w:cs="Arial" w:eastAsia="Arial" w:hAnsi="Arial"/>
                <w:sz w:val="16"/>
                <w:szCs w:val="16"/>
                <w:color w:val="auto"/>
              </w:rPr>
              <w:t>Dividend income from non-controlled/non-affiliated</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Arial" w:cs="Arial" w:eastAsia="Arial" w:hAnsi="Arial"/>
                <w:sz w:val="16"/>
                <w:szCs w:val="16"/>
                <w:color w:val="auto"/>
              </w:rPr>
              <w:t>securities</w:t>
            </w: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46,781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46,781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 Income</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(54,119)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123,891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48,533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182,915</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OPERATING EXPENSES</w:t>
            </w: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2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6"/>
                <w:szCs w:val="16"/>
                <w:color w:val="auto"/>
              </w:rPr>
              <w:t>Management fees</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1,740,223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2,010,385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3,698,223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3,931,513</w:t>
            </w:r>
          </w:p>
        </w:tc>
        <w:tc>
          <w:tcPr>
            <w:tcW w:w="0" w:type="dxa"/>
            <w:vAlign w:val="bottom"/>
          </w:tcPr>
          <w:p>
            <w:pPr>
              <w:spacing w:after="0"/>
              <w:rPr>
                <w:sz w:val="1"/>
                <w:szCs w:val="1"/>
                <w:color w:val="auto"/>
              </w:rPr>
            </w:pPr>
          </w:p>
        </w:tc>
      </w:tr>
      <w:tr>
        <w:trPr>
          <w:trHeight w:val="243"/>
        </w:trPr>
        <w:tc>
          <w:tcPr>
            <w:tcW w:w="3820" w:type="dxa"/>
            <w:vAlign w:val="bottom"/>
            <w:gridSpan w:val="3"/>
          </w:tcPr>
          <w:p>
            <w:pPr>
              <w:ind w:left="20"/>
              <w:spacing w:after="0" w:line="242" w:lineRule="exact"/>
              <w:rPr>
                <w:sz w:val="20"/>
                <w:szCs w:val="20"/>
                <w:color w:val="auto"/>
              </w:rPr>
            </w:pPr>
            <w:r>
              <w:rPr>
                <w:rFonts w:ascii="Arial" w:cs="Arial" w:eastAsia="Arial" w:hAnsi="Arial"/>
                <w:sz w:val="16"/>
                <w:szCs w:val="16"/>
                <w:color w:val="auto"/>
              </w:rPr>
              <w:t>(Reversal of incentive fee accrual)/Incentive fees</w:t>
            </w:r>
            <w:r>
              <w:rPr>
                <w:rFonts w:ascii="Arial" w:cs="Arial" w:eastAsia="Arial" w:hAnsi="Arial"/>
                <w:sz w:val="27"/>
                <w:szCs w:val="27"/>
                <w:color w:val="auto"/>
                <w:vertAlign w:val="superscript"/>
              </w:rPr>
              <w:t>(1)</w:t>
            </w:r>
          </w:p>
        </w:tc>
        <w:tc>
          <w:tcPr>
            <w:tcW w:w="8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(2,907,224)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1,565,339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(8,025,808)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9,777,067</w:t>
            </w:r>
          </w:p>
        </w:tc>
        <w:tc>
          <w:tcPr>
            <w:tcW w:w="0" w:type="dxa"/>
            <w:vAlign w:val="bottom"/>
          </w:tcPr>
          <w:p>
            <w:pPr>
              <w:spacing w:after="0"/>
              <w:rPr>
                <w:sz w:val="1"/>
                <w:szCs w:val="1"/>
                <w:color w:val="auto"/>
              </w:rPr>
            </w:pPr>
          </w:p>
        </w:tc>
      </w:tr>
      <w:tr>
        <w:trPr>
          <w:trHeight w:val="192"/>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Costs incurred under administration</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3800" w:type="dxa"/>
            <w:vAlign w:val="bottom"/>
            <w:gridSpan w:val="2"/>
            <w:shd w:val="clear" w:color="auto" w:fill="CCEEFF"/>
          </w:tcPr>
          <w:p>
            <w:pPr>
              <w:ind w:left="180"/>
              <w:spacing w:after="0" w:line="254" w:lineRule="exact"/>
              <w:rPr>
                <w:sz w:val="20"/>
                <w:szCs w:val="20"/>
                <w:color w:val="auto"/>
              </w:rPr>
            </w:pPr>
            <w:r>
              <w:rPr>
                <w:rFonts w:ascii="Arial" w:cs="Arial" w:eastAsia="Arial" w:hAnsi="Arial"/>
                <w:sz w:val="16"/>
                <w:szCs w:val="16"/>
                <w:color w:val="auto"/>
              </w:rPr>
              <w:t>agreement</w:t>
            </w:r>
            <w:r>
              <w:rPr>
                <w:rFonts w:ascii="Arial" w:cs="Arial" w:eastAsia="Arial" w:hAnsi="Arial"/>
                <w:sz w:val="27"/>
                <w:szCs w:val="27"/>
                <w:color w:val="auto"/>
                <w:vertAlign w:val="superscript"/>
              </w:rPr>
              <w:t>(1)</w:t>
            </w: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698,692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785,036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1,298,642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1,587,432</w:t>
            </w:r>
          </w:p>
        </w:tc>
        <w:tc>
          <w:tcPr>
            <w:tcW w:w="0" w:type="dxa"/>
            <w:vAlign w:val="bottom"/>
          </w:tcPr>
          <w:p>
            <w:pPr>
              <w:spacing w:after="0"/>
              <w:rPr>
                <w:sz w:val="1"/>
                <w:szCs w:val="1"/>
                <w:color w:val="auto"/>
              </w:rPr>
            </w:pPr>
          </w:p>
        </w:tc>
      </w:tr>
      <w:tr>
        <w:trPr>
          <w:trHeight w:val="203"/>
        </w:trPr>
        <w:tc>
          <w:tcPr>
            <w:tcW w:w="3820" w:type="dxa"/>
            <w:vAlign w:val="bottom"/>
            <w:gridSpan w:val="3"/>
          </w:tcPr>
          <w:p>
            <w:pPr>
              <w:ind w:left="20"/>
              <w:spacing w:after="0"/>
              <w:rPr>
                <w:sz w:val="20"/>
                <w:szCs w:val="20"/>
                <w:color w:val="auto"/>
              </w:rPr>
            </w:pPr>
            <w:r>
              <w:rPr>
                <w:rFonts w:ascii="Arial" w:cs="Arial" w:eastAsia="Arial" w:hAnsi="Arial"/>
                <w:sz w:val="16"/>
                <w:szCs w:val="16"/>
                <w:color w:val="auto"/>
              </w:rPr>
              <w:t>Directors’ fees</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86,250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107,500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172,500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192,806</w:t>
            </w:r>
          </w:p>
        </w:tc>
        <w:tc>
          <w:tcPr>
            <w:tcW w:w="0" w:type="dxa"/>
            <w:vAlign w:val="bottom"/>
          </w:tcPr>
          <w:p>
            <w:pPr>
              <w:spacing w:after="0"/>
              <w:rPr>
                <w:sz w:val="1"/>
                <w:szCs w:val="1"/>
                <w:color w:val="auto"/>
              </w:rPr>
            </w:pPr>
          </w:p>
        </w:tc>
      </w:tr>
      <w:tr>
        <w:trPr>
          <w:trHeight w:val="20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388,375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394,228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1,025,503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735,972</w:t>
            </w:r>
          </w:p>
        </w:tc>
        <w:tc>
          <w:tcPr>
            <w:tcW w:w="0" w:type="dxa"/>
            <w:vAlign w:val="bottom"/>
          </w:tcPr>
          <w:p>
            <w:pPr>
              <w:spacing w:after="0"/>
              <w:rPr>
                <w:sz w:val="1"/>
                <w:szCs w:val="1"/>
                <w:color w:val="auto"/>
              </w:rPr>
            </w:pPr>
          </w:p>
        </w:tc>
      </w:tr>
      <w:tr>
        <w:trPr>
          <w:trHeight w:val="203"/>
        </w:trPr>
        <w:tc>
          <w:tcPr>
            <w:tcW w:w="3820" w:type="dxa"/>
            <w:vAlign w:val="bottom"/>
            <w:gridSpan w:val="3"/>
          </w:tcPr>
          <w:p>
            <w:pPr>
              <w:ind w:left="20"/>
              <w:spacing w:after="0"/>
              <w:rPr>
                <w:sz w:val="20"/>
                <w:szCs w:val="20"/>
                <w:color w:val="auto"/>
              </w:rPr>
            </w:pPr>
            <w:r>
              <w:rPr>
                <w:rFonts w:ascii="Arial" w:cs="Arial" w:eastAsia="Arial" w:hAnsi="Arial"/>
                <w:sz w:val="16"/>
                <w:szCs w:val="16"/>
                <w:color w:val="auto"/>
              </w:rPr>
              <w:t>Interest expense</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1,184,326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1,228,783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2,367,489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2,597,586</w:t>
            </w:r>
          </w:p>
        </w:tc>
        <w:tc>
          <w:tcPr>
            <w:tcW w:w="0" w:type="dxa"/>
            <w:vAlign w:val="bottom"/>
          </w:tcPr>
          <w:p>
            <w:pPr>
              <w:spacing w:after="0"/>
              <w:rPr>
                <w:sz w:val="1"/>
                <w:szCs w:val="1"/>
                <w:color w:val="auto"/>
              </w:rPr>
            </w:pPr>
          </w:p>
        </w:tc>
      </w:tr>
      <w:tr>
        <w:trPr>
          <w:trHeight w:val="20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143,153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417,018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264,478</w:t>
            </w:r>
          </w:p>
        </w:tc>
        <w:tc>
          <w:tcPr>
            <w:tcW w:w="0" w:type="dxa"/>
            <w:vAlign w:val="bottom"/>
          </w:tcPr>
          <w:p>
            <w:pPr>
              <w:spacing w:after="0"/>
              <w:rPr>
                <w:sz w:val="1"/>
                <w:szCs w:val="1"/>
                <w:color w:val="auto"/>
              </w:rPr>
            </w:pPr>
          </w:p>
        </w:tc>
      </w:tr>
      <w:tr>
        <w:trPr>
          <w:trHeight w:val="203"/>
        </w:trPr>
        <w:tc>
          <w:tcPr>
            <w:tcW w:w="3820" w:type="dxa"/>
            <w:vAlign w:val="bottom"/>
            <w:gridSpan w:val="3"/>
          </w:tcPr>
          <w:p>
            <w:pPr>
              <w:ind w:left="20"/>
              <w:spacing w:after="0"/>
              <w:rPr>
                <w:sz w:val="20"/>
                <w:szCs w:val="20"/>
                <w:color w:val="auto"/>
              </w:rPr>
            </w:pPr>
            <w:r>
              <w:rPr>
                <w:rFonts w:ascii="Arial" w:cs="Arial" w:eastAsia="Arial" w:hAnsi="Arial"/>
                <w:sz w:val="16"/>
                <w:szCs w:val="16"/>
                <w:color w:val="auto"/>
                <w:w w:val="98"/>
              </w:rPr>
              <w:t>Gain on fair value adjustment for embedded derivative</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1,397,922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6,233,424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953,567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19,085,854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tcPr>
          <w:p>
            <w:pPr>
              <w:ind w:left="180"/>
              <w:spacing w:after="0"/>
              <w:rPr>
                <w:sz w:val="20"/>
                <w:szCs w:val="20"/>
                <w:color w:val="auto"/>
              </w:rPr>
            </w:pPr>
            <w:r>
              <w:rPr>
                <w:rFonts w:ascii="Arial" w:cs="Arial" w:eastAsia="Arial" w:hAnsi="Arial"/>
                <w:sz w:val="16"/>
                <w:szCs w:val="16"/>
                <w:color w:val="auto"/>
              </w:rPr>
              <w:t>Benefit for taxes on net investment loss</w:t>
            </w: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2,494,459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7,718,070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Net Investment Loss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(1,452,041)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(3,615,074)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(905,034)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(11,184,869)</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Net Realized Gains/(Losses):</w:t>
            </w: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From non-controlled/non-affiliated securities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1,104,361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13,636,614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(4,970,709)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26,855,017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Realized Gains/(Losses) on investments</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1,104,361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13,636,614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(4,970,709)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26,855,017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4"/>
              </w:rPr>
              <w:t>Provision for taxes on realized gains on investments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(5,567,830)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(10,964,904)</w:t>
            </w:r>
          </w:p>
        </w:tc>
        <w:tc>
          <w:tcPr>
            <w:tcW w:w="0" w:type="dxa"/>
            <w:vAlign w:val="bottom"/>
          </w:tcPr>
          <w:p>
            <w:pPr>
              <w:spacing w:after="0"/>
              <w:rPr>
                <w:sz w:val="1"/>
                <w:szCs w:val="1"/>
                <w:color w:val="auto"/>
              </w:rPr>
            </w:pPr>
          </w:p>
        </w:tc>
      </w:tr>
      <w:tr>
        <w:trPr>
          <w:trHeight w:val="182"/>
        </w:trPr>
        <w:tc>
          <w:tcPr>
            <w:tcW w:w="3820" w:type="dxa"/>
            <w:vAlign w:val="bottom"/>
            <w:tcBorders>
              <w:top w:val="single" w:sz="8" w:color="CCEEFF"/>
            </w:tcBorders>
            <w:gridSpan w:val="3"/>
          </w:tcPr>
          <w:p>
            <w:pPr>
              <w:ind w:left="20"/>
              <w:spacing w:after="0" w:line="182" w:lineRule="exact"/>
              <w:rPr>
                <w:sz w:val="20"/>
                <w:szCs w:val="20"/>
                <w:color w:val="auto"/>
              </w:rPr>
            </w:pPr>
            <w:r>
              <w:rPr>
                <w:rFonts w:ascii="Arial" w:cs="Arial" w:eastAsia="Arial" w:hAnsi="Arial"/>
                <w:sz w:val="16"/>
                <w:szCs w:val="16"/>
                <w:b w:val="1"/>
                <w:bCs w:val="1"/>
                <w:color w:val="auto"/>
              </w:rPr>
              <w:t>Net Change in Unrealized Appreciation/</w:t>
            </w: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Arial" w:cs="Arial" w:eastAsia="Arial" w:hAnsi="Arial"/>
                <w:sz w:val="16"/>
                <w:szCs w:val="16"/>
                <w:b w:val="1"/>
                <w:bCs w:val="1"/>
                <w:color w:val="auto"/>
              </w:rPr>
              <w:t>(Depreciation) on investments: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From controlled securities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(206,655)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(33,572)</w:t>
            </w:r>
          </w:p>
        </w:tc>
        <w:tc>
          <w:tcPr>
            <w:tcW w:w="0" w:type="dxa"/>
            <w:vAlign w:val="bottom"/>
          </w:tcPr>
          <w:p>
            <w:pPr>
              <w:spacing w:after="0"/>
              <w:rPr>
                <w:sz w:val="1"/>
                <w:szCs w:val="1"/>
                <w:color w:val="auto"/>
              </w:rPr>
            </w:pPr>
          </w:p>
        </w:tc>
      </w:tr>
      <w:tr>
        <w:trPr>
          <w:trHeight w:val="203"/>
        </w:trPr>
        <w:tc>
          <w:tcPr>
            <w:tcW w:w="3820" w:type="dxa"/>
            <w:vAlign w:val="bottom"/>
            <w:gridSpan w:val="3"/>
          </w:tcPr>
          <w:p>
            <w:pPr>
              <w:ind w:left="20"/>
              <w:spacing w:after="0"/>
              <w:rPr>
                <w:sz w:val="20"/>
                <w:szCs w:val="20"/>
                <w:color w:val="auto"/>
              </w:rPr>
            </w:pPr>
            <w:r>
              <w:rPr>
                <w:rFonts w:ascii="Arial" w:cs="Arial" w:eastAsia="Arial" w:hAnsi="Arial"/>
                <w:sz w:val="16"/>
                <w:szCs w:val="16"/>
                <w:color w:val="auto"/>
              </w:rPr>
              <w:t>From affiliated securities</w:t>
            </w: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(5,219,631)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(804,967)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(6,367,818)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(657,088)</w:t>
            </w:r>
          </w:p>
        </w:tc>
        <w:tc>
          <w:tcPr>
            <w:tcW w:w="0" w:type="dxa"/>
            <w:vAlign w:val="bottom"/>
          </w:tcPr>
          <w:p>
            <w:pPr>
              <w:spacing w:after="0"/>
              <w:rPr>
                <w:sz w:val="1"/>
                <w:szCs w:val="1"/>
                <w:color w:val="auto"/>
              </w:rPr>
            </w:pPr>
          </w:p>
        </w:tc>
      </w:tr>
      <w:tr>
        <w:trPr>
          <w:trHeight w:val="20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From non-controlled/non-affiliated securities</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(10,774,328)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(4,931,155)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8"/>
              </w:rPr>
              <w:t>(28,780,414)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22,730,342</w:t>
            </w:r>
          </w:p>
        </w:tc>
        <w:tc>
          <w:tcPr>
            <w:tcW w:w="0" w:type="dxa"/>
            <w:vAlign w:val="bottom"/>
          </w:tcPr>
          <w:p>
            <w:pPr>
              <w:spacing w:after="0"/>
              <w:rPr>
                <w:sz w:val="1"/>
                <w:szCs w:val="1"/>
                <w:color w:val="auto"/>
              </w:rPr>
            </w:pPr>
          </w:p>
        </w:tc>
      </w:tr>
      <w:tr>
        <w:trPr>
          <w:trHeight w:val="182"/>
        </w:trPr>
        <w:tc>
          <w:tcPr>
            <w:tcW w:w="3820" w:type="dxa"/>
            <w:vAlign w:val="bottom"/>
            <w:tcBorders>
              <w:top w:val="single" w:sz="8" w:color="CCEEFF"/>
            </w:tcBorders>
            <w:gridSpan w:val="3"/>
          </w:tcPr>
          <w:p>
            <w:pPr>
              <w:ind w:left="20"/>
              <w:spacing w:after="0" w:line="182" w:lineRule="exact"/>
              <w:rPr>
                <w:sz w:val="20"/>
                <w:szCs w:val="20"/>
                <w:color w:val="auto"/>
              </w:rPr>
            </w:pPr>
            <w:r>
              <w:rPr>
                <w:rFonts w:ascii="Arial" w:cs="Arial" w:eastAsia="Arial" w:hAnsi="Arial"/>
                <w:sz w:val="16"/>
                <w:szCs w:val="16"/>
                <w:b w:val="1"/>
                <w:bCs w:val="1"/>
                <w:color w:val="auto"/>
              </w:rPr>
              <w:t>Total Change in Unrealized</w:t>
            </w: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Arial" w:cs="Arial" w:eastAsia="Arial" w:hAnsi="Arial"/>
                <w:sz w:val="16"/>
                <w:szCs w:val="16"/>
                <w:b w:val="1"/>
                <w:bCs w:val="1"/>
                <w:color w:val="auto"/>
              </w:rPr>
              <w:t>Appreciation/(Depreciation) on investments</w:t>
            </w:r>
          </w:p>
        </w:tc>
        <w:tc>
          <w:tcPr>
            <w:tcW w:w="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(15,933,886)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(5,744,399)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88"/>
              </w:rPr>
              <w:t>(35,354,887)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22,039,682</w:t>
            </w:r>
          </w:p>
        </w:tc>
        <w:tc>
          <w:tcPr>
            <w:tcW w:w="0" w:type="dxa"/>
            <w:vAlign w:val="bottom"/>
          </w:tcPr>
          <w:p>
            <w:pPr>
              <w:spacing w:after="0"/>
              <w:rPr>
                <w:sz w:val="1"/>
                <w:szCs w:val="1"/>
                <w:color w:val="auto"/>
              </w:rPr>
            </w:pPr>
          </w:p>
        </w:tc>
      </w:tr>
      <w:tr>
        <w:trPr>
          <w:trHeight w:val="185"/>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(Provision)/Benefit for taxes on unrealized</w:t>
            </w: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appreciation/depreciation on investments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2,372,190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(8,998,803)</w:t>
            </w:r>
          </w:p>
        </w:tc>
        <w:tc>
          <w:tcPr>
            <w:tcW w:w="0" w:type="dxa"/>
            <w:vAlign w:val="bottom"/>
          </w:tcPr>
          <w:p>
            <w:pPr>
              <w:spacing w:after="0"/>
              <w:rPr>
                <w:sz w:val="1"/>
                <w:szCs w:val="1"/>
                <w:color w:val="auto"/>
              </w:rPr>
            </w:pPr>
          </w:p>
        </w:tc>
      </w:tr>
      <w:tr>
        <w:trPr>
          <w:trHeight w:val="185"/>
        </w:trPr>
        <w:tc>
          <w:tcPr>
            <w:tcW w:w="382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w w:val="93"/>
              </w:rPr>
              <w:t>Net Increase/(Decrease) in Net Assets Resulting from</w:t>
            </w: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Operations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(16,281,566)</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1,081,501</w:t>
            </w:r>
          </w:p>
        </w:tc>
        <w:tc>
          <w:tcPr>
            <w:tcW w:w="2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88"/>
              </w:rPr>
              <w:t>(41,230,630)</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17,746,123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2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w w:val="93"/>
              </w:rPr>
              <w:t>Net Increase/(Decrease) in Net Assets Resulting from</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Operations per Common Share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gridSpan w:val="2"/>
          </w:tcPr>
          <w:p>
            <w:pPr>
              <w:ind w:left="540"/>
              <w:spacing w:after="0"/>
              <w:rPr>
                <w:sz w:val="20"/>
                <w:szCs w:val="20"/>
                <w:color w:val="auto"/>
              </w:rPr>
            </w:pPr>
            <w:r>
              <w:rPr>
                <w:rFonts w:ascii="Arial" w:cs="Arial" w:eastAsia="Arial" w:hAnsi="Arial"/>
                <w:sz w:val="16"/>
                <w:szCs w:val="16"/>
                <w:b w:val="1"/>
                <w:bCs w:val="1"/>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(0.74)</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0.06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(1.86)</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3800" w:type="dxa"/>
            <w:vAlign w:val="bottom"/>
            <w:gridSpan w:val="2"/>
            <w:shd w:val="clear" w:color="auto" w:fill="CCEEFF"/>
          </w:tcPr>
          <w:p>
            <w:pPr>
              <w:ind w:left="540"/>
              <w:spacing w:after="0" w:line="236" w:lineRule="exact"/>
              <w:rPr>
                <w:sz w:val="20"/>
                <w:szCs w:val="20"/>
                <w:color w:val="auto"/>
              </w:rPr>
            </w:pPr>
            <w:r>
              <w:rPr>
                <w:rFonts w:ascii="Arial" w:cs="Arial" w:eastAsia="Arial" w:hAnsi="Arial"/>
                <w:sz w:val="16"/>
                <w:szCs w:val="16"/>
                <w:b w:val="1"/>
                <w:bCs w:val="1"/>
                <w:color w:val="auto"/>
              </w:rPr>
              <w:t>Diluted</w:t>
            </w:r>
            <w:r>
              <w:rPr>
                <w:rFonts w:ascii="Arial" w:cs="Arial" w:eastAsia="Arial" w:hAnsi="Arial"/>
                <w:sz w:val="27"/>
                <w:szCs w:val="27"/>
                <w:b w:val="1"/>
                <w:bCs w:val="1"/>
                <w:color w:val="auto"/>
                <w:vertAlign w:val="superscript"/>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540"/>
              <w:spacing w:after="0"/>
              <w:rPr>
                <w:sz w:val="20"/>
                <w:szCs w:val="20"/>
                <w:color w:val="auto"/>
              </w:rPr>
            </w:pPr>
            <w:r>
              <w:rPr>
                <w:rFonts w:ascii="Arial" w:cs="Arial" w:eastAsia="Arial" w:hAnsi="Arial"/>
                <w:sz w:val="16"/>
                <w:szCs w:val="16"/>
                <w:b w:val="1"/>
                <w:bCs w:val="1"/>
                <w:color w:val="auto"/>
              </w:rPr>
              <w:t>Basic</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22,181,003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19,320,100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22,181,003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7"/>
              </w:rPr>
              <w:t>19,320,100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gridSpan w:val="2"/>
          </w:tcPr>
          <w:p>
            <w:pPr>
              <w:ind w:left="540"/>
              <w:spacing w:after="0" w:line="236" w:lineRule="exact"/>
              <w:rPr>
                <w:sz w:val="20"/>
                <w:szCs w:val="20"/>
                <w:color w:val="auto"/>
              </w:rPr>
            </w:pPr>
            <w:r>
              <w:rPr>
                <w:rFonts w:ascii="Arial" w:cs="Arial" w:eastAsia="Arial" w:hAnsi="Arial"/>
                <w:sz w:val="16"/>
                <w:szCs w:val="16"/>
                <w:b w:val="1"/>
                <w:bCs w:val="1"/>
                <w:color w:val="auto"/>
              </w:rPr>
              <w:t>Diluted</w:t>
            </w:r>
            <w:r>
              <w:rPr>
                <w:rFonts w:ascii="Arial" w:cs="Arial" w:eastAsia="Arial" w:hAnsi="Arial"/>
                <w:sz w:val="27"/>
                <w:szCs w:val="27"/>
                <w:b w:val="1"/>
                <w:bCs w:val="1"/>
                <w:color w:val="auto"/>
                <w:vertAlign w:val="superscript"/>
              </w:rPr>
              <w:t>(2)</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22,181,003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19,320,100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w w:val="94"/>
              </w:rPr>
              <w:t>22,181,003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23,564,228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-5067935</wp:posOffset>
            </wp:positionV>
            <wp:extent cx="52139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-3292475</wp:posOffset>
            </wp:positionV>
            <wp:extent cx="52139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-3026410</wp:posOffset>
            </wp:positionV>
            <wp:extent cx="521398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-2752090</wp:posOffset>
            </wp:positionV>
            <wp:extent cx="5213985"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2660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-2100580</wp:posOffset>
            </wp:positionV>
            <wp:extent cx="5213985"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3985" cy="2743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-1568450</wp:posOffset>
            </wp:positionV>
            <wp:extent cx="521398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3003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-694055</wp:posOffset>
            </wp:positionV>
            <wp:extent cx="521398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16319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-402590</wp:posOffset>
            </wp:positionV>
            <wp:extent cx="5213985"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222885"/>
                    </a:xfrm>
                    <a:prstGeom prst="rect">
                      <a:avLst/>
                    </a:prstGeom>
                    <a:noFill/>
                  </pic:spPr>
                </pic:pic>
              </a:graphicData>
            </a:graphic>
          </wp:anchor>
        </w:drawing>
      </w:r>
    </w:p>
    <w:p>
      <w:pPr>
        <w:spacing w:after="0" w:line="236" w:lineRule="exact"/>
        <w:rPr>
          <w:sz w:val="20"/>
          <w:szCs w:val="20"/>
          <w:color w:val="auto"/>
        </w:rPr>
      </w:pPr>
    </w:p>
    <w:p>
      <w:pPr>
        <w:ind w:left="2200" w:right="1959" w:hanging="2172"/>
        <w:spacing w:after="0" w:line="995" w:lineRule="auto"/>
        <w:tabs>
          <w:tab w:leader="none" w:pos="30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This balance is a related-party transaction. Refer to “Note 2 — Related-Party Arrangements” for more detail. </w:t>
      </w:r>
      <w:r>
        <w:rPr>
          <w:rFonts w:ascii="Arial" w:cs="Arial" w:eastAsia="Arial" w:hAnsi="Arial"/>
          <w:sz w:val="16"/>
          <w:szCs w:val="16"/>
          <w:i w:val="1"/>
          <w:iCs w:val="1"/>
          <w:color w:val="auto"/>
        </w:rPr>
        <w:t>See accompanying notes to condensed consolidated financial statements.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CONDENSED CONSOLIDATED STATEMENTS OF OPERATIONS – (continued)</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80" w:right="579" w:hanging="272"/>
        <w:spacing w:after="0" w:line="272" w:lineRule="auto"/>
        <w:tabs>
          <w:tab w:leader="none" w:pos="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the three and six months ended June 30, 2016, 5,710,212 potentially dilutive common shares were excluded from the weighted-average common shares outstanding for diluted net increase/(decrease) in net assets resulting from operations per common share because the effect of these shares would have been anti-dilutive. For the three months ended June 30, 2015, 4,244,128 potentially dilutive common shares were excluded from the weighted-average common shares outstanding for diluted net increase in net assets resulting from operations per common share because the effect of these shares would have been anti-dilutive. Refer to “Note 5 — Net Increase/(Decrease) in Net Assets Resulting from Operations per Common Share — Basic and Diluted” for further detail.</w:t>
      </w:r>
    </w:p>
    <w:p>
      <w:pPr>
        <w:spacing w:after="0" w:line="69" w:lineRule="exact"/>
        <w:rPr>
          <w:rFonts w:ascii="Arial" w:cs="Arial" w:eastAsia="Arial" w:hAnsi="Arial"/>
          <w:sz w:val="17"/>
          <w:szCs w:val="17"/>
          <w:color w:val="auto"/>
        </w:rPr>
      </w:pPr>
    </w:p>
    <w:p>
      <w:pPr>
        <w:ind w:left="280" w:right="899" w:hanging="272"/>
        <w:spacing w:after="0" w:line="277"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income for each of the three and six months ended June 30, 2016 reflects the reversal of previously accrued interest from loans to Fullbridge, Inc.</w:t>
      </w:r>
    </w:p>
    <w:p>
      <w:pPr>
        <w:spacing w:after="0" w:line="200" w:lineRule="exact"/>
        <w:rPr>
          <w:sz w:val="20"/>
          <w:szCs w:val="20"/>
          <w:color w:val="auto"/>
        </w:rPr>
      </w:pPr>
    </w:p>
    <w:p>
      <w:pPr>
        <w:spacing w:after="0" w:line="295"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 w:name="page8"/>
    <w:bookmarkEnd w:id="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CHANGES IN NET ASSETS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968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5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5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5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14"/>
                <w:szCs w:val="14"/>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Increase/(Decrease) in Net Assets Resulting from Operations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Net investment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(905,034)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(11,184,869)</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realized gains/(losses) on investments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(4,970,709)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26,855,017</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Provision for taxes on realized gains on investments</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(10,964,904)</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 appreciation/ (depreciation) of investments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(35,354,887)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22,039,682</w:t>
            </w: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Provision for taxes on unrealized appreciation of investments</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(8,998,803)</w:t>
            </w:r>
          </w:p>
        </w:tc>
      </w:tr>
      <w:tr>
        <w:trPr>
          <w:trHeight w:val="20"/>
        </w:trPr>
        <w:tc>
          <w:tcPr>
            <w:tcW w:w="5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Increase/(Decrease) in Net Assets Resulting from Operations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(41,230,630)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17,746,123</w:t>
            </w:r>
          </w:p>
        </w:tc>
      </w:tr>
      <w:tr>
        <w:trPr>
          <w:trHeight w:val="20"/>
        </w:trPr>
        <w:tc>
          <w:tcPr>
            <w:tcW w:w="59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Total Increase/(Decrease) in Net Assets</w:t>
            </w:r>
          </w:p>
        </w:tc>
        <w:tc>
          <w:tcPr>
            <w:tcW w:w="8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(41,230,630)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17,746,123</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assets at beginning of period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268,010,945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285,903,673</w:t>
            </w:r>
          </w:p>
        </w:tc>
      </w:tr>
      <w:tr>
        <w:trPr>
          <w:trHeight w:val="20"/>
        </w:trPr>
        <w:tc>
          <w:tcPr>
            <w:tcW w:w="59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Net Assets at End of Period</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226,780,315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303,649,796</w:t>
            </w:r>
          </w:p>
        </w:tc>
      </w:tr>
      <w:tr>
        <w:trPr>
          <w:trHeight w:val="21"/>
        </w:trPr>
        <w:tc>
          <w:tcPr>
            <w:tcW w:w="5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Share Activity</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2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outstanding at beginning of period</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22,181,003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19,320,100</w:t>
            </w:r>
          </w:p>
        </w:tc>
      </w:tr>
      <w:tr>
        <w:trPr>
          <w:trHeight w:val="20"/>
        </w:trPr>
        <w:tc>
          <w:tcPr>
            <w:tcW w:w="59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920" w:type="dxa"/>
            <w:vAlign w:val="bottom"/>
          </w:tcPr>
          <w:p>
            <w:pPr>
              <w:ind w:left="20"/>
              <w:spacing w:after="0"/>
              <w:rPr>
                <w:sz w:val="20"/>
                <w:szCs w:val="20"/>
                <w:color w:val="auto"/>
              </w:rPr>
            </w:pPr>
            <w:r>
              <w:rPr>
                <w:rFonts w:ascii="Arial" w:cs="Arial" w:eastAsia="Arial" w:hAnsi="Arial"/>
                <w:sz w:val="16"/>
                <w:szCs w:val="16"/>
                <w:b w:val="1"/>
                <w:bCs w:val="1"/>
                <w:color w:val="auto"/>
              </w:rPr>
              <w:t>Shares Outstanding at End of Period</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22,181,003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19,320,100</w:t>
            </w:r>
          </w:p>
        </w:tc>
      </w:tr>
      <w:tr>
        <w:trPr>
          <w:trHeight w:val="21"/>
        </w:trPr>
        <w:tc>
          <w:tcPr>
            <w:tcW w:w="5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-994410</wp:posOffset>
            </wp:positionV>
            <wp:extent cx="521398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-728345</wp:posOffset>
            </wp:positionV>
            <wp:extent cx="521398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-170815</wp:posOffset>
            </wp:positionV>
            <wp:extent cx="521398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3985"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8" w:name="page9"/>
    <w:bookmarkEnd w:id="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wp:posOffset>
            </wp:positionV>
            <wp:extent cx="51714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Six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June 30,</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4"/>
                <w:szCs w:val="14"/>
                <w:color w:val="auto"/>
              </w:rPr>
            </w:pPr>
          </w:p>
        </w:tc>
      </w:tr>
      <w:tr>
        <w:trPr>
          <w:trHeight w:val="210"/>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Net increase/(decrease)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(41,230,630)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17,746,123</w:t>
            </w:r>
          </w:p>
        </w:tc>
      </w:tr>
      <w:tr>
        <w:trPr>
          <w:trHeight w:val="202"/>
        </w:trPr>
        <w:tc>
          <w:tcPr>
            <w:tcW w:w="5800" w:type="dxa"/>
            <w:vAlign w:val="bottom"/>
            <w:gridSpan w:val="3"/>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Adjustments to reconcile net increase/(decrease) in net assets resulting from</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shd w:val="clear" w:color="auto" w:fill="CCEEFF"/>
          </w:tcPr>
          <w:p>
            <w:pPr>
              <w:spacing w:after="0"/>
              <w:rPr>
                <w:sz w:val="20"/>
                <w:szCs w:val="20"/>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operations to net cash provided by/(used in) operating activities:</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Net realized (gains)/losses on investments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4,970,709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(26,855,017)</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change in unrealized depreciation/(appreciation) of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35,354,887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(22,039,682)</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Gain on fair value adjustment for embedded derivative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12,245,637</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Amortization of discount on Convertible Senior Notes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428,535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276,213</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203,022</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Amortization of fixed income security premiums and discounts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(37,092)</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restricted cash</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7,708</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Non-cash dividend income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(46,781)</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investments in: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360"/>
              <w:spacing w:after="0"/>
              <w:rPr>
                <w:sz w:val="20"/>
                <w:szCs w:val="20"/>
                <w:color w:val="auto"/>
              </w:rPr>
            </w:pPr>
            <w:r>
              <w:rPr>
                <w:rFonts w:ascii="Arial" w:cs="Arial" w:eastAsia="Arial" w:hAnsi="Arial"/>
                <w:sz w:val="18"/>
                <w:szCs w:val="18"/>
                <w:color w:val="auto"/>
              </w:rPr>
              <w:t>Portfolio investments</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(10,514,101)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(10,544,564)</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States treasury bills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(59,999,523)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(200,014,903)</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Proceeds from sales or maturity of investments in: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Portfolio investments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6,972,598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40,162,114</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360"/>
              <w:spacing w:after="0"/>
              <w:rPr>
                <w:sz w:val="20"/>
                <w:szCs w:val="20"/>
                <w:color w:val="auto"/>
              </w:rPr>
            </w:pPr>
            <w:r>
              <w:rPr>
                <w:rFonts w:ascii="Arial" w:cs="Arial" w:eastAsia="Arial" w:hAnsi="Arial"/>
                <w:sz w:val="18"/>
                <w:szCs w:val="18"/>
                <w:color w:val="auto"/>
              </w:rPr>
              <w:t>United States treasury bills</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60,000,000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200,000,000</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United States treasury strips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1,816,000</w:t>
            </w:r>
          </w:p>
        </w:tc>
      </w:tr>
      <w:tr>
        <w:trPr>
          <w:trHeight w:val="216"/>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shd w:val="clear" w:color="auto" w:fill="CCEEFF"/>
          </w:tcPr>
          <w:p>
            <w:pPr>
              <w:spacing w:after="0"/>
              <w:rPr>
                <w:sz w:val="22"/>
                <w:szCs w:val="22"/>
                <w:color w:val="auto"/>
              </w:rPr>
            </w:pPr>
          </w:p>
        </w:tc>
        <w:tc>
          <w:tcPr>
            <w:tcW w:w="57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Due from GSV Asset Management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219,147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203,701</w:t>
            </w:r>
          </w:p>
        </w:tc>
      </w:tr>
      <w:tr>
        <w:trPr>
          <w:trHeight w:val="257"/>
        </w:trPr>
        <w:tc>
          <w:tcPr>
            <w:tcW w:w="20" w:type="dxa"/>
            <w:vAlign w:val="bottom"/>
          </w:tcPr>
          <w:p>
            <w:pPr>
              <w:spacing w:after="0"/>
              <w:rPr>
                <w:sz w:val="22"/>
                <w:szCs w:val="22"/>
                <w:color w:val="auto"/>
              </w:rPr>
            </w:pPr>
          </w:p>
        </w:tc>
        <w:tc>
          <w:tcPr>
            <w:tcW w:w="57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Due from portfolio companies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3,879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16,985</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532,944</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Interest and dividends receivable</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(92,577)</w:t>
            </w:r>
          </w:p>
        </w:tc>
      </w:tr>
      <w:tr>
        <w:trPr>
          <w:trHeight w:val="257"/>
        </w:trPr>
        <w:tc>
          <w:tcPr>
            <w:tcW w:w="20" w:type="dxa"/>
            <w:vAlign w:val="bottom"/>
            <w:shd w:val="clear" w:color="auto" w:fill="CCEEFF"/>
          </w:tcPr>
          <w:p>
            <w:pPr>
              <w:spacing w:after="0"/>
              <w:rPr>
                <w:sz w:val="22"/>
                <w:szCs w:val="22"/>
                <w:color w:val="auto"/>
              </w:rPr>
            </w:pPr>
          </w:p>
        </w:tc>
        <w:tc>
          <w:tcPr>
            <w:tcW w:w="57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Due to GSV Asset Management</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(4,514,739)</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5,929</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Payable for securities purchased</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(500,123)</w:t>
            </w:r>
          </w:p>
        </w:tc>
      </w:tr>
      <w:tr>
        <w:trPr>
          <w:trHeight w:val="216"/>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(230,781)</w:t>
            </w:r>
          </w:p>
        </w:tc>
      </w:tr>
      <w:tr>
        <w:trPr>
          <w:trHeight w:val="257"/>
        </w:trPr>
        <w:tc>
          <w:tcPr>
            <w:tcW w:w="20" w:type="dxa"/>
            <w:vAlign w:val="bottom"/>
          </w:tcPr>
          <w:p>
            <w:pPr>
              <w:spacing w:after="0"/>
              <w:rPr>
                <w:sz w:val="22"/>
                <w:szCs w:val="22"/>
                <w:color w:val="auto"/>
              </w:rPr>
            </w:pPr>
          </w:p>
        </w:tc>
        <w:tc>
          <w:tcPr>
            <w:tcW w:w="578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Accrued incentive fees</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(8,025,808)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9,777,067</w:t>
            </w:r>
          </w:p>
        </w:tc>
      </w:tr>
      <w:tr>
        <w:trPr>
          <w:trHeight w:val="257"/>
        </w:trPr>
        <w:tc>
          <w:tcPr>
            <w:tcW w:w="20" w:type="dxa"/>
            <w:vAlign w:val="bottom"/>
            <w:shd w:val="clear" w:color="auto" w:fill="CCEEFF"/>
          </w:tcPr>
          <w:p>
            <w:pPr>
              <w:spacing w:after="0"/>
              <w:rPr>
                <w:sz w:val="22"/>
                <w:szCs w:val="22"/>
                <w:color w:val="auto"/>
              </w:rPr>
            </w:pPr>
          </w:p>
        </w:tc>
        <w:tc>
          <w:tcPr>
            <w:tcW w:w="578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Accrued management fees</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(99,951)</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28,852</w:t>
            </w:r>
          </w:p>
        </w:tc>
      </w:tr>
      <w:tr>
        <w:trPr>
          <w:trHeight w:val="216"/>
        </w:trPr>
        <w:tc>
          <w:tcPr>
            <w:tcW w:w="20" w:type="dxa"/>
            <w:vAlign w:val="bottom"/>
          </w:tcPr>
          <w:p>
            <w:pPr>
              <w:spacing w:after="0"/>
              <w:rPr>
                <w:sz w:val="18"/>
                <w:szCs w:val="18"/>
                <w:color w:val="auto"/>
              </w:rPr>
            </w:pPr>
          </w:p>
        </w:tc>
        <w:tc>
          <w:tcPr>
            <w:tcW w:w="5780" w:type="dxa"/>
            <w:vAlign w:val="bottom"/>
            <w:gridSpan w:val="2"/>
          </w:tcPr>
          <w:p>
            <w:pPr>
              <w:ind w:left="180"/>
              <w:spacing w:after="0"/>
              <w:rPr>
                <w:sz w:val="20"/>
                <w:szCs w:val="20"/>
                <w:color w:val="auto"/>
              </w:rPr>
            </w:pPr>
            <w:r>
              <w:rPr>
                <w:rFonts w:ascii="Arial" w:cs="Arial" w:eastAsia="Arial" w:hAnsi="Arial"/>
                <w:sz w:val="18"/>
                <w:szCs w:val="18"/>
                <w:color w:val="auto"/>
              </w:rPr>
              <w:t>Accrued interest payable</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(82,895)</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Cash Provided by/(Used in) Operating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(14,392,583)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22,576,880</w:t>
            </w:r>
          </w:p>
        </w:tc>
      </w:tr>
      <w:tr>
        <w:trPr>
          <w:trHeight w:val="210"/>
        </w:trPr>
        <w:tc>
          <w:tcPr>
            <w:tcW w:w="5800" w:type="dxa"/>
            <w:vAlign w:val="bottom"/>
            <w:tcBorders>
              <w:top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Borrowings under Credit Facility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6,000,000</w:t>
            </w:r>
          </w:p>
        </w:tc>
      </w:tr>
      <w:tr>
        <w:trPr>
          <w:trHeight w:val="216"/>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Repayments under Credit Facility</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(24,000,000)</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(18,000,000)</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Increase/(Decrease) in Cash</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(10,892,583)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4,576,880</w:t>
            </w:r>
          </w:p>
        </w:tc>
      </w:tr>
      <w:tr>
        <w:trPr>
          <w:trHeight w:val="216"/>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at Beginning of period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13,349,877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3,472,880</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0" w:type="dxa"/>
            <w:vAlign w:val="bottom"/>
            <w:gridSpan w:val="3"/>
          </w:tcPr>
          <w:p>
            <w:pPr>
              <w:ind w:left="20"/>
              <w:spacing w:after="0"/>
              <w:rPr>
                <w:sz w:val="20"/>
                <w:szCs w:val="20"/>
                <w:color w:val="auto"/>
              </w:rPr>
            </w:pPr>
            <w:r>
              <w:rPr>
                <w:rFonts w:ascii="Arial" w:cs="Arial" w:eastAsia="Arial" w:hAnsi="Arial"/>
                <w:sz w:val="18"/>
                <w:szCs w:val="18"/>
                <w:b w:val="1"/>
                <w:bCs w:val="1"/>
                <w:color w:val="auto"/>
              </w:rPr>
              <w:t>Cash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2,457,294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8,049,760</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1,811,250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2,680,481</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Non-Cash Operating Items: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gridSpan w:val="3"/>
          </w:tcPr>
          <w:p>
            <w:pPr>
              <w:ind w:left="20"/>
              <w:spacing w:after="0"/>
              <w:rPr>
                <w:sz w:val="20"/>
                <w:szCs w:val="20"/>
                <w:color w:val="auto"/>
              </w:rPr>
            </w:pPr>
            <w:r>
              <w:rPr>
                <w:rFonts w:ascii="Arial" w:cs="Arial" w:eastAsia="Arial" w:hAnsi="Arial"/>
                <w:sz w:val="18"/>
                <w:szCs w:val="18"/>
                <w:color w:val="auto"/>
              </w:rPr>
              <w:t>Transactions in Portfolio Company Investments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8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Structured notes converted to convertible notes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609,683</w:t>
            </w: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480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-1963420</wp:posOffset>
            </wp:positionV>
            <wp:extent cx="521398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-1397000</wp:posOffset>
            </wp:positionV>
            <wp:extent cx="521398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-1114425</wp:posOffset>
            </wp:positionV>
            <wp:extent cx="5213985"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2200" w:right="1959" w:hanging="2172"/>
        <w:spacing w:after="0" w:line="995" w:lineRule="auto"/>
        <w:tabs>
          <w:tab w:leader="none" w:pos="30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This balance is a related-party transaction. Refer to “Note 2 — Related-Party Arrangements” for more detail. </w:t>
      </w:r>
      <w:r>
        <w:rPr>
          <w:rFonts w:ascii="Arial" w:cs="Arial" w:eastAsia="Arial" w:hAnsi="Arial"/>
          <w:sz w:val="16"/>
          <w:szCs w:val="16"/>
          <w:i w:val="1"/>
          <w:iCs w:val="1"/>
          <w:color w:val="auto"/>
        </w:rPr>
        <w:t>See accompanying notes to condensed consolidated financial statements.</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153" w:gutter="0" w:footer="0" w:header="0"/>
        </w:sectPr>
      </w:pPr>
    </w:p>
    <w:bookmarkStart w:id="9" w:name="page10"/>
    <w:bookmarkEnd w:id="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Data Analysis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326,797</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1,008,968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2,422,470</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1.07%</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16,189,935</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42,799,010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18.87%</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17,198,903</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45,221,480</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19.94%</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Storage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552,486</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5,015,773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7,268,861</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3.21%</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9,999,049</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4.41%</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13,656,926</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17,267,910</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7.62%</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3"/>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Music Streaming Service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9,541</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13,599,572</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16,210,657</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7.15%</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2,961,399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14,519,519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14,435,486</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6.37%</w:t>
            </w: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PayNearMe,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Cash Payment Network</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5,480,348</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14,000,398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13,974,887</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6.16%</w:t>
            </w: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Twitter, Inc.</w:t>
            </w:r>
            <w:r>
              <w:rPr>
                <w:rFonts w:ascii="Arial" w:cs="Arial" w:eastAsia="Arial" w:hAnsi="Arial"/>
                <w:sz w:val="20"/>
                <w:szCs w:val="20"/>
                <w:b w:val="1"/>
                <w:bCs w:val="1"/>
                <w:color w:val="auto"/>
                <w:vertAlign w:val="superscript"/>
              </w:rPr>
              <w:t>**</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Communication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800,600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14,271,866</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13,538,146</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5.97%</w:t>
            </w: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Declara,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 6% Due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1100" w:type="dxa"/>
            <w:vAlign w:val="bottom"/>
            <w:gridSpan w:val="3"/>
          </w:tcPr>
          <w:p>
            <w:pPr>
              <w:ind w:left="200"/>
              <w:spacing w:after="0"/>
              <w:rPr>
                <w:sz w:val="20"/>
                <w:szCs w:val="20"/>
                <w:color w:val="auto"/>
              </w:rPr>
            </w:pPr>
            <w:r>
              <w:rPr>
                <w:rFonts w:ascii="Arial" w:cs="Arial" w:eastAsia="Arial" w:hAnsi="Arial"/>
                <w:sz w:val="14"/>
                <w:szCs w:val="14"/>
                <w:color w:val="auto"/>
                <w:w w:val="99"/>
              </w:rPr>
              <w:t>12/30/2016***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Palo Alto, CA</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2,000,000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0.88%</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Social Cognitive Learning</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4.41%</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5.29%</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126,552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2,999,978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5,953,295</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2.63%</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5,942,737</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2.62%</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11,896,032</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5.25%</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9"/>
              </w:rPr>
              <w:t>Minneapolis, MN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Mobile Device Management</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73,440</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9,999,928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11,685,548</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5.15%</w:t>
            </w: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Curious.com Inc.</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Menlo Park,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3,407,834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12,000,006</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11,637,813</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5.13%</w:t>
            </w:r>
          </w:p>
        </w:tc>
      </w:tr>
      <w:tr>
        <w:trPr>
          <w:trHeight w:val="176"/>
        </w:trPr>
        <w:tc>
          <w:tcPr>
            <w:tcW w:w="2580" w:type="dxa"/>
            <w:vAlign w:val="bottom"/>
            <w:tcBorders>
              <w:left w:val="single" w:sz="8" w:color="CCEEFF"/>
            </w:tcBorders>
            <w:gridSpan w:val="9"/>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 xml:space="preserve">Avenues Global Holdings, LLC </w:t>
            </w:r>
            <w:r>
              <w:rPr>
                <w:rFonts w:ascii="Arial" w:cs="Arial" w:eastAsia="Arial" w:hAnsi="Arial"/>
                <w:sz w:val="20"/>
                <w:szCs w:val="20"/>
                <w:b w:val="1"/>
                <w:bCs w:val="1"/>
                <w:color w:val="auto"/>
                <w:vertAlign w:val="superscript"/>
              </w:rPr>
              <w:t>(4)</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School</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10,014,270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10,151,854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10,941,240</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4.82%</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Lyft,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Peer to Peer Ridesharing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128,563</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2,503,585</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3,358,708</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1.48%</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346,266</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3,518,477</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7,349,860</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3.24%</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6,022,062</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10,708,568</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4.72%</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 xml:space="preserve">StormWind, LLC </w:t>
            </w:r>
            <w:r>
              <w:rPr>
                <w:rFonts w:ascii="Arial" w:cs="Arial" w:eastAsia="Arial" w:hAnsi="Arial"/>
                <w:sz w:val="19"/>
                <w:szCs w:val="19"/>
                <w:b w:val="1"/>
                <w:bCs w:val="1"/>
                <w:color w:val="auto"/>
                <w:vertAlign w:val="superscript"/>
              </w:rPr>
              <w:t>(2)(6)</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Scottsdale, AZ</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Interactive Learning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2,779,134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4,000,787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5,124,368</w:t>
            </w:r>
          </w:p>
        </w:tc>
        <w:tc>
          <w:tcPr>
            <w:tcW w:w="84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2.26%</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3,279,629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2,019,687</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4,925,563</w:t>
            </w:r>
          </w:p>
        </w:tc>
        <w:tc>
          <w:tcPr>
            <w:tcW w:w="840" w:type="dxa"/>
            <w:vAlign w:val="bottom"/>
            <w:tcBorders>
              <w:left w:val="single" w:sz="8" w:color="CCEEFF"/>
            </w:tcBorders>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2.17%</w:t>
            </w: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366,666</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550,683</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0.24%</w:t>
            </w: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2"/>
        </w:trPr>
        <w:tc>
          <w:tcPr>
            <w:tcW w:w="2580" w:type="dxa"/>
            <w:vAlign w:val="bottom"/>
            <w:tcBorders>
              <w:left w:val="single" w:sz="8" w:color="CCEEFF"/>
            </w:tcBorders>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10,600,614</w:t>
            </w:r>
          </w:p>
        </w:tc>
        <w:tc>
          <w:tcPr>
            <w:tcW w:w="840" w:type="dxa"/>
            <w:vAlign w:val="bottom"/>
            <w:tcBorders>
              <w:left w:val="single" w:sz="8" w:color="CCEEFF"/>
            </w:tcBorders>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4.67%</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-3841115</wp:posOffset>
            </wp:positionV>
            <wp:extent cx="5213985" cy="111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-3446780</wp:posOffset>
            </wp:positionV>
            <wp:extent cx="5213985" cy="111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-2125980</wp:posOffset>
            </wp:positionV>
            <wp:extent cx="5213985" cy="11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-1731645</wp:posOffset>
            </wp:positionV>
            <wp:extent cx="5213985" cy="11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-625475</wp:posOffset>
            </wp:positionV>
            <wp:extent cx="5213985" cy="111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-8255</wp:posOffset>
            </wp:positionV>
            <wp:extent cx="52139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0" w:name="page11"/>
    <w:bookmarkEnd w:id="1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Ozy Media,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Daily News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922,509</w:t>
            </w:r>
          </w:p>
        </w:tc>
        <w:tc>
          <w:tcPr>
            <w:tcW w:w="2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2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4,647,141</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7"/>
              </w:rPr>
              <w:t>Information Site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1,090,909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3,000,200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3,871,154</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1,517,757</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8,500,199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10,036,052</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Lytro,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7"/>
              </w:rPr>
              <w:t>Mountain View, CA</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6"/>
              </w:rPr>
              <w:t>Light Field Imaging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3,378,379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10,000,002</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10,000,002</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35"/>
        </w:trPr>
        <w:tc>
          <w:tcPr>
            <w:tcW w:w="25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Solexel, Inc. (d/b/a Beamreach Solar,</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rPr>
              <w:t>Milpitas,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tcBorders>
              <w:top w:val="single" w:sz="8" w:color="auto"/>
            </w:tcBorders>
            <w:gridSpan w:val="7"/>
          </w:tcPr>
          <w:p>
            <w:pPr>
              <w:ind w:left="180"/>
              <w:spacing w:after="0" w:line="129" w:lineRule="exact"/>
              <w:rPr>
                <w:sz w:val="20"/>
                <w:szCs w:val="20"/>
                <w:color w:val="auto"/>
              </w:rPr>
            </w:pPr>
            <w:r>
              <w:rPr>
                <w:rFonts w:ascii="Arial" w:cs="Arial" w:eastAsia="Arial" w:hAnsi="Arial"/>
                <w:sz w:val="14"/>
                <w:szCs w:val="14"/>
                <w:b w:val="1"/>
                <w:bCs w:val="1"/>
                <w:color w:val="auto"/>
              </w:rPr>
              <w:t>Inc.)</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Solar Power</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1,613,413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2,419,751</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1,565,011</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5,300,158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11,598,648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7,526,224</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14,018,399</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9,091,235</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29"/>
        </w:trPr>
        <w:tc>
          <w:tcPr>
            <w:tcW w:w="2580" w:type="dxa"/>
            <w:vAlign w:val="bottom"/>
            <w:tcBorders>
              <w:top w:val="single" w:sz="8" w:color="CCEEFF"/>
            </w:tcBorders>
            <w:gridSpan w:val="9"/>
          </w:tcPr>
          <w:p>
            <w:pPr>
              <w:ind w:left="20"/>
              <w:spacing w:after="0" w:line="129" w:lineRule="exact"/>
              <w:rPr>
                <w:sz w:val="20"/>
                <w:szCs w:val="20"/>
                <w:color w:val="auto"/>
              </w:rPr>
            </w:pPr>
            <w:r>
              <w:rPr>
                <w:rFonts w:ascii="Arial" w:cs="Arial" w:eastAsia="Arial" w:hAnsi="Arial"/>
                <w:sz w:val="14"/>
                <w:szCs w:val="14"/>
                <w:b w:val="1"/>
                <w:bCs w:val="1"/>
                <w:color w:val="auto"/>
              </w:rPr>
              <w:t>SugarCRM, Inc.</w:t>
            </w:r>
          </w:p>
        </w:tc>
        <w:tc>
          <w:tcPr>
            <w:tcW w:w="100" w:type="dxa"/>
            <w:vAlign w:val="bottom"/>
            <w:tcBorders>
              <w:top w:val="single" w:sz="8" w:color="CCEEFF"/>
            </w:tcBorders>
          </w:tcPr>
          <w:p>
            <w:pPr>
              <w:spacing w:after="0"/>
              <w:rPr>
                <w:sz w:val="11"/>
                <w:szCs w:val="11"/>
                <w:color w:val="auto"/>
              </w:rPr>
            </w:pPr>
          </w:p>
        </w:tc>
        <w:tc>
          <w:tcPr>
            <w:tcW w:w="1840" w:type="dxa"/>
            <w:vAlign w:val="bottom"/>
            <w:tcBorders>
              <w:top w:val="single" w:sz="8" w:color="CCEEFF"/>
            </w:tcBorders>
          </w:tcPr>
          <w:p>
            <w:pPr>
              <w:jc w:val="center"/>
              <w:spacing w:after="0" w:line="129" w:lineRule="exact"/>
              <w:rPr>
                <w:sz w:val="20"/>
                <w:szCs w:val="20"/>
                <w:color w:val="auto"/>
              </w:rPr>
            </w:pPr>
            <w:r>
              <w:rPr>
                <w:rFonts w:ascii="Arial" w:cs="Arial" w:eastAsia="Arial" w:hAnsi="Arial"/>
                <w:sz w:val="14"/>
                <w:szCs w:val="14"/>
                <w:color w:val="auto"/>
                <w:w w:val="95"/>
              </w:rPr>
              <w:t>Cupertino, CA</w:t>
            </w: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Customer Relationship</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373,134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1,500,522</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2,929,102</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4"/>
              </w:rPr>
              <w:t>Manager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1,524,799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5,476,502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6,041,235</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8"/>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6,977,024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8,970,337</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9"/>
          </w:tcPr>
          <w:p>
            <w:pPr>
              <w:ind w:left="20"/>
              <w:spacing w:after="0" w:line="169" w:lineRule="exact"/>
              <w:rPr>
                <w:sz w:val="20"/>
                <w:szCs w:val="20"/>
                <w:color w:val="auto"/>
              </w:rPr>
            </w:pPr>
            <w:r>
              <w:rPr>
                <w:rFonts w:ascii="Arial" w:cs="Arial" w:eastAsia="Arial" w:hAnsi="Arial"/>
                <w:sz w:val="12"/>
                <w:szCs w:val="12"/>
                <w:b w:val="1"/>
                <w:bCs w:val="1"/>
                <w:color w:val="auto"/>
              </w:rPr>
              <w:t>NestGSV, Inc. (d/b/a GSV Labs, Inc.)</w:t>
            </w:r>
            <w:r>
              <w:rPr>
                <w:rFonts w:ascii="Arial" w:cs="Arial" w:eastAsia="Arial" w:hAnsi="Arial"/>
                <w:sz w:val="19"/>
                <w:szCs w:val="19"/>
                <w:b w:val="1"/>
                <w:bCs w:val="1"/>
                <w:color w:val="auto"/>
                <w:vertAlign w:val="superscript"/>
              </w:rPr>
              <w:t>(2)</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4"/>
              </w:rPr>
              <w:t>Redwood City, CA</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5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 8% Due</w:t>
            </w:r>
          </w:p>
        </w:tc>
        <w:tc>
          <w:tcPr>
            <w:tcW w:w="1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40" w:type="dxa"/>
            <w:vAlign w:val="bottom"/>
            <w:tcBorders>
              <w:right w:val="single" w:sz="8" w:color="CCEEFF"/>
            </w:tcBorders>
            <w:gridSpan w:val="6"/>
            <w:shd w:val="clear" w:color="auto" w:fill="CCEEFF"/>
          </w:tcPr>
          <w:p>
            <w:pPr>
              <w:ind w:left="200"/>
              <w:spacing w:after="0"/>
              <w:rPr>
                <w:sz w:val="20"/>
                <w:szCs w:val="20"/>
                <w:color w:val="auto"/>
              </w:rPr>
            </w:pPr>
            <w:r>
              <w:rPr>
                <w:rFonts w:ascii="Arial" w:cs="Arial" w:eastAsia="Arial" w:hAnsi="Arial"/>
                <w:sz w:val="14"/>
                <w:szCs w:val="14"/>
                <w:color w:val="auto"/>
              </w:rPr>
              <w:t>7/31/2017***</w:t>
            </w:r>
          </w:p>
        </w:tc>
        <w:tc>
          <w:tcPr>
            <w:tcW w:w="380" w:type="dxa"/>
            <w:vAlign w:val="bottom"/>
            <w:tcBorders>
              <w:lef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Incubator</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501,164</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Unsecured Promissory Note 10% Due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00" w:type="dxa"/>
            <w:vAlign w:val="bottom"/>
            <w:gridSpan w:val="5"/>
          </w:tcPr>
          <w:p>
            <w:pPr>
              <w:ind w:left="200"/>
              <w:spacing w:after="0"/>
              <w:rPr>
                <w:sz w:val="20"/>
                <w:szCs w:val="20"/>
                <w:color w:val="auto"/>
              </w:rPr>
            </w:pPr>
            <w:r>
              <w:rPr>
                <w:rFonts w:ascii="Arial" w:cs="Arial" w:eastAsia="Arial" w:hAnsi="Arial"/>
                <w:sz w:val="14"/>
                <w:szCs w:val="14"/>
                <w:color w:val="auto"/>
                <w:w w:val="94"/>
              </w:rPr>
              <w:t>11/23/2016</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3,720,424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4,904,498</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4,706,336</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1,561,625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2,005,730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1,650,381</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0.73%</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450,001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605,500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284,626</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49"/>
        </w:trPr>
        <w:tc>
          <w:tcPr>
            <w:tcW w:w="25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1,021,778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476,377</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200,000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4"/>
              </w:rPr>
              <w:t>Preferred warrants, Series C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8"/>
          </w:tcPr>
          <w:p>
            <w:pPr>
              <w:ind w:left="180"/>
              <w:spacing w:after="0"/>
              <w:rPr>
                <w:sz w:val="20"/>
                <w:szCs w:val="20"/>
                <w:color w:val="auto"/>
              </w:rPr>
            </w:pPr>
            <w:r>
              <w:rPr>
                <w:rFonts w:ascii="Arial" w:cs="Arial" w:eastAsia="Arial" w:hAnsi="Arial"/>
                <w:sz w:val="14"/>
                <w:szCs w:val="14"/>
                <w:color w:val="auto"/>
              </w:rPr>
              <w:t>Price, Expiration Date 4/4/2019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41,250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0"/>
        </w:trPr>
        <w:tc>
          <w:tcPr>
            <w:tcW w:w="25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4"/>
              </w:rPr>
              <w:t>Preferred warrants, Series D – $1.33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Price, Expiration Date 10/6/2019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9,539,670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8,338,970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29"/>
        </w:trPr>
        <w:tc>
          <w:tcPr>
            <w:tcW w:w="2580" w:type="dxa"/>
            <w:vAlign w:val="bottom"/>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Dataminr,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Social Media Analytics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301,369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1,100,909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1,535,648</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904,977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2,063,356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4,611,377</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3,164,265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6,147,025</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69"/>
        </w:trPr>
        <w:tc>
          <w:tcPr>
            <w:tcW w:w="2580" w:type="dxa"/>
            <w:vAlign w:val="bottom"/>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Chegg, Inc.</w:t>
            </w:r>
            <w:r>
              <w:rPr>
                <w:rFonts w:ascii="Arial" w:cs="Arial" w:eastAsia="Arial" w:hAnsi="Arial"/>
                <w:sz w:val="19"/>
                <w:szCs w:val="19"/>
                <w:b w:val="1"/>
                <w:bCs w:val="1"/>
                <w:color w:val="auto"/>
                <w:vertAlign w:val="superscript"/>
              </w:rPr>
              <w:t>**</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Santa Clara, CA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Textbook Rental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1,182,792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96"/>
              </w:rPr>
              <w:t>14,022,863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5,913,960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Menlo Park,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Online Shopping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1,681,520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4,000,280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5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879,198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1,002,440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1,439,400</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8"/>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5,002,720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5,439,400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29"/>
        </w:trPr>
        <w:tc>
          <w:tcPr>
            <w:tcW w:w="2580" w:type="dxa"/>
            <w:vAlign w:val="bottom"/>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4"/>
              </w:rPr>
              <w:t>Redwood City,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2,145,509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5,000,001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5,421,614</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35"/>
        </w:trPr>
        <w:tc>
          <w:tcPr>
            <w:tcW w:w="25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Knewton,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lef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gridSpan w:val="9"/>
          </w:tcPr>
          <w:p>
            <w:pPr>
              <w:ind w:left="20"/>
              <w:spacing w:after="0"/>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Online Education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375,985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4,999,999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4,953,723</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-3940175</wp:posOffset>
            </wp:positionV>
            <wp:extent cx="5213985"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-3262630</wp:posOffset>
            </wp:positionV>
            <wp:extent cx="5213985"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-2867660</wp:posOffset>
            </wp:positionV>
            <wp:extent cx="521398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-1513205</wp:posOffset>
            </wp:positionV>
            <wp:extent cx="5213985" cy="1117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-1118235</wp:posOffset>
            </wp:positionV>
            <wp:extent cx="5213985" cy="111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-509905</wp:posOffset>
            </wp:positionV>
            <wp:extent cx="5213985" cy="111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1" w:name="page12"/>
    <w:bookmarkEnd w:id="1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21"/>
        </w:trPr>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177"/>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69"/>
        </w:trPr>
        <w:tc>
          <w:tcPr>
            <w:tcW w:w="2580" w:type="dxa"/>
            <w:vAlign w:val="bottom"/>
            <w:tcBorders>
              <w:left w:val="single" w:sz="8" w:color="CCEEFF"/>
            </w:tcBorders>
            <w:gridSpan w:val="7"/>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GSV Sustainability Partners</w:t>
            </w:r>
            <w:r>
              <w:rPr>
                <w:rFonts w:ascii="Arial" w:cs="Arial" w:eastAsia="Arial" w:hAnsi="Arial"/>
                <w:sz w:val="19"/>
                <w:szCs w:val="19"/>
                <w:b w:val="1"/>
                <w:bCs w:val="1"/>
                <w:color w:val="auto"/>
                <w:vertAlign w:val="superscript"/>
              </w:rPr>
              <w:t>(2)</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Clean Technology</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14,300,000</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7,151,412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4,726,711</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2.08%</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7,161,412</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4,726,711</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2.08%</w:t>
            </w:r>
          </w:p>
        </w:tc>
      </w:tr>
      <w:tr>
        <w:trPr>
          <w:trHeight w:val="169"/>
        </w:trPr>
        <w:tc>
          <w:tcPr>
            <w:tcW w:w="2580" w:type="dxa"/>
            <w:vAlign w:val="bottom"/>
            <w:tcBorders>
              <w:left w:val="single" w:sz="8" w:color="CCEEFF"/>
            </w:tcBorders>
            <w:gridSpan w:val="7"/>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Whittle Schools, LLC</w:t>
            </w:r>
            <w:r>
              <w:rPr>
                <w:rFonts w:ascii="Arial" w:cs="Arial" w:eastAsia="Arial" w:hAnsi="Arial"/>
                <w:sz w:val="19"/>
                <w:szCs w:val="19"/>
                <w:b w:val="1"/>
                <w:bCs w:val="1"/>
                <w:color w:val="auto"/>
                <w:vertAlign w:val="superscript"/>
              </w:rPr>
              <w:t>(1)(5)</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67"/>
        </w:trPr>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School</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1.32%</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1,577,097</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0.66%</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4,577,097</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4,500,000</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1.98%</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Scottsdale, AZ</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E-Transcript Exchange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3,200,512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4,000,982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4,000,000</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1.76%</w:t>
            </w:r>
          </w:p>
        </w:tc>
      </w:tr>
      <w:tr>
        <w:trPr>
          <w:trHeight w:val="135"/>
        </w:trPr>
        <w:tc>
          <w:tcPr>
            <w:tcW w:w="2580" w:type="dxa"/>
            <w:vAlign w:val="bottom"/>
            <w:tcBorders>
              <w:left w:val="single" w:sz="8" w:color="CCEEFF"/>
            </w:tcBorders>
            <w:gridSpan w:val="7"/>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Snapchat,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Venice,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F</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Communication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130,208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4,002,270</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3,999,990</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1.76%</w:t>
            </w:r>
          </w:p>
        </w:tc>
      </w:tr>
      <w:tr>
        <w:trPr>
          <w:trHeight w:val="176"/>
        </w:trPr>
        <w:tc>
          <w:tcPr>
            <w:tcW w:w="2580" w:type="dxa"/>
            <w:vAlign w:val="bottom"/>
            <w:tcBorders>
              <w:left w:val="single" w:sz="8" w:color="CCEEFF"/>
            </w:tcBorders>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CUX, Inc. (d/b/a CorpU)</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Senior Subordinated Convertible</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58"/>
        </w:trPr>
        <w:tc>
          <w:tcPr>
            <w:tcW w:w="2580" w:type="dxa"/>
            <w:vAlign w:val="bottom"/>
            <w:gridSpan w:val="7"/>
          </w:tcPr>
          <w:p>
            <w:pPr>
              <w:ind w:left="200"/>
              <w:spacing w:after="0" w:line="159" w:lineRule="exact"/>
              <w:rPr>
                <w:sz w:val="20"/>
                <w:szCs w:val="20"/>
                <w:color w:val="auto"/>
              </w:rPr>
            </w:pPr>
            <w:r>
              <w:rPr>
                <w:rFonts w:ascii="Arial" w:cs="Arial" w:eastAsia="Arial" w:hAnsi="Arial"/>
                <w:sz w:val="14"/>
                <w:szCs w:val="14"/>
                <w:color w:val="auto"/>
                <w:w w:val="95"/>
              </w:rPr>
              <w:t>Promissory Note 8% Due 11/26/2018***</w:t>
            </w: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1"/>
        </w:trPr>
        <w:tc>
          <w:tcPr>
            <w:tcW w:w="720" w:type="dxa"/>
            <w:vAlign w:val="bottom"/>
          </w:tcPr>
          <w:p>
            <w:pPr>
              <w:ind w:left="200"/>
              <w:spacing w:after="0"/>
              <w:rPr>
                <w:sz w:val="20"/>
                <w:szCs w:val="20"/>
                <w:color w:val="auto"/>
              </w:rPr>
            </w:pPr>
            <w:r>
              <w:rPr>
                <w:rFonts w:ascii="Arial" w:cs="Arial" w:eastAsia="Arial" w:hAnsi="Arial"/>
                <w:sz w:val="12"/>
                <w:szCs w:val="12"/>
                <w:color w:val="auto"/>
              </w:rPr>
              <w:t>(9)</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Corporate Education</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1,080,000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1,080,000</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0.48%</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778,607</w:t>
            </w:r>
          </w:p>
        </w:tc>
        <w:tc>
          <w:tcPr>
            <w:tcW w:w="980" w:type="dxa"/>
            <w:vAlign w:val="bottom"/>
            <w:tcBorders>
              <w:righ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775,861</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0.34%</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2,006,077</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1,913,484</w:t>
            </w:r>
          </w:p>
        </w:tc>
        <w:tc>
          <w:tcPr>
            <w:tcW w:w="7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0.84%</w:t>
            </w:r>
          </w:p>
        </w:tc>
      </w:tr>
      <w:tr>
        <w:trPr>
          <w:trHeight w:val="130"/>
        </w:trPr>
        <w:tc>
          <w:tcPr>
            <w:tcW w:w="2580" w:type="dxa"/>
            <w:vAlign w:val="bottom"/>
            <w:tcBorders>
              <w:left w:val="single" w:sz="8" w:color="CCEEFF"/>
            </w:tcBorders>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$4.59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2/25/2018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2,874</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3,864,684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3,772,219</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1.66%</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DogVacay,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5"/>
              </w:rPr>
              <w:t>Santa Monica,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Dog Boarding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514,562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2,506,119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2,500,771</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1.11%</w:t>
            </w:r>
          </w:p>
        </w:tc>
      </w:tr>
      <w:tr>
        <w:trPr>
          <w:trHeight w:val="135"/>
        </w:trPr>
        <w:tc>
          <w:tcPr>
            <w:tcW w:w="2580" w:type="dxa"/>
            <w:vAlign w:val="bottom"/>
            <w:tcBorders>
              <w:left w:val="single" w:sz="8" w:color="CCEEFF"/>
            </w:tcBorders>
            <w:gridSpan w:val="7"/>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SharesPost,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4"/>
              </w:rPr>
              <w:t>San Bruno,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Marketplace Finance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2,259,716</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2,249,999</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0.99%</w:t>
            </w:r>
          </w:p>
        </w:tc>
      </w:tr>
      <w:tr>
        <w:trPr>
          <w:trHeight w:val="130"/>
        </w:trPr>
        <w:tc>
          <w:tcPr>
            <w:tcW w:w="2580" w:type="dxa"/>
            <w:vAlign w:val="bottom"/>
            <w:tcBorders>
              <w:left w:val="single" w:sz="8" w:color="CCEEFF"/>
            </w:tcBorders>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6/15/2018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23,128</w:t>
            </w:r>
          </w:p>
        </w:tc>
        <w:tc>
          <w:tcPr>
            <w:tcW w:w="120" w:type="dxa"/>
            <w:vAlign w:val="bottom"/>
            <w:shd w:val="clear" w:color="auto" w:fill="CCEEFF"/>
          </w:tcPr>
          <w:p>
            <w:pPr>
              <w:spacing w:after="0"/>
              <w:rPr>
                <w:sz w:val="14"/>
                <w:szCs w:val="14"/>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138,768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0.06%</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2,282,844</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2,388,767</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1.05%</w:t>
            </w:r>
          </w:p>
        </w:tc>
      </w:tr>
      <w:tr>
        <w:trPr>
          <w:trHeight w:val="169"/>
        </w:trPr>
        <w:tc>
          <w:tcPr>
            <w:tcW w:w="2580" w:type="dxa"/>
            <w:vAlign w:val="bottom"/>
            <w:tcBorders>
              <w:left w:val="single" w:sz="8" w:color="CCEEFF"/>
            </w:tcBorders>
            <w:gridSpan w:val="7"/>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Knowledge Networks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318,979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2,000,447</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1,999,998</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0.88%</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217,206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249,691</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0.11%</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2,217,653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2,249,689</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0.99%</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5"/>
              </w:rPr>
              <w:t>Bellevue, WA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7,159,221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1,502,362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1,271,818</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0.56%</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635,909</w:t>
            </w:r>
          </w:p>
        </w:tc>
        <w:tc>
          <w:tcPr>
            <w:tcW w:w="7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0.28%</w:t>
            </w:r>
          </w:p>
        </w:tc>
      </w:tr>
      <w:tr>
        <w:trPr>
          <w:trHeight w:val="20"/>
        </w:trPr>
        <w:tc>
          <w:tcPr>
            <w:tcW w:w="7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1,907,727</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0.84%</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Software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2,000,601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1,549,493</w:t>
            </w:r>
          </w:p>
        </w:tc>
        <w:tc>
          <w:tcPr>
            <w:tcW w:w="78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0.68%</w:t>
            </w:r>
          </w:p>
        </w:tc>
      </w:tr>
      <w:tr>
        <w:trPr>
          <w:trHeight w:val="176"/>
        </w:trPr>
        <w:tc>
          <w:tcPr>
            <w:tcW w:w="2580" w:type="dxa"/>
            <w:vAlign w:val="bottom"/>
            <w:tcBorders>
              <w:left w:val="single" w:sz="8" w:color="CCEEFF"/>
            </w:tcBorders>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Strategic Data Command, LLC</w:t>
            </w:r>
            <w:r>
              <w:rPr>
                <w:rFonts w:ascii="Arial" w:cs="Arial" w:eastAsia="Arial" w:hAnsi="Arial"/>
                <w:sz w:val="20"/>
                <w:szCs w:val="20"/>
                <w:b w:val="1"/>
                <w:bCs w:val="1"/>
                <w:color w:val="auto"/>
                <w:vertAlign w:val="superscript"/>
              </w:rPr>
              <w:t>(1)(7)</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720" w:type="dxa"/>
            <w:vAlign w:val="bottom"/>
            <w:tcBorders>
              <w:left w:val="single" w:sz="8" w:color="CCEEFF"/>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76"/>
        </w:trPr>
        <w:tc>
          <w:tcPr>
            <w:tcW w:w="2580" w:type="dxa"/>
            <w:vAlign w:val="bottom"/>
            <w:gridSpan w:val="7"/>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Software Development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2,400,000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989,277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1,207,400</w:t>
            </w: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0.54%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-3820160</wp:posOffset>
            </wp:positionV>
            <wp:extent cx="5213985" cy="111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-3305175</wp:posOffset>
            </wp:positionV>
            <wp:extent cx="5213985" cy="1117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-2027555</wp:posOffset>
            </wp:positionV>
            <wp:extent cx="5213985"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-1350010</wp:posOffset>
            </wp:positionV>
            <wp:extent cx="5213985"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-929640</wp:posOffset>
            </wp:positionV>
            <wp:extent cx="5213985"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-535305</wp:posOffset>
            </wp:positionV>
            <wp:extent cx="5213985" cy="1117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5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Promissory Note 12%, 11/17/2016***</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Sports Analytics</w:t>
            </w:r>
          </w:p>
        </w:tc>
        <w:tc>
          <w:tcPr>
            <w:tcW w:w="2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25,000</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26,544</w:t>
            </w:r>
          </w:p>
        </w:tc>
        <w:tc>
          <w:tcPr>
            <w:tcW w:w="2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26,544</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1,864,495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1,777,576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1,066,293</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30"/>
        </w:trPr>
        <w:tc>
          <w:tcPr>
            <w:tcW w:w="258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Arial" w:cs="Arial" w:eastAsia="Arial" w:hAnsi="Arial"/>
                <w:sz w:val="14"/>
                <w:szCs w:val="14"/>
                <w:color w:val="auto"/>
              </w:rPr>
              <w:t>Expiration Date 11/18/2022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5,360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Expiration Date 8/29/2021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175,815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5,274</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1,158</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Expiration Date 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4,824</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31,354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20,000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9"/>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1,836,050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1,124,254</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0"/>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8"/>
              </w:rPr>
              <w:t>Cambridge, MA</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580" w:type="dxa"/>
            <w:vAlign w:val="bottom"/>
            <w:gridSpan w:val="10"/>
            <w:shd w:val="clear" w:color="auto" w:fill="CCEEFF"/>
          </w:tcPr>
          <w:p>
            <w:pPr>
              <w:ind w:left="20"/>
              <w:spacing w:after="0" w:line="133" w:lineRule="exact"/>
              <w:rPr>
                <w:sz w:val="20"/>
                <w:szCs w:val="20"/>
                <w:color w:val="auto"/>
              </w:rPr>
            </w:pPr>
            <w:r>
              <w:rPr>
                <w:rFonts w:ascii="Arial" w:cs="Arial" w:eastAsia="Arial" w:hAnsi="Arial"/>
                <w:sz w:val="14"/>
                <w:szCs w:val="14"/>
                <w:color w:val="auto"/>
              </w:rPr>
              <w:t>Convertible Promissory Note 10% Due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880" w:type="dxa"/>
            <w:vAlign w:val="bottom"/>
            <w:tcBorders>
              <w:right w:val="single" w:sz="8" w:color="CCEEFF"/>
            </w:tcBorders>
            <w:gridSpan w:val="4"/>
            <w:shd w:val="clear" w:color="auto" w:fill="CCEEFF"/>
          </w:tcPr>
          <w:p>
            <w:pPr>
              <w:ind w:left="200"/>
              <w:spacing w:after="0" w:line="198" w:lineRule="exact"/>
              <w:rPr>
                <w:sz w:val="20"/>
                <w:szCs w:val="20"/>
                <w:color w:val="auto"/>
              </w:rPr>
            </w:pPr>
            <w:r>
              <w:rPr>
                <w:rFonts w:ascii="Arial" w:cs="Arial" w:eastAsia="Arial" w:hAnsi="Arial"/>
                <w:sz w:val="14"/>
                <w:szCs w:val="14"/>
                <w:color w:val="auto"/>
                <w:w w:val="88"/>
              </w:rPr>
              <w:t>3/2/2016</w:t>
            </w:r>
            <w:r>
              <w:rPr>
                <w:rFonts w:ascii="Arial" w:cs="Arial" w:eastAsia="Arial" w:hAnsi="Arial"/>
                <w:sz w:val="22"/>
                <w:szCs w:val="22"/>
                <w:color w:val="auto"/>
                <w:w w:val="88"/>
                <w:vertAlign w:val="superscript"/>
              </w:rPr>
              <w:t>(3)</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Business Education</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1,030,507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1,021,259</w:t>
            </w:r>
          </w:p>
        </w:tc>
        <w:tc>
          <w:tcPr>
            <w:tcW w:w="1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216,862</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0"/>
        </w:trPr>
        <w:tc>
          <w:tcPr>
            <w:tcW w:w="2580" w:type="dxa"/>
            <w:vAlign w:val="bottom"/>
            <w:gridSpan w:val="10"/>
          </w:tcPr>
          <w:p>
            <w:pPr>
              <w:ind w:left="20"/>
              <w:spacing w:after="0" w:line="140" w:lineRule="exact"/>
              <w:rPr>
                <w:sz w:val="20"/>
                <w:szCs w:val="20"/>
                <w:color w:val="auto"/>
              </w:rPr>
            </w:pPr>
            <w:r>
              <w:rPr>
                <w:rFonts w:ascii="Arial" w:cs="Arial" w:eastAsia="Arial" w:hAnsi="Arial"/>
                <w:sz w:val="14"/>
                <w:szCs w:val="14"/>
                <w:color w:val="auto"/>
              </w:rPr>
              <w:t>Convertible Promissory Note 10% Due</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60" w:type="dxa"/>
            <w:vAlign w:val="bottom"/>
            <w:gridSpan w:val="5"/>
          </w:tcPr>
          <w:p>
            <w:pPr>
              <w:ind w:left="200"/>
              <w:spacing w:after="0" w:line="198" w:lineRule="exact"/>
              <w:rPr>
                <w:sz w:val="20"/>
                <w:szCs w:val="20"/>
                <w:color w:val="auto"/>
              </w:rPr>
            </w:pPr>
            <w:r>
              <w:rPr>
                <w:rFonts w:ascii="Arial" w:cs="Arial" w:eastAsia="Arial" w:hAnsi="Arial"/>
                <w:sz w:val="14"/>
                <w:szCs w:val="14"/>
                <w:color w:val="auto"/>
                <w:w w:val="92"/>
              </w:rPr>
              <w:t>3/14/2017</w:t>
            </w:r>
            <w:r>
              <w:rPr>
                <w:rFonts w:ascii="Arial" w:cs="Arial" w:eastAsia="Arial" w:hAnsi="Arial"/>
                <w:sz w:val="22"/>
                <w:szCs w:val="22"/>
                <w:color w:val="auto"/>
                <w:w w:val="92"/>
                <w:vertAlign w:val="superscript"/>
              </w:rPr>
              <w:t>(3)</w:t>
            </w: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905,986</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1,655,167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2,957,062</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8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1,728,724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3,193,444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Expiration Date 3/2/2020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283,106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35,767</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Arial" w:cs="Arial" w:eastAsia="Arial" w:hAnsi="Arial"/>
                <w:sz w:val="14"/>
                <w:szCs w:val="14"/>
                <w:color w:val="auto"/>
              </w:rPr>
              <w:t>Expiration Date 3/22/2020</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186,170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23,521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Expiration Date 5/16/2019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192,308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24,296</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Arial" w:cs="Arial" w:eastAsia="Arial" w:hAnsi="Arial"/>
                <w:sz w:val="14"/>
                <w:szCs w:val="14"/>
                <w:color w:val="auto"/>
              </w:rPr>
              <w:t>Expiration Date 4/3/2019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412,088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52,063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Expiration Date 10/10/2018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82,418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0"/>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9"/>
          </w:tcPr>
          <w:p>
            <w:pPr>
              <w:ind w:left="180"/>
              <w:spacing w:after="0"/>
              <w:rPr>
                <w:sz w:val="20"/>
                <w:szCs w:val="20"/>
                <w:color w:val="auto"/>
              </w:rPr>
            </w:pPr>
            <w:r>
              <w:rPr>
                <w:rFonts w:ascii="Arial" w:cs="Arial" w:eastAsia="Arial" w:hAnsi="Arial"/>
                <w:sz w:val="14"/>
                <w:szCs w:val="14"/>
                <w:color w:val="auto"/>
              </w:rPr>
              <w:t>Expiration Date 12/11/2018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82,418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0"/>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9"/>
            <w:shd w:val="clear" w:color="auto" w:fill="CCEEFF"/>
          </w:tcPr>
          <w:p>
            <w:pPr>
              <w:ind w:left="180"/>
              <w:spacing w:after="0"/>
              <w:rPr>
                <w:sz w:val="20"/>
                <w:szCs w:val="20"/>
                <w:color w:val="auto"/>
              </w:rPr>
            </w:pPr>
            <w:r>
              <w:rPr>
                <w:rFonts w:ascii="Arial" w:cs="Arial" w:eastAsia="Arial" w:hAnsi="Arial"/>
                <w:sz w:val="14"/>
                <w:szCs w:val="14"/>
                <w:color w:val="auto"/>
              </w:rPr>
              <w:t>Expiration Date 2/18/2019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714,286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90,242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9"/>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8,418,479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1,122,848</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r>
        <w:trPr>
          <w:trHeight w:val="169"/>
        </w:trPr>
        <w:tc>
          <w:tcPr>
            <w:tcW w:w="2580" w:type="dxa"/>
            <w:vAlign w:val="bottom"/>
            <w:gridSpan w:val="10"/>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EdSurge,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Burlingame, CA</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Education Media Platform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378,788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501,360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530,887</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49"/>
        </w:trPr>
        <w:tc>
          <w:tcPr>
            <w:tcW w:w="25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494,365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500,801</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549,758</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9"/>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1,002,161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1,080,645</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29"/>
        </w:trPr>
        <w:tc>
          <w:tcPr>
            <w:tcW w:w="25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88"/>
              </w:rPr>
              <w:t>San Jose,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Computer Software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534,162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309,310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838,393</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35"/>
        </w:trPr>
        <w:tc>
          <w:tcPr>
            <w:tcW w:w="25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6"/>
              </w:rPr>
              <w:t>Marina Del Rey,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Financial Services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18,009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1,001,815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800,141</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35"/>
        </w:trPr>
        <w:tc>
          <w:tcPr>
            <w:tcW w:w="25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4C Insights (f/k/a The Echo Systems</w:t>
            </w:r>
          </w:p>
        </w:tc>
        <w:tc>
          <w:tcPr>
            <w:tcW w:w="100" w:type="dxa"/>
            <w:vAlign w:val="bottom"/>
            <w:shd w:val="clear" w:color="auto" w:fill="CCEEFF"/>
          </w:tcPr>
          <w:p>
            <w:pPr>
              <w:spacing w:after="0"/>
              <w:rPr>
                <w:sz w:val="11"/>
                <w:szCs w:val="11"/>
                <w:color w:val="auto"/>
              </w:rPr>
            </w:pP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220" w:type="dxa"/>
            <w:vAlign w:val="bottom"/>
            <w:tcBorders>
              <w:top w:val="single" w:sz="8" w:color="auto"/>
            </w:tcBorders>
            <w:gridSpan w:val="8"/>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CCEEFF"/>
            </w:tcBorders>
            <w:vMerge w:val="continue"/>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Data Platform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512,365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1,436,404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569,646</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76"/>
        </w:trPr>
        <w:tc>
          <w:tcPr>
            <w:tcW w:w="2580" w:type="dxa"/>
            <w:vAlign w:val="bottom"/>
            <w:gridSpan w:val="10"/>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Cricket Media (f/k/a ePals Inc.)</w:t>
            </w:r>
            <w:r>
              <w:rPr>
                <w:rFonts w:ascii="Arial" w:cs="Arial" w:eastAsia="Arial" w:hAnsi="Arial"/>
                <w:sz w:val="20"/>
                <w:szCs w:val="20"/>
                <w:b w:val="1"/>
                <w:bCs w:val="1"/>
                <w:color w:val="auto"/>
                <w:vertAlign w:val="superscript"/>
              </w:rPr>
              <w:t>(11)</w:t>
            </w:r>
          </w:p>
        </w:tc>
        <w:tc>
          <w:tcPr>
            <w:tcW w:w="100" w:type="dxa"/>
            <w:vAlign w:val="bottom"/>
            <w:shd w:val="clear" w:color="auto" w:fill="CCEEFF"/>
          </w:tcPr>
          <w:p>
            <w:pPr>
              <w:spacing w:after="0"/>
              <w:rPr>
                <w:sz w:val="15"/>
                <w:szCs w:val="15"/>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Herndon, VA</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580" w:type="dxa"/>
            <w:vAlign w:val="bottom"/>
            <w:gridSpan w:val="10"/>
          </w:tcPr>
          <w:p>
            <w:pPr>
              <w:ind w:left="20"/>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Online Education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1,333,333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2,448,959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143,733</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-3493770</wp:posOffset>
            </wp:positionV>
            <wp:extent cx="521398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-1427480</wp:posOffset>
            </wp:positionV>
            <wp:extent cx="5213985" cy="1117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-1007110</wp:posOffset>
            </wp:positionV>
            <wp:extent cx="5213985" cy="111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21"/>
        </w:trPr>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680" w:type="dxa"/>
            <w:vAlign w:val="bottom"/>
            <w:tcBorders>
              <w:left w:val="single" w:sz="8" w:color="CCEEFF"/>
            </w:tcBorders>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Earlyshares.com, Inc.</w:t>
            </w: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Miami, FL</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80" w:type="dxa"/>
            <w:vAlign w:val="bottom"/>
            <w:gridSpan w:val="11"/>
          </w:tcPr>
          <w:p>
            <w:pPr>
              <w:ind w:left="20"/>
              <w:spacing w:after="0" w:line="133" w:lineRule="exact"/>
              <w:rPr>
                <w:sz w:val="20"/>
                <w:szCs w:val="20"/>
                <w:color w:val="auto"/>
              </w:rPr>
            </w:pPr>
            <w:r>
              <w:rPr>
                <w:rFonts w:ascii="Arial" w:cs="Arial" w:eastAsia="Arial" w:hAnsi="Arial"/>
                <w:sz w:val="14"/>
                <w:szCs w:val="14"/>
                <w:color w:val="auto"/>
              </w:rPr>
              <w:t>Convertible Promissory Note 5%,</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260" w:type="dxa"/>
            <w:vAlign w:val="bottom"/>
            <w:gridSpan w:val="5"/>
          </w:tcPr>
          <w:p>
            <w:pPr>
              <w:ind w:left="200"/>
              <w:spacing w:after="0" w:line="198" w:lineRule="exact"/>
              <w:rPr>
                <w:sz w:val="20"/>
                <w:szCs w:val="20"/>
                <w:color w:val="auto"/>
              </w:rPr>
            </w:pPr>
            <w:r>
              <w:rPr>
                <w:rFonts w:ascii="Arial" w:cs="Arial" w:eastAsia="Arial" w:hAnsi="Arial"/>
                <w:sz w:val="14"/>
                <w:szCs w:val="14"/>
                <w:color w:val="auto"/>
              </w:rPr>
              <w:t>8/2/2016***</w:t>
            </w:r>
            <w:r>
              <w:rPr>
                <w:rFonts w:ascii="Arial" w:cs="Arial" w:eastAsia="Arial" w:hAnsi="Arial"/>
                <w:sz w:val="22"/>
                <w:szCs w:val="22"/>
                <w:color w:val="auto"/>
                <w:vertAlign w:val="superscript"/>
              </w:rPr>
              <w:t>(10)</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7"/>
              </w:rPr>
              <w:t>Equity Crowdfunding</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50,000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50,840</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50,840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680" w:type="dxa"/>
            <w:vAlign w:val="bottom"/>
            <w:tcBorders>
              <w:left w:val="single" w:sz="8" w:color="CCEEFF"/>
            </w:tcBorders>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165,715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261,598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0"/>
              <w:spacing w:after="0" w:line="142" w:lineRule="exact"/>
              <w:rPr>
                <w:sz w:val="20"/>
                <w:szCs w:val="20"/>
                <w:color w:val="auto"/>
              </w:rPr>
            </w:pPr>
            <w:r>
              <w:rPr>
                <w:rFonts w:ascii="Arial" w:cs="Arial" w:eastAsia="Arial" w:hAnsi="Arial"/>
                <w:sz w:val="14"/>
                <w:szCs w:val="14"/>
                <w:color w:val="auto"/>
              </w:rPr>
              <w:t>Total</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312,438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50,840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29"/>
        </w:trPr>
        <w:tc>
          <w:tcPr>
            <w:tcW w:w="2680" w:type="dxa"/>
            <w:vAlign w:val="bottom"/>
            <w:tcBorders>
              <w:left w:val="single" w:sz="8" w:color="CCEEFF"/>
            </w:tcBorders>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Upwork Global Inc. (f/k/a Odesk</w:t>
            </w:r>
          </w:p>
        </w:tc>
        <w:tc>
          <w:tcPr>
            <w:tcW w:w="18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Redwood City,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40" w:type="dxa"/>
            <w:vAlign w:val="bottom"/>
            <w:tcBorders>
              <w:top w:val="single" w:sz="8" w:color="auto"/>
              <w:left w:val="single" w:sz="8" w:color="CCEEFF"/>
              <w:right w:val="single" w:sz="8" w:color="CCEEFF"/>
            </w:tcBorders>
            <w:gridSpan w:val="7"/>
            <w:shd w:val="clear" w:color="auto" w:fill="CCEEFF"/>
          </w:tcPr>
          <w:p>
            <w:pPr>
              <w:ind w:left="200"/>
              <w:spacing w:after="0" w:line="129" w:lineRule="exact"/>
              <w:rPr>
                <w:sz w:val="20"/>
                <w:szCs w:val="20"/>
                <w:color w:val="auto"/>
              </w:rPr>
            </w:pPr>
            <w:r>
              <w:rPr>
                <w:rFonts w:ascii="Arial" w:cs="Arial" w:eastAsia="Arial" w:hAnsi="Arial"/>
                <w:sz w:val="14"/>
                <w:szCs w:val="14"/>
                <w:b w:val="1"/>
                <w:bCs w:val="1"/>
                <w:color w:val="auto"/>
              </w:rPr>
              <w:t>Corporation)</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gridSpan w:val="2"/>
            <w:shd w:val="clear" w:color="auto" w:fill="CCEEFF"/>
          </w:tcPr>
          <w:p>
            <w:pPr>
              <w:spacing w:after="0"/>
              <w:rPr>
                <w:sz w:val="11"/>
                <w:szCs w:val="11"/>
                <w:color w:val="auto"/>
              </w:rPr>
            </w:pPr>
          </w:p>
        </w:tc>
        <w:tc>
          <w:tcPr>
            <w:tcW w:w="1840" w:type="dxa"/>
            <w:vAlign w:val="bottom"/>
            <w:tcBorders>
              <w:top w:val="single" w:sz="8" w:color="CCEEFF"/>
            </w:tcBorders>
            <w:vMerge w:val="continue"/>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Workplace Platform</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25,159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183,269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47,672</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5"/>
        </w:trPr>
        <w:tc>
          <w:tcPr>
            <w:tcW w:w="2680" w:type="dxa"/>
            <w:vAlign w:val="bottom"/>
            <w:tcBorders>
              <w:left w:val="single" w:sz="8" w:color="CCEEFF"/>
            </w:tcBorders>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AliphCom, Inc. (d/b/a Jawbone)</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Smart Device Company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793,152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8,919</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80" w:type="dxa"/>
            <w:vAlign w:val="bottom"/>
            <w:tcBorders>
              <w:left w:val="single" w:sz="8" w:color="CCEEFF"/>
            </w:tcBorders>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Orchestra One, Inc. (f/k/a Learnist Inc.)</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Common shares</w:t>
            </w: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3"/>
              </w:rPr>
              <w:t>Consumer Health</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Technology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57,026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4,959,614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4,362</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680" w:type="dxa"/>
            <w:vAlign w:val="bottom"/>
            <w:tcBorders>
              <w:left w:val="single" w:sz="8" w:color="CCEEFF"/>
            </w:tcBorders>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 (Holdings)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380" w:type="dxa"/>
            <w:vAlign w:val="bottom"/>
            <w:tcBorders>
              <w:top w:val="single" w:sz="8" w:color="auto"/>
              <w:left w:val="single" w:sz="8" w:color="CCEEFF"/>
            </w:tcBorders>
            <w:gridSpan w:val="8"/>
            <w:shd w:val="clear" w:color="auto" w:fill="CCEEFF"/>
          </w:tcPr>
          <w:p>
            <w:pPr>
              <w:ind w:left="200"/>
              <w:spacing w:after="0" w:line="169" w:lineRule="exact"/>
              <w:rPr>
                <w:sz w:val="20"/>
                <w:szCs w:val="20"/>
                <w:color w:val="auto"/>
              </w:rPr>
            </w:pPr>
            <w:r>
              <w:rPr>
                <w:rFonts w:ascii="Arial" w:cs="Arial" w:eastAsia="Arial" w:hAnsi="Arial"/>
                <w:sz w:val="19"/>
                <w:szCs w:val="19"/>
                <w:b w:val="1"/>
                <w:bCs w:val="1"/>
                <w:color w:val="auto"/>
                <w:vertAlign w:val="subscript"/>
              </w:rPr>
              <w:t>Ltd.</w:t>
            </w:r>
            <w:r>
              <w:rPr>
                <w:rFonts w:ascii="Arial" w:cs="Arial" w:eastAsia="Arial" w:hAnsi="Arial"/>
                <w:sz w:val="10"/>
                <w:szCs w:val="10"/>
                <w:b w:val="1"/>
                <w:bCs w:val="1"/>
                <w:color w:val="auto"/>
              </w:rPr>
              <w:t>(1)**</w:t>
            </w:r>
          </w:p>
        </w:tc>
        <w:tc>
          <w:tcPr>
            <w:tcW w:w="300" w:type="dxa"/>
            <w:vAlign w:val="bottom"/>
            <w:tcBorders>
              <w:top w:val="single" w:sz="8" w:color="CCEEFF"/>
            </w:tcBorders>
            <w:gridSpan w:val="3"/>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7"/>
              </w:rPr>
              <w:t>Hong Kong</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Education Technology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2,126,475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675,495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680" w:type="dxa"/>
            <w:vAlign w:val="bottom"/>
            <w:tcBorders>
              <w:left w:val="single" w:sz="8" w:color="CCEEFF"/>
            </w:tcBorders>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(1)</w:t>
            </w: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Media</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4,465,925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876,023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80" w:type="dxa"/>
            <w:vAlign w:val="bottom"/>
            <w:tcBorders>
              <w:left w:val="single" w:sz="8" w:color="CCEEFF"/>
            </w:tcBorders>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1,066,626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1,027,391</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6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warrants Series A, $1.00 strike</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80" w:type="dxa"/>
            <w:vAlign w:val="bottom"/>
            <w:gridSpan w:val="11"/>
          </w:tcPr>
          <w:p>
            <w:pPr>
              <w:ind w:left="200"/>
              <w:spacing w:after="0"/>
              <w:rPr>
                <w:sz w:val="20"/>
                <w:szCs w:val="20"/>
                <w:color w:val="auto"/>
              </w:rPr>
            </w:pPr>
            <w:r>
              <w:rPr>
                <w:rFonts w:ascii="Arial" w:cs="Arial" w:eastAsia="Arial" w:hAnsi="Arial"/>
                <w:sz w:val="14"/>
                <w:szCs w:val="14"/>
                <w:color w:val="auto"/>
              </w:rPr>
              <w:t>price, expire 1/9/2017</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109,375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tcBorders>
              <w:left w:val="single" w:sz="8" w:color="CCEEFF"/>
            </w:tcBorders>
            <w:gridSpan w:val="11"/>
            <w:shd w:val="clear" w:color="auto" w:fill="CCEEFF"/>
          </w:tcPr>
          <w:p>
            <w:pPr>
              <w:ind w:left="200"/>
              <w:spacing w:after="0" w:line="142" w:lineRule="exact"/>
              <w:rPr>
                <w:sz w:val="20"/>
                <w:szCs w:val="20"/>
                <w:color w:val="auto"/>
              </w:rPr>
            </w:pPr>
            <w:r>
              <w:rPr>
                <w:rFonts w:ascii="Arial" w:cs="Arial" w:eastAsia="Arial" w:hAnsi="Arial"/>
                <w:sz w:val="14"/>
                <w:szCs w:val="14"/>
                <w:color w:val="auto"/>
              </w:rPr>
              <w:t>Total</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1,903,414</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291,920,488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313,024,918</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138.03%</w:t>
            </w:r>
          </w:p>
        </w:tc>
        <w:tc>
          <w:tcPr>
            <w:tcW w:w="0" w:type="dxa"/>
            <w:vAlign w:val="bottom"/>
          </w:tcPr>
          <w:p>
            <w:pPr>
              <w:spacing w:after="0"/>
              <w:rPr>
                <w:sz w:val="1"/>
                <w:szCs w:val="1"/>
                <w:color w:val="auto"/>
              </w:rPr>
            </w:pPr>
          </w:p>
        </w:tc>
      </w:tr>
      <w:tr>
        <w:trPr>
          <w:trHeight w:val="129"/>
        </w:trPr>
        <w:tc>
          <w:tcPr>
            <w:tcW w:w="2680" w:type="dxa"/>
            <w:vAlign w:val="bottom"/>
            <w:tcBorders>
              <w:left w:val="single" w:sz="8" w:color="CCEEFF"/>
            </w:tcBorders>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1"/>
          </w:tcPr>
          <w:p>
            <w:pPr>
              <w:ind w:left="20"/>
              <w:spacing w:after="0" w:line="123" w:lineRule="exact"/>
              <w:rPr>
                <w:sz w:val="20"/>
                <w:szCs w:val="20"/>
                <w:color w:val="auto"/>
              </w:rPr>
            </w:pPr>
            <w:r>
              <w:rPr>
                <w:rFonts w:ascii="Arial" w:cs="Arial" w:eastAsia="Arial" w:hAnsi="Arial"/>
                <w:sz w:val="14"/>
                <w:szCs w:val="14"/>
                <w:color w:val="auto"/>
              </w:rPr>
              <w:t>U.S. Treasury Bill, 0%, due</w:t>
            </w: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000" w:type="dxa"/>
            <w:vAlign w:val="bottom"/>
            <w:gridSpan w:val="4"/>
          </w:tcPr>
          <w:p>
            <w:pPr>
              <w:ind w:left="200"/>
              <w:spacing w:after="0"/>
              <w:rPr>
                <w:sz w:val="20"/>
                <w:szCs w:val="20"/>
                <w:color w:val="auto"/>
              </w:rPr>
            </w:pPr>
            <w:r>
              <w:rPr>
                <w:rFonts w:ascii="Arial" w:cs="Arial" w:eastAsia="Arial" w:hAnsi="Arial"/>
                <w:sz w:val="14"/>
                <w:szCs w:val="14"/>
                <w:color w:val="auto"/>
              </w:rPr>
              <w:t>7/7/2016***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30,000,000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29,999,640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29,999,700</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176"/>
        </w:trPr>
        <w:tc>
          <w:tcPr>
            <w:tcW w:w="2680" w:type="dxa"/>
            <w:vAlign w:val="bottom"/>
            <w:tcBorders>
              <w:left w:val="single" w:sz="8" w:color="CCEEFF"/>
            </w:tcBorders>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U.S. Treasury Strips</w:t>
            </w:r>
            <w:r>
              <w:rPr>
                <w:rFonts w:ascii="Arial" w:cs="Arial" w:eastAsia="Arial" w:hAnsi="Arial"/>
                <w:sz w:val="20"/>
                <w:szCs w:val="20"/>
                <w:b w:val="1"/>
                <w:bCs w:val="1"/>
                <w:color w:val="auto"/>
                <w:vertAlign w:val="superscript"/>
              </w:rPr>
              <w:t>(8)</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lef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1"/>
          </w:tcPr>
          <w:p>
            <w:pPr>
              <w:ind w:left="20"/>
              <w:spacing w:after="0" w:line="123"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680" w:type="dxa"/>
            <w:vAlign w:val="bottom"/>
            <w:gridSpan w:val="11"/>
          </w:tcPr>
          <w:p>
            <w:pPr>
              <w:ind w:left="200"/>
              <w:spacing w:after="0"/>
              <w:rPr>
                <w:sz w:val="20"/>
                <w:szCs w:val="20"/>
                <w:color w:val="auto"/>
              </w:rPr>
            </w:pPr>
            <w:r>
              <w:rPr>
                <w:rFonts w:ascii="Arial" w:cs="Arial" w:eastAsia="Arial" w:hAnsi="Arial"/>
                <w:sz w:val="14"/>
                <w:szCs w:val="14"/>
                <w:color w:val="auto"/>
              </w:rPr>
              <w:t>due 8/15/2016</w:t>
            </w:r>
          </w:p>
        </w:tc>
        <w:tc>
          <w:tcPr>
            <w:tcW w:w="184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1,851,000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1,849,291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1,850,371</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80" w:type="dxa"/>
            <w:vAlign w:val="bottom"/>
            <w:tcBorders>
              <w:left w:val="single" w:sz="8" w:color="CCEEFF"/>
            </w:tcBorders>
            <w:gridSpan w:val="11"/>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323,769,419</w:t>
            </w:r>
          </w:p>
        </w:tc>
        <w:tc>
          <w:tcPr>
            <w:tcW w:w="240" w:type="dxa"/>
            <w:vAlign w:val="bottom"/>
            <w:tcBorders>
              <w:left w:val="single" w:sz="8" w:color="CCEEFF"/>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344,874,989</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152.07%</w:t>
            </w:r>
          </w:p>
        </w:tc>
        <w:tc>
          <w:tcPr>
            <w:tcW w:w="0" w:type="dxa"/>
            <w:vAlign w:val="bottom"/>
          </w:tcPr>
          <w:p>
            <w:pPr>
              <w:spacing w:after="0"/>
              <w:rPr>
                <w:sz w:val="1"/>
                <w:szCs w:val="1"/>
                <w:color w:val="auto"/>
              </w:rPr>
            </w:pPr>
          </w:p>
        </w:tc>
      </w:tr>
      <w:tr>
        <w:trPr>
          <w:trHeight w:val="264"/>
        </w:trPr>
        <w:tc>
          <w:tcPr>
            <w:tcW w:w="200" w:type="dxa"/>
            <w:vAlign w:val="bottom"/>
            <w:tcBorders>
              <w:top w:val="single" w:sz="8" w:color="CCEEFF"/>
              <w:bottom w:val="single" w:sz="8" w:color="auto"/>
            </w:tcBorders>
          </w:tcPr>
          <w:p>
            <w:pPr>
              <w:spacing w:after="0"/>
              <w:rPr>
                <w:sz w:val="22"/>
                <w:szCs w:val="22"/>
                <w:color w:val="auto"/>
              </w:rPr>
            </w:pPr>
          </w:p>
        </w:tc>
        <w:tc>
          <w:tcPr>
            <w:tcW w:w="260" w:type="dxa"/>
            <w:vAlign w:val="bottom"/>
            <w:tcBorders>
              <w:top w:val="single" w:sz="8" w:color="CCEEFF"/>
              <w:bottom w:val="single" w:sz="8" w:color="auto"/>
            </w:tcBorders>
          </w:tcPr>
          <w:p>
            <w:pPr>
              <w:spacing w:after="0"/>
              <w:rPr>
                <w:sz w:val="22"/>
                <w:szCs w:val="22"/>
                <w:color w:val="auto"/>
              </w:rPr>
            </w:pPr>
          </w:p>
        </w:tc>
        <w:tc>
          <w:tcPr>
            <w:tcW w:w="400" w:type="dxa"/>
            <w:vAlign w:val="bottom"/>
            <w:tcBorders>
              <w:top w:val="single" w:sz="8" w:color="CCEEFF"/>
              <w:bottom w:val="single" w:sz="8" w:color="auto"/>
            </w:tcBorders>
          </w:tcPr>
          <w:p>
            <w:pPr>
              <w:spacing w:after="0"/>
              <w:rPr>
                <w:sz w:val="22"/>
                <w:szCs w:val="22"/>
                <w:color w:val="auto"/>
              </w:rPr>
            </w:pPr>
          </w:p>
        </w:tc>
        <w:tc>
          <w:tcPr>
            <w:tcW w:w="140" w:type="dxa"/>
            <w:vAlign w:val="bottom"/>
            <w:tcBorders>
              <w:top w:val="single" w:sz="8" w:color="CCEEFF"/>
              <w:bottom w:val="single" w:sz="8" w:color="auto"/>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7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8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-2795270</wp:posOffset>
            </wp:positionV>
            <wp:extent cx="5213985"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-1019810</wp:posOffset>
            </wp:positionV>
            <wp:extent cx="5213985" cy="1117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739" w:hanging="272"/>
        <w:spacing w:after="0" w:line="259"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 All investments are pledged as collateral, unless otherwise noted, to the Credit Facility. The Company’s officers and staff may serve on the board of directors of the Company’s portfolio investments.</w:t>
      </w:r>
    </w:p>
    <w:p>
      <w:pPr>
        <w:spacing w:after="0" w:line="79" w:lineRule="exact"/>
        <w:rPr>
          <w:sz w:val="20"/>
          <w:szCs w:val="20"/>
          <w:color w:val="auto"/>
        </w:rPr>
      </w:pPr>
    </w:p>
    <w:p>
      <w:pPr>
        <w:ind w:left="300" w:right="779" w:hanging="272"/>
        <w:spacing w:after="0" w:line="264" w:lineRule="auto"/>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 Of GSV Capital Corp.’s total portfolio, 10.3% of its total investments are non-qualifying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99" w:hanging="272"/>
        <w:spacing w:after="0" w:line="286" w:lineRule="auto"/>
        <w:tabs>
          <w:tab w:leader="none" w:pos="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300" w:right="599" w:hanging="272"/>
        <w:spacing w:after="0" w:line="312" w:lineRule="auto"/>
        <w:tabs>
          <w:tab w:leader="none" w:pos="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more than 25% of the voting securities of such company.</w:t>
      </w:r>
    </w:p>
    <w:p>
      <w:pPr>
        <w:spacing w:after="0" w:line="38" w:lineRule="exact"/>
        <w:rPr>
          <w:rFonts w:ascii="Arial" w:cs="Arial" w:eastAsia="Arial" w:hAnsi="Arial"/>
          <w:sz w:val="16"/>
          <w:szCs w:val="16"/>
          <w:color w:val="auto"/>
        </w:rPr>
      </w:pPr>
    </w:p>
    <w:p>
      <w:pPr>
        <w:ind w:left="300" w:hanging="27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were on non-accrual status as of June 30, 2016.</w:t>
      </w:r>
    </w:p>
    <w:p>
      <w:pPr>
        <w:spacing w:after="0" w:line="200" w:lineRule="exact"/>
        <w:rPr>
          <w:sz w:val="20"/>
          <w:szCs w:val="20"/>
          <w:color w:val="auto"/>
        </w:rPr>
      </w:pPr>
    </w:p>
    <w:p>
      <w:pPr>
        <w:spacing w:after="0" w:line="349"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80" w:right="959"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jc w:val="both"/>
        <w:ind w:left="280" w:right="559" w:hanging="272"/>
        <w:spacing w:after="0" w:line="264"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280" w:hanging="272"/>
        <w:spacing w:after="0"/>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ind w:left="280" w:right="759" w:hanging="272"/>
        <w:spacing w:after="0" w:line="277"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519" w:hanging="272"/>
        <w:spacing w:after="0" w:line="272" w:lineRule="auto"/>
        <w:tabs>
          <w:tab w:leader="none" w:pos="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Refer to “Note 9 — Long-Term Liabilities.” In accordance with the terms of the Company’s Convertible Senior Notes, the Company deposited $10,867,500 in an escrow account with U.S. Bank National Association, the trustee. These funds were used to purchase six U.S. Treasury Strips with an original cost of $10,845,236. As of June 30, 2016, five of the government securities purchased had matured and the proceeds were used by the trustee in accordance with the terms of the escrow agreement. At June 30, 2016, the remaining government securities are shown on the Condensed Consolidated Schedule of Investments with an amortized cost of $1,849,291. These securities do not represent collateral under the Credit Facility, as these securities are pledged exclusively for the repayment of interest under the Convertible Senior Notes.</w:t>
      </w:r>
    </w:p>
    <w:p>
      <w:pPr>
        <w:spacing w:after="0" w:line="69" w:lineRule="exact"/>
        <w:rPr>
          <w:rFonts w:ascii="Arial" w:cs="Arial" w:eastAsia="Arial" w:hAnsi="Arial"/>
          <w:sz w:val="17"/>
          <w:szCs w:val="17"/>
          <w:color w:val="auto"/>
        </w:rPr>
      </w:pPr>
    </w:p>
    <w:p>
      <w:pPr>
        <w:ind w:left="280" w:right="739" w:hanging="272"/>
        <w:spacing w:after="0" w:line="264" w:lineRule="auto"/>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(d/b/a CorpU), or (b) the maturity of the note (November 26, 2018). Interest began compounding annually on November 26, 2015.</w:t>
      </w:r>
    </w:p>
    <w:p>
      <w:pPr>
        <w:spacing w:after="0" w:line="73" w:lineRule="exact"/>
        <w:rPr>
          <w:rFonts w:ascii="Arial" w:cs="Arial" w:eastAsia="Arial" w:hAnsi="Arial"/>
          <w:sz w:val="18"/>
          <w:szCs w:val="18"/>
          <w:color w:val="auto"/>
        </w:rPr>
      </w:pPr>
    </w:p>
    <w:p>
      <w:pPr>
        <w:ind w:left="320" w:right="519" w:hanging="312"/>
        <w:spacing w:after="0" w:line="286" w:lineRule="auto"/>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Earlyshares.com, Inc., or (b) the maturity of the note (August 2, 2016). Interest began compounding annually on February 26, 2015.</w:t>
      </w:r>
    </w:p>
    <w:p>
      <w:pPr>
        <w:spacing w:after="0" w:line="57" w:lineRule="exact"/>
        <w:rPr>
          <w:sz w:val="20"/>
          <w:szCs w:val="20"/>
          <w:color w:val="auto"/>
        </w:rPr>
      </w:pPr>
    </w:p>
    <w:p>
      <w:pPr>
        <w:ind w:left="300" w:right="739" w:hanging="296"/>
        <w:spacing w:after="0" w:line="264" w:lineRule="auto"/>
        <w:rPr>
          <w:sz w:val="20"/>
          <w:szCs w:val="20"/>
          <w:color w:val="auto"/>
        </w:rPr>
      </w:pPr>
      <w:r>
        <w:rPr>
          <w:rFonts w:ascii="Arial" w:cs="Arial" w:eastAsia="Arial" w:hAnsi="Arial"/>
          <w:sz w:val="18"/>
          <w:szCs w:val="18"/>
          <w:color w:val="auto"/>
        </w:rPr>
        <w:t>(11)On October 22, 2013, Cricket Media (f/k/a ePals Inc.), priced its initial public offering, selling 40,267,333 shares at a price of CAD $0.075 per share. As of May 4, 2016, Cricket Media (f/k/a ePals Inc.) was voluntarily delisted from the TSX Venture Exchange as part of a restructuring, after which Cricket Media became privately traded.</w:t>
      </w:r>
    </w:p>
    <w:p>
      <w:pPr>
        <w:spacing w:after="0" w:line="200" w:lineRule="exact"/>
        <w:rPr>
          <w:sz w:val="20"/>
          <w:szCs w:val="20"/>
          <w:color w:val="auto"/>
        </w:rPr>
      </w:pPr>
    </w:p>
    <w:p>
      <w:pPr>
        <w:spacing w:after="0" w:line="305"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9"/>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Principal</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Cost</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6"/>
              </w:rPr>
              <w:t>Palo Alto,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G</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Data Analysis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326,797</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1,008,968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3,018,787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1.13%</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16,189,935</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53,334,461</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19.90%</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17,198,903</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56,353,248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21.03%</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Dropbox,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Online Storage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552,486</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5,015,773</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9,359,241</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3.49%</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760,000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8,641,153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12,872,947</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4.80%</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13,656,926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22,232,188</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8.29%</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Twitter,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Social Communication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800,600</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14,271,866</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18,525,884</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6.91%</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Spotify Technology S.A.**</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Stockholm, Sweden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Music Streaming Service</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9,541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13,599,572</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16,219,700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6.05%</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Coursera,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7"/>
              </w:rPr>
              <w:t>Mountain View,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2,961,399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14,519,519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14,435,486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5.39%</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Solexel,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rPr>
              <w:t>Milpitas,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4"/>
              </w:rPr>
              <w:t>Solar Power</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1,613,413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2,419,751</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2,420,120</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0.90%</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5,300,158</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11,598,648</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11,607,346</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14,018,399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14,027,466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5.23%</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PayNearMe,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Cash Payment Network</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5,480,348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14,000,398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13,974,887</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5.21%</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Lyft,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1"/>
              </w:rPr>
              <w:t>Peer to Peer Ridesharing</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128,563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2,503,585</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2,976,876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1.11%</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493,490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5,003,631</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10,992,490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7,507,216</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13,969,366</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5.21%</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Declara, Inc.</w:t>
            </w:r>
            <w:r>
              <w:rPr>
                <w:rFonts w:ascii="Arial" w:cs="Arial" w:eastAsia="Arial" w:hAnsi="Arial"/>
                <w:sz w:val="19"/>
                <w:szCs w:val="19"/>
                <w:b w:val="1"/>
                <w:bCs w:val="1"/>
                <w:color w:val="auto"/>
                <w:vertAlign w:val="superscript"/>
              </w:rPr>
              <w:t>(1)(12)</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 6%</w:t>
            </w: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2580" w:type="dxa"/>
            <w:vAlign w:val="bottom"/>
            <w:gridSpan w:val="9"/>
          </w:tcPr>
          <w:p>
            <w:pPr>
              <w:ind w:left="200"/>
              <w:spacing w:after="0"/>
              <w:rPr>
                <w:sz w:val="20"/>
                <w:szCs w:val="20"/>
                <w:color w:val="auto"/>
              </w:rPr>
            </w:pPr>
            <w:r>
              <w:rPr>
                <w:rFonts w:ascii="Arial" w:cs="Arial" w:eastAsia="Arial" w:hAnsi="Arial"/>
                <w:sz w:val="14"/>
                <w:szCs w:val="14"/>
                <w:color w:val="auto"/>
              </w:rPr>
              <w:t>Due 12/30/2016***</w:t>
            </w: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6"/>
              </w:rPr>
              <w:t>Palo Alto, CA</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  2,000,000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0.75%</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Social Cognitive Learning</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10,716,390</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3.73%</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11,999,999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4.48%</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General Assembly Space,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3"/>
              </w:rPr>
              <w:t>Online Education</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126,552</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2,999,978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5,765,799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2.15%</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133,213</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2,999,983</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5,755,573</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2.15%</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5,999,961</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11,521,372</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4.30%</w:t>
            </w:r>
          </w:p>
        </w:tc>
      </w:tr>
      <w:tr>
        <w:trPr>
          <w:trHeight w:val="129"/>
        </w:trPr>
        <w:tc>
          <w:tcPr>
            <w:tcW w:w="2580" w:type="dxa"/>
            <w:vAlign w:val="bottom"/>
            <w:tcBorders>
              <w:left w:val="single" w:sz="8" w:color="CCEEFF"/>
            </w:tcBorders>
            <w:gridSpan w:val="9"/>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Dataminr,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7"/>
              </w:rPr>
              <w:t>Social Media Analytics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301,369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1,100,909</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2,845,044</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1.06%</w:t>
            </w:r>
          </w:p>
        </w:tc>
      </w:tr>
      <w:tr>
        <w:trPr>
          <w:trHeight w:val="149"/>
        </w:trPr>
        <w:tc>
          <w:tcPr>
            <w:tcW w:w="2580" w:type="dxa"/>
            <w:vAlign w:val="bottom"/>
            <w:tcBorders>
              <w:left w:val="single" w:sz="8" w:color="CCEEFF"/>
            </w:tcBorders>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904,977</w:t>
            </w:r>
          </w:p>
        </w:tc>
        <w:tc>
          <w:tcPr>
            <w:tcW w:w="10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2,063,356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8,543,345</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w:t>
            </w:r>
          </w:p>
        </w:tc>
      </w:tr>
      <w:tr>
        <w:trPr>
          <w:trHeight w:val="20"/>
        </w:trPr>
        <w:tc>
          <w:tcPr>
            <w:tcW w:w="580" w:type="dxa"/>
            <w:vAlign w:val="bottom"/>
            <w:tcBorders>
              <w:left w:val="single" w:sz="8" w:color="CCEEFF"/>
            </w:tcBorders>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9"/>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3,164,265</w:t>
            </w: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11,388,389</w:t>
            </w:r>
          </w:p>
        </w:tc>
        <w:tc>
          <w:tcPr>
            <w:tcW w:w="780" w:type="dxa"/>
            <w:vAlign w:val="bottom"/>
            <w:gridSpan w:val="3"/>
          </w:tcPr>
          <w:p>
            <w:pPr>
              <w:jc w:val="right"/>
              <w:ind w:right="80"/>
              <w:spacing w:after="0" w:line="142" w:lineRule="exact"/>
              <w:rPr>
                <w:sz w:val="20"/>
                <w:szCs w:val="20"/>
                <w:color w:val="auto"/>
              </w:rPr>
            </w:pPr>
            <w:r>
              <w:rPr>
                <w:rFonts w:ascii="Arial" w:cs="Arial" w:eastAsia="Arial" w:hAnsi="Arial"/>
                <w:sz w:val="14"/>
                <w:szCs w:val="14"/>
                <w:color w:val="auto"/>
              </w:rPr>
              <w:t>4.25%</w:t>
            </w:r>
          </w:p>
        </w:tc>
      </w:tr>
      <w:tr>
        <w:trPr>
          <w:trHeight w:val="169"/>
        </w:trPr>
        <w:tc>
          <w:tcPr>
            <w:tcW w:w="2580" w:type="dxa"/>
            <w:vAlign w:val="bottom"/>
            <w:tcBorders>
              <w:left w:val="single" w:sz="8" w:color="CCEEFF"/>
            </w:tcBorders>
            <w:gridSpan w:val="9"/>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Avenues Global Holdings, LLC</w:t>
            </w:r>
            <w:r>
              <w:rPr>
                <w:rFonts w:ascii="Arial" w:cs="Arial" w:eastAsia="Arial" w:hAnsi="Arial"/>
                <w:sz w:val="19"/>
                <w:szCs w:val="19"/>
                <w:b w:val="1"/>
                <w:bCs w:val="1"/>
                <w:color w:val="auto"/>
                <w:vertAlign w:val="superscript"/>
              </w:rPr>
              <w:t>(3)</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top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Preferred shares, Junior Preferred Stock</w:t>
            </w:r>
          </w:p>
        </w:tc>
        <w:tc>
          <w:tcPr>
            <w:tcW w:w="100" w:type="dxa"/>
            <w:vAlign w:val="bottom"/>
          </w:tcPr>
          <w:p>
            <w:pPr>
              <w:spacing w:after="0"/>
              <w:rPr>
                <w:sz w:val="10"/>
                <w:szCs w:val="10"/>
                <w:color w:val="auto"/>
              </w:rPr>
            </w:pPr>
          </w:p>
        </w:tc>
        <w:tc>
          <w:tcPr>
            <w:tcW w:w="1840" w:type="dxa"/>
            <w:vAlign w:val="bottom"/>
          </w:tcPr>
          <w:p>
            <w:pPr>
              <w:jc w:val="center"/>
              <w:spacing w:after="0" w:line="123" w:lineRule="exact"/>
              <w:rPr>
                <w:sz w:val="20"/>
                <w:szCs w:val="20"/>
                <w:color w:val="auto"/>
              </w:rPr>
            </w:pPr>
            <w:r>
              <w:rPr>
                <w:rFonts w:ascii="Arial" w:cs="Arial" w:eastAsia="Arial" w:hAnsi="Arial"/>
                <w:sz w:val="14"/>
                <w:szCs w:val="14"/>
                <w:color w:val="auto"/>
                <w:w w:val="94"/>
              </w:rPr>
              <w:t>Globally-focused Private</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67"/>
        </w:trPr>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School</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10,014,270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10,151,857</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11,015,633</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4.11%</w:t>
            </w:r>
          </w:p>
        </w:tc>
      </w:tr>
      <w:tr>
        <w:trPr>
          <w:trHeight w:val="135"/>
        </w:trPr>
        <w:tc>
          <w:tcPr>
            <w:tcW w:w="2580" w:type="dxa"/>
            <w:vAlign w:val="bottom"/>
            <w:tcBorders>
              <w:left w:val="single" w:sz="8" w:color="CCEEFF"/>
            </w:tcBorders>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JAMF Holdings,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9"/>
              </w:rPr>
              <w:t>Minneapolis, MN</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0"/>
        </w:trPr>
        <w:tc>
          <w:tcPr>
            <w:tcW w:w="580" w:type="dxa"/>
            <w:vAlign w:val="bottom"/>
            <w:tcBorders>
              <w:lef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76"/>
        </w:trPr>
        <w:tc>
          <w:tcPr>
            <w:tcW w:w="2580" w:type="dxa"/>
            <w:vAlign w:val="bottom"/>
            <w:gridSpan w:val="9"/>
          </w:tcPr>
          <w:p>
            <w:pPr>
              <w:ind w:left="20"/>
              <w:spacing w:after="0"/>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4"/>
              </w:rPr>
              <w:t>Mobile Device Management</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73,440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9,999,928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10,722,799</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-3896995</wp:posOffset>
            </wp:positionV>
            <wp:extent cx="5213985" cy="1117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-3502660</wp:posOffset>
            </wp:positionV>
            <wp:extent cx="5213985" cy="1117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-2541905</wp:posOffset>
            </wp:positionV>
            <wp:extent cx="5213985" cy="111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-1932940</wp:posOffset>
            </wp:positionV>
            <wp:extent cx="5213985" cy="1117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-1418590</wp:posOffset>
            </wp:positionV>
            <wp:extent cx="5213985" cy="1117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-1024255</wp:posOffset>
            </wp:positionV>
            <wp:extent cx="5213985" cy="111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-629920</wp:posOffset>
            </wp:positionV>
            <wp:extent cx="5213985" cy="1117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 w:name="page17"/>
    <w:bookmarkEnd w:id="1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52139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69"/>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tcBorders>
              <w:bottom w:val="single" w:sz="8" w:color="auto"/>
            </w:tcBorders>
            <w:gridSpan w:val="7"/>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69"/>
        </w:trPr>
        <w:tc>
          <w:tcPr>
            <w:tcW w:w="2580" w:type="dxa"/>
            <w:vAlign w:val="bottom"/>
            <w:gridSpan w:val="7"/>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Ozy Media,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7"/>
              </w:rPr>
              <w:t>Mountain View, CA</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Daily News and</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922,509</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4,999,999</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4,690,178</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1.75%</w:t>
            </w: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7"/>
              </w:rPr>
              <w:t>Information Site</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1,090,909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3,000,200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3,907,004</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Seed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1,531,812</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0.57%</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8,500,199</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10,128,994</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3.78%</w:t>
            </w: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Curious.com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7"/>
              </w:rPr>
              <w:t>Menlo Park, CA</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2,839,861</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10,000,003</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9,996,311</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3.73%</w:t>
            </w:r>
          </w:p>
        </w:tc>
      </w:tr>
      <w:tr>
        <w:trPr>
          <w:trHeight w:val="135"/>
        </w:trPr>
        <w:tc>
          <w:tcPr>
            <w:tcW w:w="2580" w:type="dxa"/>
            <w:vAlign w:val="bottom"/>
            <w:gridSpan w:val="7"/>
          </w:tcPr>
          <w:p>
            <w:pPr>
              <w:ind w:left="20"/>
              <w:spacing w:after="0" w:line="135" w:lineRule="exact"/>
              <w:rPr>
                <w:sz w:val="20"/>
                <w:szCs w:val="20"/>
                <w:color w:val="auto"/>
              </w:rPr>
            </w:pPr>
            <w:r>
              <w:rPr>
                <w:rFonts w:ascii="Arial" w:cs="Arial" w:eastAsia="Arial" w:hAnsi="Arial"/>
                <w:sz w:val="14"/>
                <w:szCs w:val="14"/>
                <w:b w:val="1"/>
                <w:bCs w:val="1"/>
                <w:color w:val="auto"/>
              </w:rPr>
              <w:t>SugarCRM, Inc.</w:t>
            </w:r>
          </w:p>
        </w:tc>
        <w:tc>
          <w:tcPr>
            <w:tcW w:w="100" w:type="dxa"/>
            <w:vAlign w:val="bottom"/>
          </w:tcPr>
          <w:p>
            <w:pPr>
              <w:spacing w:after="0"/>
              <w:rPr>
                <w:sz w:val="11"/>
                <w:szCs w:val="11"/>
                <w:color w:val="auto"/>
              </w:rPr>
            </w:pPr>
          </w:p>
        </w:tc>
        <w:tc>
          <w:tcPr>
            <w:tcW w:w="2080" w:type="dxa"/>
            <w:vAlign w:val="bottom"/>
            <w:gridSpan w:val="3"/>
          </w:tcPr>
          <w:p>
            <w:pPr>
              <w:jc w:val="center"/>
              <w:ind w:right="200"/>
              <w:spacing w:after="0" w:line="135" w:lineRule="exact"/>
              <w:rPr>
                <w:sz w:val="20"/>
                <w:szCs w:val="20"/>
                <w:color w:val="auto"/>
              </w:rPr>
            </w:pPr>
            <w:r>
              <w:rPr>
                <w:rFonts w:ascii="Arial" w:cs="Arial" w:eastAsia="Arial" w:hAnsi="Arial"/>
                <w:sz w:val="14"/>
                <w:szCs w:val="14"/>
                <w:color w:val="auto"/>
                <w:w w:val="95"/>
              </w:rPr>
              <w:t>Cupertino, CA</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3"/>
              </w:rPr>
              <w:t>Customer Relationship</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373,134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1,500,522</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2,152,983</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0.80%</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4"/>
              </w:rPr>
              <w:t>Manager</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1,524,799</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5,476,502</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7,830,323</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2.92%</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6,977,024</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9,983,306</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3.72%</w:t>
            </w: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b w:val="1"/>
                <w:bCs w:val="1"/>
                <w:color w:val="auto"/>
                <w:vertAlign w:val="superscript"/>
              </w:rPr>
              <w:t>(2)(5)</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2"/>
              </w:rPr>
              <w:t>Scottsdale, AZ</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4"/>
              </w:rPr>
              <w:t>Interactive Learning</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2,779,134</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4,000,787</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4,599,718</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1.72%</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3,279,629</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2,019,687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4,633,228</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1.73%</w:t>
            </w: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518,000</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0.19%</w:t>
            </w: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6"/>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rPr>
              <w:t>6,130,474</w:t>
            </w:r>
          </w:p>
        </w:tc>
        <w:tc>
          <w:tcPr>
            <w:tcW w:w="1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9,750,946</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3.64%</w:t>
            </w:r>
          </w:p>
        </w:tc>
      </w:tr>
      <w:tr>
        <w:trPr>
          <w:trHeight w:val="129"/>
        </w:trPr>
        <w:tc>
          <w:tcPr>
            <w:tcW w:w="2580" w:type="dxa"/>
            <w:vAlign w:val="bottom"/>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Chegg,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0"/>
              </w:rPr>
              <w:t>Santa Clara,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Textbook Rental</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1,182,792</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14,022,863</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7,960,190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2.97%</w:t>
            </w:r>
          </w:p>
        </w:tc>
      </w:tr>
      <w:tr>
        <w:trPr>
          <w:trHeight w:val="135"/>
        </w:trPr>
        <w:tc>
          <w:tcPr>
            <w:tcW w:w="2580" w:type="dxa"/>
            <w:vAlign w:val="bottom"/>
            <w:gridSpan w:val="7"/>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Lytro,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7"/>
              </w:rPr>
              <w:t>Mountain View,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720" w:type="dxa"/>
            <w:vAlign w:val="bottom"/>
            <w:tcBorders>
              <w:left w:val="single" w:sz="8" w:color="CCEEFF"/>
            </w:tcBorders>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C-1</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Consumer Electronics</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2,533,784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7,500,001</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2.80%</w:t>
            </w:r>
          </w:p>
        </w:tc>
      </w:tr>
      <w:tr>
        <w:trPr>
          <w:trHeight w:val="176"/>
        </w:trPr>
        <w:tc>
          <w:tcPr>
            <w:tcW w:w="258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NestGSV, Inc. (d/b/a GSV Labs, Inc.)</w:t>
            </w:r>
            <w:r>
              <w:rPr>
                <w:rFonts w:ascii="Arial" w:cs="Arial" w:eastAsia="Arial" w:hAnsi="Arial"/>
                <w:sz w:val="20"/>
                <w:szCs w:val="20"/>
                <w:b w:val="1"/>
                <w:bCs w:val="1"/>
                <w:color w:val="auto"/>
                <w:vertAlign w:val="superscript"/>
              </w:rPr>
              <w:t>(2)</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Redwood City, CA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5"/>
              </w:rPr>
              <w:t>Incubator</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3,720,424</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4,904,498</w:t>
            </w: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4,960,565</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1.85%</w:t>
            </w: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1,561,625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2,005,730</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1,733,404</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0.65%</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605,500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0.00%</w:t>
            </w: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1,021,778</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w w:val="94"/>
              </w:rPr>
              <w:t>Preferred warrants, Series D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color w:val="auto"/>
              </w:rPr>
              <w:t>Price, Expiration Date 10/6/2019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145,000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0.05%</w:t>
            </w: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w w:val="94"/>
              </w:rPr>
              <w:t>Preferred warrants, Series C – $1.33 Strike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color w:val="auto"/>
              </w:rPr>
              <w:t>Price, Expiration Date 4/9/2019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31,875</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0.01%</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8,538,506</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6,870,844</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2.56%</w:t>
            </w: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GSV Sustainability Partners</w:t>
            </w:r>
            <w:r>
              <w:rPr>
                <w:rFonts w:ascii="Arial" w:cs="Arial" w:eastAsia="Arial" w:hAnsi="Arial"/>
                <w:sz w:val="19"/>
                <w:szCs w:val="19"/>
                <w:b w:val="1"/>
                <w:bCs w:val="1"/>
                <w:color w:val="auto"/>
                <w:vertAlign w:val="superscript"/>
              </w:rPr>
              <w:t>(2)</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3"/>
              </w:rPr>
              <w:t>Woodside, CA</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72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580" w:type="dxa"/>
            <w:vAlign w:val="bottom"/>
            <w:gridSpan w:val="7"/>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100" w:type="dxa"/>
            <w:vAlign w:val="bottom"/>
            <w:shd w:val="clear" w:color="auto" w:fill="CCEEFF"/>
          </w:tcPr>
          <w:p>
            <w:pPr>
              <w:spacing w:after="0"/>
              <w:rPr>
                <w:sz w:val="12"/>
                <w:szCs w:val="12"/>
                <w:color w:val="auto"/>
              </w:rPr>
            </w:pPr>
          </w:p>
        </w:tc>
        <w:tc>
          <w:tcPr>
            <w:tcW w:w="2080" w:type="dxa"/>
            <w:vAlign w:val="bottom"/>
            <w:gridSpan w:val="3"/>
            <w:shd w:val="clear" w:color="auto" w:fill="CCEEFF"/>
          </w:tcPr>
          <w:p>
            <w:pPr>
              <w:jc w:val="center"/>
              <w:ind w:right="200"/>
              <w:spacing w:after="0" w:line="142" w:lineRule="exact"/>
              <w:rPr>
                <w:sz w:val="20"/>
                <w:szCs w:val="20"/>
                <w:color w:val="auto"/>
              </w:rPr>
            </w:pPr>
            <w:r>
              <w:rPr>
                <w:rFonts w:ascii="Arial" w:cs="Arial" w:eastAsia="Arial" w:hAnsi="Arial"/>
                <w:sz w:val="14"/>
                <w:szCs w:val="14"/>
                <w:color w:val="auto"/>
                <w:w w:val="92"/>
              </w:rPr>
              <w:t>Clean Technology</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14,300,000</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7,151,412</w:t>
            </w:r>
          </w:p>
        </w:tc>
        <w:tc>
          <w:tcPr>
            <w:tcW w:w="96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6,250,000</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2.33%</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0.00</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0.00%</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6"/>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7,161,412</w:t>
            </w:r>
          </w:p>
        </w:tc>
        <w:tc>
          <w:tcPr>
            <w:tcW w:w="160" w:type="dxa"/>
            <w:vAlign w:val="bottom"/>
            <w:tcBorders>
              <w:lef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6,250,000</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2.33%</w:t>
            </w:r>
          </w:p>
        </w:tc>
      </w:tr>
      <w:tr>
        <w:trPr>
          <w:trHeight w:val="169"/>
        </w:trPr>
        <w:tc>
          <w:tcPr>
            <w:tcW w:w="2580" w:type="dxa"/>
            <w:vAlign w:val="bottom"/>
            <w:tcBorders>
              <w:top w:val="single" w:sz="8" w:color="CCEEFF"/>
            </w:tcBorders>
            <w:gridSpan w:val="7"/>
          </w:tcPr>
          <w:p>
            <w:pPr>
              <w:ind w:left="20"/>
              <w:spacing w:after="0" w:line="169" w:lineRule="exact"/>
              <w:rPr>
                <w:sz w:val="20"/>
                <w:szCs w:val="20"/>
                <w:color w:val="auto"/>
              </w:rPr>
            </w:pPr>
            <w:r>
              <w:rPr>
                <w:rFonts w:ascii="Arial" w:cs="Arial" w:eastAsia="Arial" w:hAnsi="Arial"/>
                <w:sz w:val="12"/>
                <w:szCs w:val="12"/>
                <w:b w:val="1"/>
                <w:bCs w:val="1"/>
                <w:color w:val="auto"/>
              </w:rPr>
              <w:t>Fullbridge,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2080" w:type="dxa"/>
            <w:vAlign w:val="bottom"/>
            <w:tcBorders>
              <w:top w:val="single" w:sz="8" w:color="CCEEFF"/>
            </w:tcBorders>
            <w:gridSpan w:val="3"/>
          </w:tcPr>
          <w:p>
            <w:pPr>
              <w:jc w:val="center"/>
              <w:ind w:right="200"/>
              <w:spacing w:after="0"/>
              <w:rPr>
                <w:sz w:val="20"/>
                <w:szCs w:val="20"/>
                <w:color w:val="auto"/>
              </w:rPr>
            </w:pPr>
            <w:r>
              <w:rPr>
                <w:rFonts w:ascii="Arial" w:cs="Arial" w:eastAsia="Arial" w:hAnsi="Arial"/>
                <w:sz w:val="14"/>
                <w:szCs w:val="14"/>
                <w:color w:val="auto"/>
                <w:w w:val="98"/>
              </w:rPr>
              <w:t>Cambridge, MA</w:t>
            </w: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23"/>
        </w:trPr>
        <w:tc>
          <w:tcPr>
            <w:tcW w:w="2580" w:type="dxa"/>
            <w:vAlign w:val="bottom"/>
            <w:gridSpan w:val="7"/>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 10% Due</w:t>
            </w:r>
          </w:p>
        </w:tc>
        <w:tc>
          <w:tcPr>
            <w:tcW w:w="100" w:type="dxa"/>
            <w:vAlign w:val="bottom"/>
            <w:shd w:val="clear" w:color="auto" w:fill="CCEEFF"/>
          </w:tcPr>
          <w:p>
            <w:pPr>
              <w:spacing w:after="0"/>
              <w:rPr>
                <w:sz w:val="10"/>
                <w:szCs w:val="10"/>
                <w:color w:val="auto"/>
              </w:rPr>
            </w:pPr>
          </w:p>
        </w:tc>
        <w:tc>
          <w:tcPr>
            <w:tcW w:w="2080" w:type="dxa"/>
            <w:vAlign w:val="bottom"/>
            <w:gridSpan w:val="3"/>
            <w:shd w:val="clear" w:color="auto" w:fill="CCEEFF"/>
          </w:tcPr>
          <w:p>
            <w:pPr>
              <w:jc w:val="center"/>
              <w:ind w:right="200"/>
              <w:spacing w:after="0" w:line="123" w:lineRule="exact"/>
              <w:rPr>
                <w:sz w:val="20"/>
                <w:szCs w:val="20"/>
                <w:color w:val="auto"/>
              </w:rPr>
            </w:pPr>
            <w:r>
              <w:rPr>
                <w:rFonts w:ascii="Arial" w:cs="Arial" w:eastAsia="Arial" w:hAnsi="Arial"/>
                <w:sz w:val="14"/>
                <w:szCs w:val="14"/>
                <w:color w:val="auto"/>
                <w:w w:val="91"/>
              </w:rPr>
              <w:t>Business Education</w:t>
            </w: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r>
      <w:tr>
        <w:trPr>
          <w:trHeight w:val="167"/>
        </w:trPr>
        <w:tc>
          <w:tcPr>
            <w:tcW w:w="9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3/2/2016***</w:t>
            </w:r>
          </w:p>
        </w:tc>
        <w:tc>
          <w:tcPr>
            <w:tcW w:w="80" w:type="dxa"/>
            <w:vAlign w:val="bottom"/>
            <w:tcBorders>
              <w:left w:val="single" w:sz="8" w:color="CCEEFF"/>
            </w:tcBorders>
            <w:shd w:val="clear" w:color="auto" w:fill="CCEEFF"/>
          </w:tcPr>
          <w:p>
            <w:pPr>
              <w:spacing w:after="0"/>
              <w:rPr>
                <w:sz w:val="14"/>
                <w:szCs w:val="14"/>
                <w:color w:val="auto"/>
              </w:rPr>
            </w:pPr>
          </w:p>
        </w:tc>
        <w:tc>
          <w:tcPr>
            <w:tcW w:w="720" w:type="dxa"/>
            <w:vAlign w:val="bottom"/>
            <w:tcBorders>
              <w:lef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18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1,030,507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1,020,859</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1,020,859</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0.39%</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1,655,167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2,956,022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3,111,714</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1.16%</w:t>
            </w:r>
          </w:p>
        </w:tc>
      </w:tr>
      <w:tr>
        <w:trPr>
          <w:trHeight w:val="149"/>
        </w:trPr>
        <w:tc>
          <w:tcPr>
            <w:tcW w:w="2580" w:type="dxa"/>
            <w:vAlign w:val="bottom"/>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1,728,724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3,193,444</w:t>
            </w:r>
          </w:p>
        </w:tc>
        <w:tc>
          <w:tcPr>
            <w:tcW w:w="960" w:type="dxa"/>
            <w:vAlign w:val="bottom"/>
            <w:tcBorders>
              <w:left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1,625,001</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0.61%</w:t>
            </w: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color w:val="auto"/>
              </w:rPr>
              <w:t>Expiration Date 3/2/2020</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283,106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35,767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2,831</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Expiration Date 3/22/2020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186,170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23,521</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560" w:type="dxa"/>
            <w:vAlign w:val="bottom"/>
            <w:gridSpan w:val="6"/>
          </w:tcPr>
          <w:p>
            <w:pPr>
              <w:ind w:left="180"/>
              <w:spacing w:after="0"/>
              <w:rPr>
                <w:sz w:val="20"/>
                <w:szCs w:val="20"/>
                <w:color w:val="auto"/>
              </w:rPr>
            </w:pPr>
            <w:r>
              <w:rPr>
                <w:rFonts w:ascii="Arial" w:cs="Arial" w:eastAsia="Arial" w:hAnsi="Arial"/>
                <w:sz w:val="14"/>
                <w:szCs w:val="14"/>
                <w:color w:val="auto"/>
              </w:rPr>
              <w:t>Expiration Date 5/16/2019</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192,308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24,296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1,923</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rPr>
              <w:t>Expiration Date 4/3/2019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412,088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52,063</w:t>
            </w:r>
          </w:p>
        </w:tc>
        <w:tc>
          <w:tcPr>
            <w:tcW w:w="9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-4261485</wp:posOffset>
            </wp:positionV>
            <wp:extent cx="521398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-3652520</wp:posOffset>
            </wp:positionV>
            <wp:extent cx="521398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-3241040</wp:posOffset>
            </wp:positionV>
            <wp:extent cx="5213985" cy="1117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-1680210</wp:posOffset>
            </wp:positionV>
            <wp:extent cx="521398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-1259840</wp:posOffset>
            </wp:positionV>
            <wp:extent cx="521398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7" w:name="page18"/>
    <w:bookmarkEnd w:id="1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21"/>
        </w:trPr>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r>
      <w:tr>
        <w:trPr>
          <w:trHeight w:val="153"/>
        </w:trPr>
        <w:tc>
          <w:tcPr>
            <w:tcW w:w="2580" w:type="dxa"/>
            <w:vAlign w:val="bottom"/>
            <w:gridSpan w:val="7"/>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20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0"/>
              </w:rPr>
              <w:t>Headquarters/Industry</w:t>
            </w:r>
          </w:p>
        </w:tc>
        <w:tc>
          <w:tcPr>
            <w:tcW w:w="740" w:type="dxa"/>
            <w:vAlign w:val="bottom"/>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r>
      <w:tr>
        <w:trPr>
          <w:trHeight w:val="123"/>
        </w:trPr>
        <w:tc>
          <w:tcPr>
            <w:tcW w:w="2580" w:type="dxa"/>
            <w:vAlign w:val="bottom"/>
            <w:tcBorders>
              <w:top w:val="single" w:sz="8" w:color="auto"/>
              <w:left w:val="single" w:sz="8" w:color="CCEEFF"/>
            </w:tcBorders>
            <w:gridSpan w:val="7"/>
            <w:shd w:val="clear" w:color="auto" w:fill="CCEEFF"/>
          </w:tcPr>
          <w:p>
            <w:pPr>
              <w:ind w:left="20"/>
              <w:spacing w:after="0" w:line="123"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0"/>
                <w:szCs w:val="10"/>
                <w:color w:val="auto"/>
              </w:rPr>
            </w:pPr>
          </w:p>
        </w:tc>
        <w:tc>
          <w:tcPr>
            <w:tcW w:w="18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12/11/2018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82,418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10,413</w:t>
            </w:r>
          </w:p>
        </w:tc>
        <w:tc>
          <w:tcPr>
            <w:tcW w:w="2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gridSpan w:val="7"/>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2580" w:type="dxa"/>
            <w:vAlign w:val="bottom"/>
            <w:gridSpan w:val="7"/>
          </w:tcPr>
          <w:p>
            <w:pPr>
              <w:ind w:left="200"/>
              <w:spacing w:after="0"/>
              <w:rPr>
                <w:sz w:val="20"/>
                <w:szCs w:val="20"/>
                <w:color w:val="auto"/>
              </w:rPr>
            </w:pPr>
            <w:r>
              <w:rPr>
                <w:rFonts w:ascii="Arial" w:cs="Arial" w:eastAsia="Arial" w:hAnsi="Arial"/>
                <w:sz w:val="14"/>
                <w:szCs w:val="14"/>
                <w:color w:val="auto"/>
              </w:rPr>
              <w:t>Expiration Date 10/10/2018</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82,418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824</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0.00%</w:t>
            </w:r>
          </w:p>
        </w:tc>
      </w:tr>
      <w:tr>
        <w:trPr>
          <w:trHeight w:val="130"/>
        </w:trPr>
        <w:tc>
          <w:tcPr>
            <w:tcW w:w="2580" w:type="dxa"/>
            <w:vAlign w:val="bottom"/>
            <w:tcBorders>
              <w:left w:val="single" w:sz="8" w:color="CCEEFF"/>
            </w:tcBorders>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 Strike Price $0.91,</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2/18/2019</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714,286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90,242</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7,417,039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5,777,102</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2.16%</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7"/>
              </w:rPr>
              <w:t>Menlo Park,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Online Shopping</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1,681,520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4,000,280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1.49%</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879,198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1,002,440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1,439,400</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0.54%</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5,002,720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5,439,400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2.03%</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4"/>
              </w:rPr>
              <w:t>Redwood City,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2,145,509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5,000,001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5,000,001</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1.87%</w:t>
            </w:r>
          </w:p>
        </w:tc>
      </w:tr>
      <w:tr>
        <w:trPr>
          <w:trHeight w:val="135"/>
        </w:trPr>
        <w:tc>
          <w:tcPr>
            <w:tcW w:w="2580" w:type="dxa"/>
            <w:vAlign w:val="bottom"/>
            <w:tcBorders>
              <w:left w:val="single" w:sz="8" w:color="CCEEFF"/>
            </w:tcBorders>
            <w:gridSpan w:val="7"/>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Knewton,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rPr>
              <w:t>New York, NY</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Online Education</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375,985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4,954,086</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1.85%</w:t>
            </w:r>
          </w:p>
        </w:tc>
      </w:tr>
      <w:tr>
        <w:trPr>
          <w:trHeight w:val="176"/>
        </w:trPr>
        <w:tc>
          <w:tcPr>
            <w:tcW w:w="2580" w:type="dxa"/>
            <w:vAlign w:val="bottom"/>
            <w:tcBorders>
              <w:left w:val="single" w:sz="8" w:color="CCEEFF"/>
            </w:tcBorders>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(1)(4)</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rPr>
              <w:t>New York, NY</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23"/>
        </w:trPr>
        <w:tc>
          <w:tcPr>
            <w:tcW w:w="2580" w:type="dxa"/>
            <w:vAlign w:val="bottom"/>
            <w:gridSpan w:val="7"/>
          </w:tcPr>
          <w:p>
            <w:pPr>
              <w:ind w:left="20"/>
              <w:spacing w:after="0" w:line="123"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0"/>
                <w:szCs w:val="10"/>
                <w:color w:val="auto"/>
              </w:rPr>
            </w:pPr>
          </w:p>
        </w:tc>
        <w:tc>
          <w:tcPr>
            <w:tcW w:w="208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4"/>
              </w:rPr>
              <w:t>Globally-focused Private</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167"/>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School</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3,000,000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3,000,000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1.12%</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1,577,097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0.56%</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4,577,097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4,500,000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1.68%</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Parchment,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2"/>
              </w:rPr>
              <w:t>Scottsdale, AZ</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2"/>
              </w:rPr>
              <w:t>E-Transcript Exchange</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3,200,512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4,000,982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4,000,000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1.49%</w:t>
            </w:r>
          </w:p>
        </w:tc>
      </w:tr>
      <w:tr>
        <w:trPr>
          <w:trHeight w:val="176"/>
        </w:trPr>
        <w:tc>
          <w:tcPr>
            <w:tcW w:w="2580" w:type="dxa"/>
            <w:vAlign w:val="bottom"/>
            <w:tcBorders>
              <w:left w:val="single" w:sz="8" w:color="CCEEFF"/>
            </w:tcBorders>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CUX, Inc. (d/b/a CorpU)</w:t>
            </w:r>
            <w:r>
              <w:rPr>
                <w:rFonts w:ascii="Arial" w:cs="Arial" w:eastAsia="Arial" w:hAnsi="Arial"/>
                <w:sz w:val="20"/>
                <w:szCs w:val="20"/>
                <w:b w:val="1"/>
                <w:bCs w:val="1"/>
                <w:color w:val="auto"/>
                <w:vertAlign w:val="superscript"/>
              </w:rPr>
              <w:t>(1)</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29"/>
        </w:trPr>
        <w:tc>
          <w:tcPr>
            <w:tcW w:w="2580" w:type="dxa"/>
            <w:vAlign w:val="bottom"/>
            <w:gridSpan w:val="7"/>
          </w:tcPr>
          <w:p>
            <w:pPr>
              <w:ind w:left="20"/>
              <w:spacing w:after="0" w:line="129" w:lineRule="exact"/>
              <w:rPr>
                <w:sz w:val="20"/>
                <w:szCs w:val="20"/>
                <w:color w:val="auto"/>
              </w:rPr>
            </w:pPr>
            <w:r>
              <w:rPr>
                <w:rFonts w:ascii="Arial" w:cs="Arial" w:eastAsia="Arial" w:hAnsi="Arial"/>
                <w:sz w:val="14"/>
                <w:szCs w:val="14"/>
                <w:color w:val="auto"/>
              </w:rPr>
              <w:t>Senior Subordinated Convertible</w:t>
            </w:r>
          </w:p>
        </w:tc>
        <w:tc>
          <w:tcPr>
            <w:tcW w:w="100" w:type="dxa"/>
            <w:vAlign w:val="bottom"/>
          </w:tcPr>
          <w:p>
            <w:pPr>
              <w:spacing w:after="0"/>
              <w:rPr>
                <w:sz w:val="11"/>
                <w:szCs w:val="11"/>
                <w:color w:val="auto"/>
              </w:rPr>
            </w:pPr>
          </w:p>
        </w:tc>
        <w:tc>
          <w:tcPr>
            <w:tcW w:w="2080" w:type="dxa"/>
            <w:vAlign w:val="bottom"/>
            <w:gridSpan w:val="3"/>
          </w:tcPr>
          <w:p>
            <w:pPr>
              <w:jc w:val="center"/>
              <w:ind w:right="200"/>
              <w:spacing w:after="0" w:line="129" w:lineRule="exact"/>
              <w:rPr>
                <w:sz w:val="20"/>
                <w:szCs w:val="20"/>
                <w:color w:val="auto"/>
              </w:rPr>
            </w:pPr>
            <w:r>
              <w:rPr>
                <w:rFonts w:ascii="Arial" w:cs="Arial" w:eastAsia="Arial" w:hAnsi="Arial"/>
                <w:sz w:val="14"/>
                <w:szCs w:val="14"/>
                <w:color w:val="auto"/>
                <w:w w:val="93"/>
              </w:rPr>
              <w:t>Corporate Education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53"/>
        </w:trPr>
        <w:tc>
          <w:tcPr>
            <w:tcW w:w="2580" w:type="dxa"/>
            <w:vAlign w:val="bottom"/>
            <w:gridSpan w:val="7"/>
          </w:tcPr>
          <w:p>
            <w:pPr>
              <w:ind w:left="200"/>
              <w:spacing w:after="0" w:line="153" w:lineRule="exact"/>
              <w:rPr>
                <w:sz w:val="20"/>
                <w:szCs w:val="20"/>
                <w:color w:val="auto"/>
              </w:rPr>
            </w:pPr>
            <w:r>
              <w:rPr>
                <w:rFonts w:ascii="Arial" w:cs="Arial" w:eastAsia="Arial" w:hAnsi="Arial"/>
                <w:sz w:val="14"/>
                <w:szCs w:val="14"/>
                <w:color w:val="auto"/>
                <w:w w:val="95"/>
              </w:rPr>
              <w:t>Promissory Note 8% Due 11/26/2018***</w:t>
            </w: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1"/>
        </w:trPr>
        <w:tc>
          <w:tcPr>
            <w:tcW w:w="1000" w:type="dxa"/>
            <w:vAlign w:val="bottom"/>
          </w:tcPr>
          <w:p>
            <w:pPr>
              <w:ind w:left="200"/>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1,080,000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1,080,000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1,080,000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0.40%</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Convertible preferred shares, Series D</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778,607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775,861</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0.29%</w:t>
            </w:r>
          </w:p>
        </w:tc>
      </w:tr>
      <w:tr>
        <w:trPr>
          <w:trHeight w:val="149"/>
        </w:trPr>
        <w:tc>
          <w:tcPr>
            <w:tcW w:w="2580" w:type="dxa"/>
            <w:vAlign w:val="bottom"/>
            <w:gridSpan w:val="7"/>
          </w:tcPr>
          <w:p>
            <w:pPr>
              <w:ind w:left="20"/>
              <w:spacing w:after="0" w:line="149" w:lineRule="exact"/>
              <w:rPr>
                <w:sz w:val="20"/>
                <w:szCs w:val="20"/>
                <w:color w:val="auto"/>
              </w:rPr>
            </w:pPr>
            <w:r>
              <w:rPr>
                <w:rFonts w:ascii="Arial" w:cs="Arial" w:eastAsia="Arial" w:hAnsi="Arial"/>
                <w:sz w:val="14"/>
                <w:szCs w:val="14"/>
                <w:color w:val="auto"/>
              </w:rPr>
              <w:t>Convertible preferred shares, Series C</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2,006,077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1,959,127</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0.73%</w:t>
            </w:r>
          </w:p>
        </w:tc>
      </w:tr>
      <w:tr>
        <w:trPr>
          <w:trHeight w:val="130"/>
        </w:trPr>
        <w:tc>
          <w:tcPr>
            <w:tcW w:w="2580" w:type="dxa"/>
            <w:vAlign w:val="bottom"/>
            <w:tcBorders>
              <w:left w:val="single" w:sz="8" w:color="CCEEFF"/>
            </w:tcBorders>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$4.59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2/25/2018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w:t>
            </w:r>
          </w:p>
        </w:tc>
        <w:tc>
          <w:tcPr>
            <w:tcW w:w="18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3,864,684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3,825,130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1.42%</w:t>
            </w:r>
          </w:p>
        </w:tc>
      </w:tr>
      <w:tr>
        <w:trPr>
          <w:trHeight w:val="129"/>
        </w:trPr>
        <w:tc>
          <w:tcPr>
            <w:tcW w:w="2580" w:type="dxa"/>
            <w:vAlign w:val="bottom"/>
            <w:tcBorders>
              <w:left w:val="single" w:sz="8" w:color="CCEEFF"/>
            </w:tcBorders>
            <w:gridSpan w:val="7"/>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Bloom Energy Corporation</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4"/>
              </w:rPr>
              <w:t>Sunnyvale,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6"/>
              </w:rPr>
              <w:t>Fuel Cell Energy</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201,589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3,855,601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3,014,861</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1.12%</w:t>
            </w:r>
          </w:p>
        </w:tc>
      </w:tr>
      <w:tr>
        <w:trPr>
          <w:trHeight w:val="135"/>
        </w:trPr>
        <w:tc>
          <w:tcPr>
            <w:tcW w:w="2580" w:type="dxa"/>
            <w:vAlign w:val="bottom"/>
            <w:tcBorders>
              <w:left w:val="single" w:sz="8" w:color="CCEEFF"/>
            </w:tcBorders>
            <w:gridSpan w:val="7"/>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DogVacay, Inc.</w:t>
            </w:r>
          </w:p>
        </w:tc>
        <w:tc>
          <w:tcPr>
            <w:tcW w:w="100" w:type="dxa"/>
            <w:vAlign w:val="bottom"/>
            <w:shd w:val="clear" w:color="auto" w:fill="CCEEFF"/>
          </w:tcPr>
          <w:p>
            <w:pPr>
              <w:spacing w:after="0"/>
              <w:rPr>
                <w:sz w:val="11"/>
                <w:szCs w:val="11"/>
                <w:color w:val="auto"/>
              </w:rPr>
            </w:pPr>
          </w:p>
        </w:tc>
        <w:tc>
          <w:tcPr>
            <w:tcW w:w="2080" w:type="dxa"/>
            <w:vAlign w:val="bottom"/>
            <w:gridSpan w:val="3"/>
            <w:shd w:val="clear" w:color="auto" w:fill="CCEEFF"/>
          </w:tcPr>
          <w:p>
            <w:pPr>
              <w:jc w:val="center"/>
              <w:ind w:right="200"/>
              <w:spacing w:after="0" w:line="135" w:lineRule="exact"/>
              <w:rPr>
                <w:sz w:val="20"/>
                <w:szCs w:val="20"/>
                <w:color w:val="auto"/>
              </w:rPr>
            </w:pPr>
            <w:r>
              <w:rPr>
                <w:rFonts w:ascii="Arial" w:cs="Arial" w:eastAsia="Arial" w:hAnsi="Arial"/>
                <w:sz w:val="14"/>
                <w:szCs w:val="14"/>
                <w:color w:val="auto"/>
                <w:w w:val="95"/>
              </w:rPr>
              <w:t>Santa Monica,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B-1</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3"/>
              </w:rPr>
              <w:t>Dog Boarding</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514,562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2,506,119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2,500,771</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0.93%</w:t>
            </w:r>
          </w:p>
        </w:tc>
      </w:tr>
      <w:tr>
        <w:trPr>
          <w:trHeight w:val="176"/>
        </w:trPr>
        <w:tc>
          <w:tcPr>
            <w:tcW w:w="2580" w:type="dxa"/>
            <w:vAlign w:val="bottom"/>
            <w:tcBorders>
              <w:left w:val="single" w:sz="8" w:color="CCEEFF"/>
            </w:tcBorders>
            <w:gridSpan w:val="7"/>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SharesPost, Inc.</w:t>
            </w:r>
            <w:r>
              <w:rPr>
                <w:rFonts w:ascii="Arial" w:cs="Arial" w:eastAsia="Arial" w:hAnsi="Arial"/>
                <w:sz w:val="20"/>
                <w:szCs w:val="20"/>
                <w:b w:val="1"/>
                <w:bCs w:val="1"/>
                <w:color w:val="auto"/>
                <w:vertAlign w:val="superscript"/>
              </w:rPr>
              <w:t>(6)</w:t>
            </w:r>
          </w:p>
        </w:tc>
        <w:tc>
          <w:tcPr>
            <w:tcW w:w="100" w:type="dxa"/>
            <w:vAlign w:val="bottom"/>
            <w:shd w:val="clear" w:color="auto" w:fill="CCEEFF"/>
          </w:tcPr>
          <w:p>
            <w:pPr>
              <w:spacing w:after="0"/>
              <w:rPr>
                <w:sz w:val="15"/>
                <w:szCs w:val="15"/>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San Bruno, CA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Online Marketplace Finance</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2,259,716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2,249,999</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0.84%</w:t>
            </w:r>
          </w:p>
        </w:tc>
      </w:tr>
      <w:tr>
        <w:trPr>
          <w:trHeight w:val="130"/>
        </w:trPr>
        <w:tc>
          <w:tcPr>
            <w:tcW w:w="2580" w:type="dxa"/>
            <w:vAlign w:val="bottom"/>
            <w:tcBorders>
              <w:left w:val="single" w:sz="8" w:color="CCEEFF"/>
            </w:tcBorders>
            <w:gridSpan w:val="7"/>
            <w:shd w:val="clear" w:color="auto" w:fill="CCEEFF"/>
          </w:tcPr>
          <w:p>
            <w:pPr>
              <w:ind w:left="20"/>
              <w:spacing w:after="0" w:line="130" w:lineRule="exact"/>
              <w:rPr>
                <w:sz w:val="20"/>
                <w:szCs w:val="20"/>
                <w:color w:val="auto"/>
              </w:rPr>
            </w:pPr>
            <w:r>
              <w:rPr>
                <w:rFonts w:ascii="Arial" w:cs="Arial" w:eastAsia="Arial" w:hAnsi="Arial"/>
                <w:sz w:val="14"/>
                <w:szCs w:val="14"/>
                <w:color w:val="auto"/>
              </w:rPr>
              <w:t>Common warrants, $0.13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2580" w:type="dxa"/>
            <w:vAlign w:val="bottom"/>
            <w:tcBorders>
              <w:left w:val="single" w:sz="8" w:color="CCEEFF"/>
            </w:tcBorders>
            <w:gridSpan w:val="7"/>
            <w:shd w:val="clear" w:color="auto" w:fill="CCEEFF"/>
          </w:tcPr>
          <w:p>
            <w:pPr>
              <w:ind w:left="200"/>
              <w:spacing w:after="0"/>
              <w:rPr>
                <w:sz w:val="20"/>
                <w:szCs w:val="20"/>
                <w:color w:val="auto"/>
              </w:rPr>
            </w:pPr>
            <w:r>
              <w:rPr>
                <w:rFonts w:ascii="Arial" w:cs="Arial" w:eastAsia="Arial" w:hAnsi="Arial"/>
                <w:sz w:val="14"/>
                <w:szCs w:val="14"/>
                <w:color w:val="auto"/>
              </w:rPr>
              <w:t>Expiration Date 6/15/2018</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23,128</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177,315</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0.07%</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2,282,844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2,427,314</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0.91%</w:t>
            </w:r>
          </w:p>
        </w:tc>
      </w:tr>
      <w:tr>
        <w:trPr>
          <w:trHeight w:val="169"/>
        </w:trPr>
        <w:tc>
          <w:tcPr>
            <w:tcW w:w="2580" w:type="dxa"/>
            <w:vAlign w:val="bottom"/>
            <w:tcBorders>
              <w:left w:val="single" w:sz="8" w:color="CCEEFF"/>
            </w:tcBorders>
            <w:gridSpan w:val="7"/>
            <w:shd w:val="clear" w:color="auto" w:fill="CCEEFF"/>
          </w:tcPr>
          <w:p>
            <w:pPr>
              <w:ind w:left="20"/>
              <w:spacing w:after="0" w:line="169" w:lineRule="exact"/>
              <w:rPr>
                <w:sz w:val="20"/>
                <w:szCs w:val="20"/>
                <w:color w:val="auto"/>
              </w:rPr>
            </w:pPr>
            <w:r>
              <w:rPr>
                <w:rFonts w:ascii="Arial" w:cs="Arial" w:eastAsia="Arial" w:hAnsi="Arial"/>
                <w:sz w:val="12"/>
                <w:szCs w:val="12"/>
                <w:b w:val="1"/>
                <w:bCs w:val="1"/>
                <w:color w:val="auto"/>
              </w:rPr>
              <w:t>Maven Research, Inc.</w:t>
            </w:r>
            <w:r>
              <w:rPr>
                <w:rFonts w:ascii="Arial" w:cs="Arial" w:eastAsia="Arial" w:hAnsi="Arial"/>
                <w:sz w:val="19"/>
                <w:szCs w:val="19"/>
                <w:b w:val="1"/>
                <w:bCs w:val="1"/>
                <w:color w:val="auto"/>
                <w:vertAlign w:val="superscript"/>
              </w:rPr>
              <w:t>(1)</w:t>
            </w:r>
          </w:p>
        </w:tc>
        <w:tc>
          <w:tcPr>
            <w:tcW w:w="100" w:type="dxa"/>
            <w:vAlign w:val="bottom"/>
            <w:shd w:val="clear" w:color="auto" w:fill="CCEEFF"/>
          </w:tcPr>
          <w:p>
            <w:pPr>
              <w:spacing w:after="0"/>
              <w:rPr>
                <w:sz w:val="14"/>
                <w:szCs w:val="14"/>
                <w:color w:val="auto"/>
              </w:rPr>
            </w:pP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left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0"/>
        </w:trPr>
        <w:tc>
          <w:tcPr>
            <w:tcW w:w="100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00" w:type="dxa"/>
            <w:vAlign w:val="bottom"/>
          </w:tcPr>
          <w:p>
            <w:pPr>
              <w:spacing w:after="0"/>
              <w:rPr>
                <w:sz w:val="12"/>
                <w:szCs w:val="12"/>
                <w:color w:val="auto"/>
              </w:rPr>
            </w:pPr>
          </w:p>
        </w:tc>
        <w:tc>
          <w:tcPr>
            <w:tcW w:w="2080" w:type="dxa"/>
            <w:vAlign w:val="bottom"/>
            <w:gridSpan w:val="3"/>
          </w:tcPr>
          <w:p>
            <w:pPr>
              <w:jc w:val="center"/>
              <w:ind w:right="200"/>
              <w:spacing w:after="0" w:line="142" w:lineRule="exact"/>
              <w:rPr>
                <w:sz w:val="20"/>
                <w:szCs w:val="20"/>
                <w:color w:val="auto"/>
              </w:rPr>
            </w:pPr>
            <w:r>
              <w:rPr>
                <w:rFonts w:ascii="Arial" w:cs="Arial" w:eastAsia="Arial" w:hAnsi="Arial"/>
                <w:sz w:val="14"/>
                <w:szCs w:val="14"/>
                <w:color w:val="auto"/>
                <w:w w:val="94"/>
              </w:rPr>
              <w:t>Knowledge Networks</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318,979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2,000,447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1,999,998</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0.75%</w:t>
            </w:r>
          </w:p>
        </w:tc>
      </w:tr>
      <w:tr>
        <w:trPr>
          <w:trHeight w:val="149"/>
        </w:trPr>
        <w:tc>
          <w:tcPr>
            <w:tcW w:w="2580" w:type="dxa"/>
            <w:vAlign w:val="bottom"/>
            <w:tcBorders>
              <w:left w:val="single" w:sz="8" w:color="CCEEFF"/>
            </w:tcBorders>
            <w:gridSpan w:val="7"/>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217,206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249,691</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0.09%</w:t>
            </w:r>
          </w:p>
        </w:tc>
      </w:tr>
      <w:tr>
        <w:trPr>
          <w:trHeight w:val="20"/>
        </w:trPr>
        <w:tc>
          <w:tcPr>
            <w:tcW w:w="10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42"/>
        </w:trPr>
        <w:tc>
          <w:tcPr>
            <w:tcW w:w="2580" w:type="dxa"/>
            <w:vAlign w:val="bottom"/>
            <w:gridSpan w:val="7"/>
          </w:tcPr>
          <w:p>
            <w:pPr>
              <w:ind w:left="20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2,217,653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2,249,689</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0.84%</w:t>
            </w: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-3798570</wp:posOffset>
            </wp:positionV>
            <wp:extent cx="5213985"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-3404235</wp:posOffset>
            </wp:positionV>
            <wp:extent cx="5213985" cy="1117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-2512060</wp:posOffset>
            </wp:positionV>
            <wp:extent cx="5213985" cy="111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-1423035</wp:posOffset>
            </wp:positionV>
            <wp:extent cx="5213985"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-530860</wp:posOffset>
            </wp:positionV>
            <wp:extent cx="5213985" cy="111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8" w:name="page19"/>
    <w:bookmarkEnd w:id="1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9"/>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DreamBox Learning,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5"/>
              </w:rPr>
              <w:t>Bellevue, WA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Technology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7,159,221</w:t>
            </w:r>
          </w:p>
        </w:tc>
        <w:tc>
          <w:tcPr>
            <w:tcW w:w="2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1,502,362</w:t>
            </w:r>
          </w:p>
        </w:tc>
        <w:tc>
          <w:tcPr>
            <w:tcW w:w="26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1,448,538</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3,579,610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758,017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724,269</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2,260,379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2,172,807</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Clever,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2"/>
              </w:rPr>
              <w:t>Education Software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2,000,601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2,026,414</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0.76%</w:t>
            </w:r>
          </w:p>
        </w:tc>
        <w:tc>
          <w:tcPr>
            <w:tcW w:w="0" w:type="dxa"/>
            <w:vAlign w:val="bottom"/>
          </w:tcPr>
          <w:p>
            <w:pPr>
              <w:spacing w:after="0"/>
              <w:rPr>
                <w:sz w:val="1"/>
                <w:szCs w:val="1"/>
                <w:color w:val="auto"/>
              </w:rPr>
            </w:pPr>
          </w:p>
        </w:tc>
      </w:tr>
      <w:tr>
        <w:trPr>
          <w:trHeight w:val="135"/>
        </w:trPr>
        <w:tc>
          <w:tcPr>
            <w:tcW w:w="25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Circle Media (f/k/a S3 Digital Corp.</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gridSpan w:val="10"/>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(d/b/a S3i))</w:t>
            </w:r>
            <w:r>
              <w:rPr>
                <w:rFonts w:ascii="Arial" w:cs="Arial" w:eastAsia="Arial" w:hAnsi="Arial"/>
                <w:sz w:val="19"/>
                <w:szCs w:val="19"/>
                <w:b w:val="1"/>
                <w:bCs w:val="1"/>
                <w:color w:val="auto"/>
                <w:vertAlign w:val="superscript"/>
              </w:rPr>
              <w:t>(1)</w:t>
            </w:r>
          </w:p>
        </w:tc>
        <w:tc>
          <w:tcPr>
            <w:tcW w:w="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Promissory Note 12%, 11/18/2016***</w:t>
            </w:r>
          </w:p>
        </w:tc>
        <w:tc>
          <w:tcPr>
            <w:tcW w:w="100" w:type="dxa"/>
            <w:vAlign w:val="bottom"/>
          </w:tcPr>
          <w:p>
            <w:pPr>
              <w:spacing w:after="0"/>
              <w:rPr>
                <w:sz w:val="12"/>
                <w:szCs w:val="12"/>
                <w:color w:val="auto"/>
              </w:rPr>
            </w:pPr>
          </w:p>
        </w:tc>
        <w:tc>
          <w:tcPr>
            <w:tcW w:w="1840" w:type="dxa"/>
            <w:vAlign w:val="bottom"/>
          </w:tcPr>
          <w:p>
            <w:pPr>
              <w:jc w:val="center"/>
              <w:spacing w:after="0" w:line="142" w:lineRule="exact"/>
              <w:rPr>
                <w:sz w:val="20"/>
                <w:szCs w:val="20"/>
                <w:color w:val="auto"/>
              </w:rPr>
            </w:pPr>
            <w:r>
              <w:rPr>
                <w:rFonts w:ascii="Arial" w:cs="Arial" w:eastAsia="Arial" w:hAnsi="Arial"/>
                <w:sz w:val="14"/>
                <w:szCs w:val="14"/>
                <w:color w:val="auto"/>
                <w:w w:val="95"/>
              </w:rPr>
              <w:t>Sports Analytics</w:t>
            </w:r>
          </w:p>
        </w:tc>
        <w:tc>
          <w:tcPr>
            <w:tcW w:w="24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25,000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26,104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25,000</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1,864,495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1,777,576</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1,156,175</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11/18/2022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5,360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429</w:t>
            </w: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Expiration Date 8/29/2021</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175,815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14,065</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6/26/2021</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3,088</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$1.17 Strike Price,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Expiration Date 9/30/2020</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160,806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12,864</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580" w:type="dxa"/>
            <w:vAlign w:val="bottom"/>
            <w:gridSpan w:val="13"/>
          </w:tcPr>
          <w:p>
            <w:pPr>
              <w:ind w:left="20"/>
              <w:spacing w:after="0" w:line="130" w:lineRule="exact"/>
              <w:rPr>
                <w:sz w:val="20"/>
                <w:szCs w:val="20"/>
                <w:color w:val="auto"/>
              </w:rPr>
            </w:pPr>
            <w:r>
              <w:rPr>
                <w:rFonts w:ascii="Arial" w:cs="Arial" w:eastAsia="Arial" w:hAnsi="Arial"/>
                <w:sz w:val="14"/>
                <w:szCs w:val="14"/>
                <w:color w:val="auto"/>
              </w:rPr>
              <w:t>Preferred warrants, $1.00 Strike Price,</w:t>
            </w: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gridSpan w:val="12"/>
          </w:tcPr>
          <w:p>
            <w:pPr>
              <w:ind w:left="180"/>
              <w:spacing w:after="0"/>
              <w:rPr>
                <w:sz w:val="20"/>
                <w:szCs w:val="20"/>
                <w:color w:val="auto"/>
              </w:rPr>
            </w:pPr>
            <w:r>
              <w:rPr>
                <w:rFonts w:ascii="Arial" w:cs="Arial" w:eastAsia="Arial" w:hAnsi="Arial"/>
                <w:sz w:val="14"/>
                <w:szCs w:val="14"/>
                <w:color w:val="auto"/>
              </w:rPr>
              <w:t>Expiration Date 11/21/2017</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31,354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55,000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2"/>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1,835,610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1,266,621</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0.47%</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3"/>
          </w:tcPr>
          <w:p>
            <w:pPr>
              <w:ind w:left="20"/>
              <w:spacing w:after="0" w:line="169" w:lineRule="exact"/>
              <w:rPr>
                <w:sz w:val="20"/>
                <w:szCs w:val="20"/>
                <w:color w:val="auto"/>
              </w:rPr>
            </w:pPr>
            <w:r>
              <w:rPr>
                <w:rFonts w:ascii="Arial" w:cs="Arial" w:eastAsia="Arial" w:hAnsi="Arial"/>
                <w:sz w:val="12"/>
                <w:szCs w:val="12"/>
                <w:b w:val="1"/>
                <w:bCs w:val="1"/>
                <w:color w:val="auto"/>
              </w:rPr>
              <w:t>EdSurge, Inc.</w:t>
            </w:r>
            <w:r>
              <w:rPr>
                <w:rFonts w:ascii="Arial" w:cs="Arial" w:eastAsia="Arial" w:hAnsi="Arial"/>
                <w:sz w:val="19"/>
                <w:szCs w:val="19"/>
                <w:b w:val="1"/>
                <w:bCs w:val="1"/>
                <w:color w:val="auto"/>
                <w:vertAlign w:val="superscript"/>
              </w:rPr>
              <w:t>(1)</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7"/>
              </w:rPr>
              <w:t>Burlingame, CA</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Education Media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375,909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500,960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494,365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500,801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524,867</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560" w:type="dxa"/>
            <w:vAlign w:val="bottom"/>
            <w:gridSpan w:val="12"/>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1,001,761</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1,024,867</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169"/>
        </w:trPr>
        <w:tc>
          <w:tcPr>
            <w:tcW w:w="2580" w:type="dxa"/>
            <w:vAlign w:val="bottom"/>
            <w:tcBorders>
              <w:top w:val="single" w:sz="8" w:color="CCEEFF"/>
            </w:tcBorders>
            <w:gridSpan w:val="13"/>
          </w:tcPr>
          <w:p>
            <w:pPr>
              <w:ind w:left="20"/>
              <w:spacing w:after="0" w:line="169" w:lineRule="exact"/>
              <w:rPr>
                <w:sz w:val="20"/>
                <w:szCs w:val="20"/>
                <w:color w:val="auto"/>
              </w:rPr>
            </w:pPr>
            <w:r>
              <w:rPr>
                <w:rFonts w:ascii="Arial" w:cs="Arial" w:eastAsia="Arial" w:hAnsi="Arial"/>
                <w:sz w:val="12"/>
                <w:szCs w:val="12"/>
                <w:b w:val="1"/>
                <w:bCs w:val="1"/>
                <w:color w:val="auto"/>
              </w:rPr>
              <w:t>Strategic Data Command, LLC</w:t>
            </w:r>
            <w:r>
              <w:rPr>
                <w:rFonts w:ascii="Arial" w:cs="Arial" w:eastAsia="Arial" w:hAnsi="Arial"/>
                <w:sz w:val="19"/>
                <w:szCs w:val="19"/>
                <w:b w:val="1"/>
                <w:bCs w:val="1"/>
                <w:color w:val="auto"/>
                <w:vertAlign w:val="superscript"/>
              </w:rPr>
              <w:t>(1)(7)(13)</w:t>
            </w:r>
          </w:p>
        </w:tc>
        <w:tc>
          <w:tcPr>
            <w:tcW w:w="100" w:type="dxa"/>
            <w:vAlign w:val="bottom"/>
            <w:tcBorders>
              <w:top w:val="single" w:sz="8" w:color="CCEEFF"/>
            </w:tcBorders>
          </w:tcPr>
          <w:p>
            <w:pPr>
              <w:spacing w:after="0"/>
              <w:rPr>
                <w:sz w:val="14"/>
                <w:szCs w:val="14"/>
                <w:color w:val="auto"/>
              </w:rPr>
            </w:pPr>
          </w:p>
        </w:tc>
        <w:tc>
          <w:tcPr>
            <w:tcW w:w="18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4"/>
              </w:rPr>
              <w:t>Sunnyvale, CA</w:t>
            </w: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7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Software Development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2,400,000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989,277</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1,001,650</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96"/>
              </w:rPr>
              <w:t>Marina Del Rey,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Financial Services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18,009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1,001,815</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918,720</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4C Insights (f/k/a The Echo Systems</w:t>
            </w:r>
          </w:p>
        </w:tc>
        <w:tc>
          <w:tcPr>
            <w:tcW w:w="100" w:type="dxa"/>
            <w:vAlign w:val="bottom"/>
          </w:tcPr>
          <w:p>
            <w:pPr>
              <w:spacing w:after="0"/>
              <w:rPr>
                <w:sz w:val="11"/>
                <w:szCs w:val="11"/>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auto"/>
            </w:tcBorders>
            <w:gridSpan w:val="11"/>
          </w:tcPr>
          <w:p>
            <w:pPr>
              <w:ind w:left="180"/>
              <w:spacing w:after="0" w:line="129" w:lineRule="exact"/>
              <w:rPr>
                <w:sz w:val="20"/>
                <w:szCs w:val="20"/>
                <w:color w:val="auto"/>
              </w:rPr>
            </w:pPr>
            <w:r>
              <w:rPr>
                <w:rFonts w:ascii="Arial" w:cs="Arial" w:eastAsia="Arial" w:hAnsi="Arial"/>
                <w:sz w:val="14"/>
                <w:szCs w:val="14"/>
                <w:b w:val="1"/>
                <w:bCs w:val="1"/>
                <w:color w:val="auto"/>
              </w:rPr>
              <w:t>Corp.)</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Data Platform</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512,365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1,436,404</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850,210</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35"/>
        </w:trPr>
        <w:tc>
          <w:tcPr>
            <w:tcW w:w="25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tcPr>
          <w:p>
            <w:pPr>
              <w:spacing w:after="0"/>
              <w:rPr>
                <w:sz w:val="11"/>
                <w:szCs w:val="11"/>
                <w:color w:val="auto"/>
              </w:rPr>
            </w:pPr>
          </w:p>
        </w:tc>
        <w:tc>
          <w:tcPr>
            <w:tcW w:w="1840" w:type="dxa"/>
            <w:vAlign w:val="bottom"/>
          </w:tcPr>
          <w:p>
            <w:pPr>
              <w:jc w:val="center"/>
              <w:spacing w:after="0" w:line="135" w:lineRule="exact"/>
              <w:rPr>
                <w:sz w:val="20"/>
                <w:szCs w:val="20"/>
                <w:color w:val="auto"/>
              </w:rPr>
            </w:pPr>
            <w:r>
              <w:rPr>
                <w:rFonts w:ascii="Arial" w:cs="Arial" w:eastAsia="Arial" w:hAnsi="Arial"/>
                <w:sz w:val="14"/>
                <w:szCs w:val="14"/>
                <w:color w:val="auto"/>
                <w:w w:val="88"/>
              </w:rPr>
              <w:t>San Jose, CA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Computer Software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309,310</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674,108</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Arial" w:cs="Arial" w:eastAsia="Arial" w:hAnsi="Arial"/>
                <w:sz w:val="13"/>
                <w:szCs w:val="13"/>
                <w:b w:val="1"/>
                <w:bCs w:val="1"/>
                <w:color w:val="auto"/>
              </w:rPr>
              <w:t>Gilt Groupe Holdings, Inc.</w:t>
            </w:r>
            <w:r>
              <w:rPr>
                <w:rFonts w:ascii="Arial" w:cs="Arial" w:eastAsia="Arial" w:hAnsi="Arial"/>
                <w:sz w:val="20"/>
                <w:szCs w:val="20"/>
                <w:b w:val="1"/>
                <w:bCs w:val="1"/>
                <w:color w:val="auto"/>
                <w:vertAlign w:val="superscript"/>
              </w:rPr>
              <w:t>(15)</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rPr>
              <w:t>New York, NY</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e-Commerce Flash Sales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248,600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6,594,433</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539,387</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176"/>
        </w:trPr>
        <w:tc>
          <w:tcPr>
            <w:tcW w:w="2580" w:type="dxa"/>
            <w:vAlign w:val="bottom"/>
            <w:gridSpan w:val="13"/>
          </w:tcPr>
          <w:p>
            <w:pPr>
              <w:ind w:left="20"/>
              <w:spacing w:after="0" w:line="176" w:lineRule="exact"/>
              <w:rPr>
                <w:sz w:val="20"/>
                <w:szCs w:val="20"/>
                <w:color w:val="auto"/>
              </w:rPr>
            </w:pPr>
            <w:r>
              <w:rPr>
                <w:rFonts w:ascii="Arial" w:cs="Arial" w:eastAsia="Arial" w:hAnsi="Arial"/>
                <w:sz w:val="13"/>
                <w:szCs w:val="13"/>
                <w:b w:val="1"/>
                <w:bCs w:val="1"/>
                <w:color w:val="auto"/>
              </w:rPr>
              <w:t>AlwaysOn, Inc.</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color w:val="auto"/>
                <w:w w:val="93"/>
              </w:rPr>
              <w:t>Woodside, CA</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Social Media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4,465,925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876,023</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133,978</w:t>
            </w:r>
          </w:p>
        </w:tc>
        <w:tc>
          <w:tcPr>
            <w:tcW w:w="840" w:type="dxa"/>
            <w:vAlign w:val="bottom"/>
            <w:tcBorders>
              <w:left w:val="single" w:sz="8" w:color="CCEEFF"/>
            </w:tcBorders>
            <w:gridSpan w:val="3"/>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5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
              <w:spacing w:after="0" w:line="149" w:lineRule="exact"/>
              <w:rPr>
                <w:sz w:val="20"/>
                <w:szCs w:val="20"/>
                <w:color w:val="auto"/>
              </w:rPr>
            </w:pPr>
            <w:r>
              <w:rPr>
                <w:rFonts w:ascii="Arial" w:cs="Arial" w:eastAsia="Arial" w:hAnsi="Arial"/>
                <w:sz w:val="14"/>
                <w:szCs w:val="14"/>
                <w:color w:val="auto"/>
              </w:rPr>
              <w:t>1,066,626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1,027,391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191,993</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30"/>
        </w:trPr>
        <w:tc>
          <w:tcPr>
            <w:tcW w:w="2580" w:type="dxa"/>
            <w:vAlign w:val="bottom"/>
            <w:gridSpan w:val="13"/>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 $1.00 strike</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560" w:type="dxa"/>
            <w:vAlign w:val="bottom"/>
            <w:gridSpan w:val="12"/>
            <w:shd w:val="clear" w:color="auto" w:fill="CCEEFF"/>
          </w:tcPr>
          <w:p>
            <w:pPr>
              <w:ind w:left="180"/>
              <w:spacing w:after="0"/>
              <w:rPr>
                <w:sz w:val="20"/>
                <w:szCs w:val="20"/>
                <w:color w:val="auto"/>
              </w:rPr>
            </w:pPr>
            <w:r>
              <w:rPr>
                <w:rFonts w:ascii="Arial" w:cs="Arial" w:eastAsia="Arial" w:hAnsi="Arial"/>
                <w:sz w:val="14"/>
                <w:szCs w:val="14"/>
                <w:color w:val="auto"/>
              </w:rPr>
              <w:t>price, expire 1/9/2017</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109,375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1,903,414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325,971</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29"/>
        </w:trPr>
        <w:tc>
          <w:tcPr>
            <w:tcW w:w="2580" w:type="dxa"/>
            <w:vAlign w:val="bottom"/>
            <w:gridSpan w:val="13"/>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Earlyshares.com, Inc.</w:t>
            </w: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jc w:val="center"/>
              <w:spacing w:after="0" w:line="129" w:lineRule="exact"/>
              <w:rPr>
                <w:sz w:val="20"/>
                <w:szCs w:val="20"/>
                <w:color w:val="auto"/>
              </w:rPr>
            </w:pPr>
            <w:r>
              <w:rPr>
                <w:rFonts w:ascii="Arial" w:cs="Arial" w:eastAsia="Arial" w:hAnsi="Arial"/>
                <w:sz w:val="14"/>
                <w:szCs w:val="14"/>
                <w:color w:val="auto"/>
              </w:rPr>
              <w:t>Miami, FL</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gridSpan w:val="13"/>
          </w:tcPr>
          <w:p>
            <w:pPr>
              <w:ind w:left="20"/>
              <w:spacing w:after="0" w:line="155" w:lineRule="exact"/>
              <w:rPr>
                <w:sz w:val="20"/>
                <w:szCs w:val="20"/>
                <w:color w:val="auto"/>
              </w:rPr>
            </w:pPr>
            <w:r>
              <w:rPr>
                <w:rFonts w:ascii="Arial" w:cs="Arial" w:eastAsia="Arial" w:hAnsi="Arial"/>
                <w:sz w:val="14"/>
                <w:szCs w:val="14"/>
                <w:color w:val="auto"/>
              </w:rPr>
              <w:t>Convertible Promissory Note 5%,</w:t>
            </w:r>
          </w:p>
        </w:tc>
        <w:tc>
          <w:tcPr>
            <w:tcW w:w="100" w:type="dxa"/>
            <w:vAlign w:val="bottom"/>
          </w:tcPr>
          <w:p>
            <w:pPr>
              <w:spacing w:after="0"/>
              <w:rPr>
                <w:sz w:val="13"/>
                <w:szCs w:val="13"/>
                <w:color w:val="auto"/>
              </w:rPr>
            </w:pPr>
          </w:p>
        </w:tc>
        <w:tc>
          <w:tcPr>
            <w:tcW w:w="1840" w:type="dxa"/>
            <w:vAlign w:val="bottom"/>
          </w:tcPr>
          <w:p>
            <w:pPr>
              <w:jc w:val="center"/>
              <w:spacing w:after="0" w:line="155" w:lineRule="exact"/>
              <w:rPr>
                <w:sz w:val="20"/>
                <w:szCs w:val="20"/>
                <w:color w:val="auto"/>
              </w:rPr>
            </w:pPr>
            <w:r>
              <w:rPr>
                <w:rFonts w:ascii="Arial" w:cs="Arial" w:eastAsia="Arial" w:hAnsi="Arial"/>
                <w:sz w:val="14"/>
                <w:szCs w:val="14"/>
                <w:color w:val="auto"/>
                <w:w w:val="95"/>
              </w:rPr>
              <w:t>Equity Crowdfunding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960" w:type="dxa"/>
            <w:vAlign w:val="bottom"/>
            <w:gridSpan w:val="6"/>
          </w:tcPr>
          <w:p>
            <w:pPr>
              <w:ind w:left="200"/>
              <w:spacing w:after="0" w:line="176" w:lineRule="exact"/>
              <w:rPr>
                <w:sz w:val="20"/>
                <w:szCs w:val="20"/>
                <w:color w:val="auto"/>
              </w:rPr>
            </w:pPr>
            <w:r>
              <w:rPr>
                <w:rFonts w:ascii="Arial" w:cs="Arial" w:eastAsia="Arial" w:hAnsi="Arial"/>
                <w:sz w:val="13"/>
                <w:szCs w:val="13"/>
                <w:color w:val="auto"/>
                <w:w w:val="99"/>
              </w:rPr>
              <w:t>8/2/2016</w:t>
            </w:r>
            <w:r>
              <w:rPr>
                <w:rFonts w:ascii="Arial" w:cs="Arial" w:eastAsia="Arial" w:hAnsi="Arial"/>
                <w:sz w:val="20"/>
                <w:szCs w:val="20"/>
                <w:color w:val="auto"/>
                <w:w w:val="99"/>
                <w:vertAlign w:val="superscript"/>
              </w:rPr>
              <w:t>(11)</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50,840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50,000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25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165,715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261,598</w:t>
            </w:r>
          </w:p>
        </w:tc>
        <w:tc>
          <w:tcPr>
            <w:tcW w:w="1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125,115</w:t>
            </w:r>
          </w:p>
        </w:tc>
        <w:tc>
          <w:tcPr>
            <w:tcW w:w="840" w:type="dxa"/>
            <w:vAlign w:val="bottom"/>
            <w:tcBorders>
              <w:left w:val="single" w:sz="8" w:color="CCEEFF"/>
            </w:tcBorders>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gridSpan w:val="12"/>
          </w:tcPr>
          <w:p>
            <w:pPr>
              <w:ind w:left="180"/>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312,438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175,115</w:t>
            </w:r>
          </w:p>
        </w:tc>
        <w:tc>
          <w:tcPr>
            <w:tcW w:w="840" w:type="dxa"/>
            <w:vAlign w:val="bottom"/>
            <w:gridSpan w:val="3"/>
          </w:tcPr>
          <w:p>
            <w:pPr>
              <w:jc w:val="right"/>
              <w:ind w:right="100"/>
              <w:spacing w:after="0" w:line="142" w:lineRule="exact"/>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-4390390</wp:posOffset>
            </wp:positionV>
            <wp:extent cx="5213985" cy="1117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-2640965</wp:posOffset>
            </wp:positionV>
            <wp:extent cx="521398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-2220595</wp:posOffset>
            </wp:positionV>
            <wp:extent cx="5213985" cy="1289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3985" cy="1289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-625475</wp:posOffset>
            </wp:positionV>
            <wp:extent cx="5213985" cy="1117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-111125</wp:posOffset>
            </wp:positionV>
            <wp:extent cx="5213985" cy="1117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9" w:name="page20"/>
    <w:bookmarkEnd w:id="1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-48260</wp:posOffset>
            </wp:positionV>
            <wp:extent cx="52139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70"/>
              <w:spacing w:after="0" w:line="121"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tcPr>
          <w:p>
            <w:pPr>
              <w:jc w:val="right"/>
              <w:ind w:right="200"/>
              <w:spacing w:after="0" w:line="121"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58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Portfolio Investments*</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Headquarters/Industry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w w:val="98"/>
              </w:rPr>
              <w:t>Principal</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29"/>
        </w:trPr>
        <w:tc>
          <w:tcPr>
            <w:tcW w:w="26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AliphCom, Inc. (d/b/a Jawbone)</w:t>
            </w:r>
          </w:p>
        </w:tc>
        <w:tc>
          <w:tcPr>
            <w:tcW w:w="2080" w:type="dxa"/>
            <w:vAlign w:val="bottom"/>
            <w:gridSpan w:val="3"/>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Smart Device Company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150,000</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793,152</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130,910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Upwork Global Inc. (f/k/a Odesk</w:t>
            </w:r>
          </w:p>
        </w:tc>
        <w:tc>
          <w:tcPr>
            <w:tcW w:w="2080" w:type="dxa"/>
            <w:vAlign w:val="bottom"/>
            <w:gridSpan w:val="3"/>
            <w:vMerge w:val="restart"/>
            <w:shd w:val="clear" w:color="auto" w:fill="CCEEFF"/>
          </w:tcPr>
          <w:p>
            <w:pPr>
              <w:jc w:val="center"/>
              <w:ind w:right="180"/>
              <w:spacing w:after="0"/>
              <w:rPr>
                <w:sz w:val="20"/>
                <w:szCs w:val="20"/>
                <w:color w:val="auto"/>
              </w:rPr>
            </w:pPr>
            <w:r>
              <w:rPr>
                <w:rFonts w:ascii="Arial" w:cs="Arial" w:eastAsia="Arial" w:hAnsi="Arial"/>
                <w:sz w:val="14"/>
                <w:szCs w:val="14"/>
                <w:color w:val="auto"/>
                <w:w w:val="96"/>
              </w:rPr>
              <w:t>Redwood City,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2020" w:type="dxa"/>
            <w:vAlign w:val="bottom"/>
            <w:tcBorders>
              <w:top w:val="single" w:sz="8" w:color="auto"/>
              <w:right w:val="single" w:sz="8" w:color="CCEEFF"/>
            </w:tcBorders>
            <w:gridSpan w:val="6"/>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Corporation)</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gridSpan w:val="2"/>
            <w:shd w:val="clear" w:color="auto" w:fill="CCEEFF"/>
          </w:tcPr>
          <w:p>
            <w:pPr>
              <w:spacing w:after="0"/>
              <w:rPr>
                <w:sz w:val="11"/>
                <w:szCs w:val="11"/>
                <w:color w:val="auto"/>
              </w:rPr>
            </w:pPr>
          </w:p>
        </w:tc>
        <w:tc>
          <w:tcPr>
            <w:tcW w:w="2080" w:type="dxa"/>
            <w:vAlign w:val="bottom"/>
            <w:tcBorders>
              <w:top w:val="single" w:sz="8" w:color="CCEEFF"/>
            </w:tcBorders>
            <w:gridSpan w:val="3"/>
            <w:vMerge w:val="continue"/>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left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Online Workplace Platform</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25,159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183,269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114,964</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76"/>
        </w:trPr>
        <w:tc>
          <w:tcPr>
            <w:tcW w:w="268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Cricket Media (f/k/a ePals Inc.)**</w:t>
            </w:r>
            <w:r>
              <w:rPr>
                <w:rFonts w:ascii="Arial" w:cs="Arial" w:eastAsia="Arial" w:hAnsi="Arial"/>
                <w:sz w:val="20"/>
                <w:szCs w:val="20"/>
                <w:b w:val="1"/>
                <w:bCs w:val="1"/>
                <w:color w:val="auto"/>
                <w:vertAlign w:val="superscript"/>
              </w:rPr>
              <w:t>(8)</w:t>
            </w:r>
          </w:p>
        </w:tc>
        <w:tc>
          <w:tcPr>
            <w:tcW w:w="208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Herndon, VA</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5"/>
              </w:rPr>
              <w:t>Online Education</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1,333,333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2,448,959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67,296</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Orchestra One, Inc. (f/k/a Learnist Inc.)</w:t>
            </w:r>
          </w:p>
        </w:tc>
        <w:tc>
          <w:tcPr>
            <w:tcW w:w="2080" w:type="dxa"/>
            <w:vAlign w:val="bottom"/>
            <w:gridSpan w:val="3"/>
            <w:vMerge w:val="restart"/>
            <w:shd w:val="clear" w:color="auto" w:fill="CCEEFF"/>
          </w:tcPr>
          <w:p>
            <w:pPr>
              <w:jc w:val="center"/>
              <w:ind w:right="200"/>
              <w:spacing w:after="0"/>
              <w:rPr>
                <w:sz w:val="20"/>
                <w:szCs w:val="20"/>
                <w:color w:val="auto"/>
              </w:rPr>
            </w:pPr>
            <w:r>
              <w:rPr>
                <w:rFonts w:ascii="Arial" w:cs="Arial" w:eastAsia="Arial" w:hAnsi="Arial"/>
                <w:sz w:val="14"/>
                <w:szCs w:val="14"/>
                <w:color w:val="auto"/>
                <w:w w:val="92"/>
              </w:rPr>
              <w:t>San Francisco, CA</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gridSpan w:val="3"/>
            <w:shd w:val="clear" w:color="auto" w:fill="CCEEFF"/>
          </w:tcPr>
          <w:p>
            <w:pPr>
              <w:ind w:left="180"/>
              <w:spacing w:after="0"/>
              <w:rPr>
                <w:sz w:val="20"/>
                <w:szCs w:val="20"/>
                <w:color w:val="auto"/>
              </w:rPr>
            </w:pPr>
            <w:r>
              <w:rPr>
                <w:rFonts w:ascii="Arial" w:cs="Arial" w:eastAsia="Arial" w:hAnsi="Arial"/>
                <w:sz w:val="12"/>
                <w:szCs w:val="12"/>
                <w:b w:val="1"/>
                <w:bCs w:val="1"/>
                <w:color w:val="auto"/>
              </w:rPr>
              <w:t>(1)(14)</w:t>
            </w:r>
          </w:p>
        </w:tc>
        <w:tc>
          <w:tcPr>
            <w:tcW w:w="1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gridSpan w:val="3"/>
            <w:vMerge w:val="continue"/>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lef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left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Common shares</w:t>
            </w:r>
          </w:p>
        </w:tc>
        <w:tc>
          <w:tcPr>
            <w:tcW w:w="2080" w:type="dxa"/>
            <w:vAlign w:val="bottom"/>
            <w:gridSpan w:val="3"/>
          </w:tcPr>
          <w:p>
            <w:pPr>
              <w:jc w:val="center"/>
              <w:ind w:right="180"/>
              <w:spacing w:after="0" w:line="130" w:lineRule="exact"/>
              <w:rPr>
                <w:sz w:val="20"/>
                <w:szCs w:val="20"/>
                <w:color w:val="auto"/>
              </w:rPr>
            </w:pPr>
            <w:r>
              <w:rPr>
                <w:rFonts w:ascii="Arial" w:cs="Arial" w:eastAsia="Arial" w:hAnsi="Arial"/>
                <w:sz w:val="14"/>
                <w:szCs w:val="14"/>
                <w:color w:val="auto"/>
                <w:w w:val="93"/>
              </w:rPr>
              <w:t>Consumer Health</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Technology</w:t>
            </w:r>
          </w:p>
        </w:tc>
        <w:tc>
          <w:tcPr>
            <w:tcW w:w="740" w:type="dxa"/>
            <w:vAlign w:val="bottom"/>
          </w:tcPr>
          <w:p>
            <w:pPr>
              <w:jc w:val="right"/>
              <w:spacing w:after="0"/>
              <w:rPr>
                <w:sz w:val="20"/>
                <w:szCs w:val="20"/>
                <w:color w:val="auto"/>
              </w:rPr>
            </w:pPr>
            <w:r>
              <w:rPr>
                <w:rFonts w:ascii="Arial" w:cs="Arial" w:eastAsia="Arial" w:hAnsi="Arial"/>
                <w:sz w:val="14"/>
                <w:szCs w:val="14"/>
                <w:color w:val="auto"/>
              </w:rPr>
              <w:t>57,026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4,959,616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4,364</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5"/>
        </w:trPr>
        <w:tc>
          <w:tcPr>
            <w:tcW w:w="2680" w:type="dxa"/>
            <w:vAlign w:val="bottom"/>
            <w:gridSpan w:val="11"/>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 (Holdings)</w:t>
            </w:r>
          </w:p>
        </w:tc>
        <w:tc>
          <w:tcPr>
            <w:tcW w:w="1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236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Ltd.</w:t>
            </w:r>
            <w:r>
              <w:rPr>
                <w:rFonts w:ascii="Arial" w:cs="Arial" w:eastAsia="Arial" w:hAnsi="Arial"/>
                <w:sz w:val="19"/>
                <w:szCs w:val="19"/>
                <w:b w:val="1"/>
                <w:bCs w:val="1"/>
                <w:color w:val="auto"/>
                <w:vertAlign w:val="superscript"/>
              </w:rPr>
              <w:t>(1)</w:t>
            </w:r>
            <w:r>
              <w:rPr>
                <w:rFonts w:ascii="Arial" w:cs="Arial" w:eastAsia="Arial" w:hAnsi="Arial"/>
                <w:sz w:val="12"/>
                <w:szCs w:val="12"/>
                <w:b w:val="1"/>
                <w:bCs w:val="1"/>
                <w:color w:val="auto"/>
              </w:rPr>
              <w:t>**</w:t>
            </w:r>
          </w:p>
        </w:tc>
        <w:tc>
          <w:tcPr>
            <w:tcW w:w="300" w:type="dxa"/>
            <w:vAlign w:val="bottom"/>
            <w:tcBorders>
              <w:top w:val="single" w:sz="8" w:color="CCEEFF"/>
            </w:tcBorders>
            <w:gridSpan w:val="3"/>
            <w:shd w:val="clear" w:color="auto" w:fill="CCEEFF"/>
          </w:tcPr>
          <w:p>
            <w:pPr>
              <w:spacing w:after="0"/>
              <w:rPr>
                <w:sz w:val="14"/>
                <w:szCs w:val="14"/>
                <w:color w:val="auto"/>
              </w:rPr>
            </w:pPr>
          </w:p>
        </w:tc>
        <w:tc>
          <w:tcPr>
            <w:tcW w:w="2080" w:type="dxa"/>
            <w:vAlign w:val="bottom"/>
            <w:tcBorders>
              <w:top w:val="single" w:sz="8" w:color="CCEEFF"/>
            </w:tcBorders>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7"/>
              </w:rPr>
              <w:t>Hong Kong</w:t>
            </w: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lef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left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208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3"/>
              </w:rPr>
              <w:t>Education Technology</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2,126,475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675,375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6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rPr>
              <w:t>Total Portfolio Investments</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293,349,843</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349,808,767</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130.52%</w:t>
            </w:r>
          </w:p>
        </w:tc>
        <w:tc>
          <w:tcPr>
            <w:tcW w:w="0" w:type="dxa"/>
            <w:vAlign w:val="bottom"/>
          </w:tcPr>
          <w:p>
            <w:pPr>
              <w:spacing w:after="0"/>
              <w:rPr>
                <w:sz w:val="1"/>
                <w:szCs w:val="1"/>
                <w:color w:val="auto"/>
              </w:rPr>
            </w:pPr>
          </w:p>
        </w:tc>
      </w:tr>
      <w:tr>
        <w:trPr>
          <w:trHeight w:val="129"/>
        </w:trPr>
        <w:tc>
          <w:tcPr>
            <w:tcW w:w="2680" w:type="dxa"/>
            <w:vAlign w:val="bottom"/>
            <w:tcBorders>
              <w:top w:val="single" w:sz="8" w:color="CCEEFF"/>
            </w:tcBorders>
            <w:gridSpan w:val="11"/>
          </w:tcPr>
          <w:p>
            <w:pPr>
              <w:ind w:left="20"/>
              <w:spacing w:after="0" w:line="129" w:lineRule="exact"/>
              <w:rPr>
                <w:sz w:val="20"/>
                <w:szCs w:val="20"/>
                <w:color w:val="auto"/>
              </w:rPr>
            </w:pPr>
            <w:r>
              <w:rPr>
                <w:rFonts w:ascii="Arial" w:cs="Arial" w:eastAsia="Arial" w:hAnsi="Arial"/>
                <w:sz w:val="14"/>
                <w:szCs w:val="14"/>
                <w:b w:val="1"/>
                <w:bCs w:val="1"/>
                <w:color w:val="auto"/>
              </w:rPr>
              <w:t>U.S. Treasury</w:t>
            </w:r>
          </w:p>
        </w:tc>
        <w:tc>
          <w:tcPr>
            <w:tcW w:w="18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4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U.S. Treasury Bill, 0%, due 1/7/2016</w:t>
            </w:r>
          </w:p>
        </w:tc>
        <w:tc>
          <w:tcPr>
            <w:tcW w:w="208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30,000,000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29,999,968</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30,000,000</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11.19%</w:t>
            </w:r>
          </w:p>
        </w:tc>
        <w:tc>
          <w:tcPr>
            <w:tcW w:w="0" w:type="dxa"/>
            <w:vAlign w:val="bottom"/>
          </w:tcPr>
          <w:p>
            <w:pPr>
              <w:spacing w:after="0"/>
              <w:rPr>
                <w:sz w:val="1"/>
                <w:szCs w:val="1"/>
                <w:color w:val="auto"/>
              </w:rPr>
            </w:pPr>
          </w:p>
        </w:tc>
      </w:tr>
      <w:tr>
        <w:trPr>
          <w:trHeight w:val="176"/>
        </w:trPr>
        <w:tc>
          <w:tcPr>
            <w:tcW w:w="268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U.S. Treasury Strips</w:t>
            </w:r>
            <w:r>
              <w:rPr>
                <w:rFonts w:ascii="Arial" w:cs="Arial" w:eastAsia="Arial" w:hAnsi="Arial"/>
                <w:sz w:val="20"/>
                <w:szCs w:val="20"/>
                <w:b w:val="1"/>
                <w:bCs w:val="1"/>
                <w:color w:val="auto"/>
                <w:vertAlign w:val="superscript"/>
              </w:rPr>
              <w:t>(9)</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80" w:type="dxa"/>
            <w:vAlign w:val="bottom"/>
            <w:gridSpan w:val="11"/>
            <w:shd w:val="clear" w:color="auto" w:fill="CCEEFF"/>
          </w:tcPr>
          <w:p>
            <w:pPr>
              <w:ind w:left="20"/>
              <w:spacing w:after="0" w:line="123"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due 8/15/2016</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1,842,412</w:t>
            </w:r>
          </w:p>
        </w:tc>
        <w:tc>
          <w:tcPr>
            <w:tcW w:w="16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1,843,170</w:t>
            </w:r>
          </w:p>
        </w:tc>
        <w:tc>
          <w:tcPr>
            <w:tcW w:w="840" w:type="dxa"/>
            <w:vAlign w:val="bottom"/>
            <w:tcBorders>
              <w:lef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30"/>
        </w:trPr>
        <w:tc>
          <w:tcPr>
            <w:tcW w:w="2680" w:type="dxa"/>
            <w:vAlign w:val="bottom"/>
            <w:gridSpan w:val="11"/>
          </w:tcPr>
          <w:p>
            <w:pPr>
              <w:ind w:left="20"/>
              <w:spacing w:after="0" w:line="130" w:lineRule="exact"/>
              <w:rPr>
                <w:sz w:val="20"/>
                <w:szCs w:val="20"/>
                <w:color w:val="auto"/>
              </w:rPr>
            </w:pPr>
            <w:r>
              <w:rPr>
                <w:rFonts w:ascii="Arial" w:cs="Arial" w:eastAsia="Arial" w:hAnsi="Arial"/>
                <w:sz w:val="14"/>
                <w:szCs w:val="14"/>
                <w:color w:val="auto"/>
                <w:w w:val="95"/>
              </w:rPr>
              <w:t>United States Treasury Strip Coupon, 0.00%</w:t>
            </w: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gridSpan w:val="10"/>
          </w:tcPr>
          <w:p>
            <w:pPr>
              <w:ind w:left="180"/>
              <w:spacing w:after="0"/>
              <w:rPr>
                <w:sz w:val="20"/>
                <w:szCs w:val="20"/>
                <w:color w:val="auto"/>
              </w:rPr>
            </w:pPr>
            <w:r>
              <w:rPr>
                <w:rFonts w:ascii="Arial" w:cs="Arial" w:eastAsia="Arial" w:hAnsi="Arial"/>
                <w:sz w:val="14"/>
                <w:szCs w:val="14"/>
                <w:color w:val="auto"/>
              </w:rPr>
              <w:t>due 2/15/2016</w:t>
            </w:r>
          </w:p>
        </w:tc>
        <w:tc>
          <w:tcPr>
            <w:tcW w:w="20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1,834,000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1,832,780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1,833,523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660" w:type="dxa"/>
            <w:vAlign w:val="bottom"/>
            <w:gridSpan w:val="10"/>
            <w:shd w:val="clear" w:color="auto" w:fill="CCEEFF"/>
          </w:tcPr>
          <w:p>
            <w:pPr>
              <w:ind w:left="180"/>
              <w:spacing w:after="0" w:line="142" w:lineRule="exact"/>
              <w:rPr>
                <w:sz w:val="20"/>
                <w:szCs w:val="20"/>
                <w:color w:val="auto"/>
              </w:rPr>
            </w:pPr>
            <w:r>
              <w:rPr>
                <w:rFonts w:ascii="Arial" w:cs="Arial" w:eastAsia="Arial" w:hAnsi="Arial"/>
                <w:sz w:val="14"/>
                <w:szCs w:val="14"/>
                <w:color w:val="auto"/>
              </w:rPr>
              <w:t>Total</w:t>
            </w: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3,675,192</w:t>
            </w:r>
          </w:p>
        </w:tc>
        <w:tc>
          <w:tcPr>
            <w:tcW w:w="16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3,676,693</w:t>
            </w:r>
          </w:p>
        </w:tc>
        <w:tc>
          <w:tcPr>
            <w:tcW w:w="840" w:type="dxa"/>
            <w:vAlign w:val="bottom"/>
            <w:tcBorders>
              <w:left w:val="single" w:sz="8" w:color="CCEEFF"/>
            </w:tcBorders>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gridSpan w:val="11"/>
          </w:tcPr>
          <w:p>
            <w:pPr>
              <w:ind w:left="20"/>
              <w:spacing w:after="0" w:line="142" w:lineRule="exact"/>
              <w:rPr>
                <w:sz w:val="20"/>
                <w:szCs w:val="20"/>
                <w:color w:val="auto"/>
              </w:rPr>
            </w:pPr>
            <w:r>
              <w:rPr>
                <w:rFonts w:ascii="Arial" w:cs="Arial" w:eastAsia="Arial" w:hAnsi="Arial"/>
                <w:sz w:val="14"/>
                <w:szCs w:val="14"/>
                <w:b w:val="1"/>
                <w:bCs w:val="1"/>
                <w:color w:val="auto"/>
              </w:rPr>
              <w:t>Total Investments</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92"/>
              </w:rPr>
              <w:t>327,025,003</w:t>
            </w:r>
          </w:p>
        </w:tc>
        <w:tc>
          <w:tcPr>
            <w:tcW w:w="24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383,485,460</w:t>
            </w:r>
          </w:p>
        </w:tc>
        <w:tc>
          <w:tcPr>
            <w:tcW w:w="840" w:type="dxa"/>
            <w:vAlign w:val="bottom"/>
            <w:gridSpan w:val="3"/>
          </w:tcPr>
          <w:p>
            <w:pPr>
              <w:jc w:val="right"/>
              <w:ind w:right="60"/>
              <w:spacing w:after="0" w:line="142" w:lineRule="exact"/>
              <w:rPr>
                <w:sz w:val="20"/>
                <w:szCs w:val="20"/>
                <w:color w:val="auto"/>
              </w:rPr>
            </w:pPr>
            <w:r>
              <w:rPr>
                <w:rFonts w:ascii="Arial" w:cs="Arial" w:eastAsia="Arial" w:hAnsi="Arial"/>
                <w:sz w:val="14"/>
                <w:szCs w:val="14"/>
                <w:color w:val="auto"/>
              </w:rPr>
              <w:t>143.08%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-1114425</wp:posOffset>
            </wp:positionV>
            <wp:extent cx="5213985"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3985" cy="10287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-316865</wp:posOffset>
            </wp:positionV>
            <wp:extent cx="521398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236" w:lineRule="exact"/>
        <w:rPr>
          <w:sz w:val="20"/>
          <w:szCs w:val="20"/>
          <w:color w:val="auto"/>
        </w:rPr>
      </w:pPr>
    </w:p>
    <w:p>
      <w:pPr>
        <w:ind w:left="300" w:right="739" w:hanging="272"/>
        <w:spacing w:after="0" w:line="259" w:lineRule="auto"/>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 All investments are pledged as collateral, unless otherwise noted, to the Credit Facility. The Company’s officers and staff may serve on the board of directors of the Company’s portfolio investments.</w:t>
      </w:r>
    </w:p>
    <w:p>
      <w:pPr>
        <w:spacing w:after="0" w:line="79" w:lineRule="exact"/>
        <w:rPr>
          <w:sz w:val="20"/>
          <w:szCs w:val="20"/>
          <w:color w:val="auto"/>
        </w:rPr>
      </w:pPr>
    </w:p>
    <w:p>
      <w:pPr>
        <w:ind w:left="300" w:right="939" w:hanging="272"/>
        <w:spacing w:after="0" w:line="277"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jc w:val="both"/>
        <w:ind w:left="300" w:right="599" w:hanging="272"/>
        <w:spacing w:after="0" w:line="286" w:lineRule="auto"/>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Denotes an Affiliate Investment. “Affiliate Investments” are investments in those companies that are “Affiliated Companies” of GSV Capital Corp., as defined in the Investment Company Act of 1940, as amended. A company is deemed to be an “Affiliate” of GSV Capital Corp. if GSV Capital Corp. owns 5% or more of the voting securities of such company.</w:t>
      </w:r>
    </w:p>
    <w:p>
      <w:pPr>
        <w:spacing w:after="0" w:line="57" w:lineRule="exact"/>
        <w:rPr>
          <w:rFonts w:ascii="Arial" w:cs="Arial" w:eastAsia="Arial" w:hAnsi="Arial"/>
          <w:sz w:val="17"/>
          <w:szCs w:val="17"/>
          <w:color w:val="auto"/>
        </w:rPr>
      </w:pPr>
    </w:p>
    <w:p>
      <w:pPr>
        <w:ind w:left="300" w:right="599" w:hanging="272"/>
        <w:spacing w:after="0" w:line="312"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Denotes a Control Investment. “Control Investments” are investments in those companies that are “Controlled Companies” of GSV Capital Corp., as defined in the Investment Company Act of 1940, as amended. A company is deemed to be a “Controlled Company” of GSV Capital Corp. if GSV Capital Corp. owns more than 25% of the voting securities of such company.</w:t>
      </w:r>
    </w:p>
    <w:p>
      <w:pPr>
        <w:spacing w:after="0" w:line="38" w:lineRule="exact"/>
        <w:rPr>
          <w:rFonts w:ascii="Arial" w:cs="Arial" w:eastAsia="Arial" w:hAnsi="Arial"/>
          <w:sz w:val="16"/>
          <w:szCs w:val="16"/>
          <w:color w:val="auto"/>
        </w:rPr>
      </w:pPr>
    </w:p>
    <w:p>
      <w:pPr>
        <w:ind w:left="300" w:right="959" w:hanging="272"/>
        <w:spacing w:after="0" w:line="27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GSV Capital Corp.’s investment in Avenues Global Holdings, LLC is held through its wholly owned subsidiary GSVC AV Holdings, Inc.</w:t>
      </w:r>
    </w:p>
    <w:p>
      <w:pPr>
        <w:spacing w:after="0" w:line="62" w:lineRule="exact"/>
        <w:rPr>
          <w:rFonts w:ascii="Arial" w:cs="Arial" w:eastAsia="Arial" w:hAnsi="Arial"/>
          <w:sz w:val="18"/>
          <w:szCs w:val="18"/>
          <w:color w:val="auto"/>
        </w:rPr>
      </w:pPr>
    </w:p>
    <w:p>
      <w:pPr>
        <w:jc w:val="both"/>
        <w:ind w:left="300" w:right="559" w:hanging="272"/>
        <w:spacing w:after="0" w:line="264"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200" w:lineRule="exact"/>
        <w:rPr>
          <w:sz w:val="20"/>
          <w:szCs w:val="20"/>
          <w:color w:val="auto"/>
        </w:rPr>
      </w:pPr>
    </w:p>
    <w:p>
      <w:pPr>
        <w:spacing w:after="0" w:line="361" w:lineRule="exact"/>
        <w:rPr>
          <w:sz w:val="20"/>
          <w:szCs w:val="20"/>
          <w:color w:val="auto"/>
        </w:rPr>
      </w:pPr>
    </w:p>
    <w:p>
      <w:pPr>
        <w:ind w:left="220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CONDENSED CONSOLIDATED SCHEDULE OF INVESTMENTS – (continued)</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GSV Capital Corp.’s investment in SharesPost, Inc. is held through its wholly owned subsidiary SPNPM Holdings, LLC.</w:t>
      </w:r>
    </w:p>
    <w:p>
      <w:pPr>
        <w:spacing w:after="0" w:line="128" w:lineRule="exact"/>
        <w:rPr>
          <w:rFonts w:ascii="Arial" w:cs="Arial" w:eastAsia="Arial" w:hAnsi="Arial"/>
          <w:sz w:val="17"/>
          <w:szCs w:val="17"/>
          <w:color w:val="auto"/>
        </w:rPr>
      </w:pPr>
    </w:p>
    <w:p>
      <w:pPr>
        <w:ind w:left="280" w:right="759" w:hanging="272"/>
        <w:spacing w:after="0" w:line="277"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759" w:hanging="272"/>
        <w:spacing w:after="0" w:line="279" w:lineRule="auto"/>
        <w:tabs>
          <w:tab w:leader="none" w:pos="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October 22, 2013, Cricket Media (f/k/a ePals Inc.), priced its initial public offering, selling 40,267,333 shares at a price of CAD $0.075 per share. At December 31, 2015, GSV Capital Corp. valued Cricket Media (f/k/a ePals Inc.), based on its December 31, 2015 closing price. As of May 4, 2016, Cricket Media (f/k/a ePals Inc.) was voluntarily delisted from the TSX Venture Exchange as part of a restructuring, after which Cricket Media became privately traded.</w:t>
      </w:r>
    </w:p>
    <w:p>
      <w:pPr>
        <w:spacing w:after="0" w:line="63" w:lineRule="exact"/>
        <w:rPr>
          <w:rFonts w:ascii="Arial" w:cs="Arial" w:eastAsia="Arial" w:hAnsi="Arial"/>
          <w:sz w:val="17"/>
          <w:szCs w:val="17"/>
          <w:color w:val="auto"/>
        </w:rPr>
      </w:pPr>
    </w:p>
    <w:p>
      <w:pPr>
        <w:ind w:left="280" w:right="659" w:hanging="272"/>
        <w:spacing w:after="0" w:line="291" w:lineRule="auto"/>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Refer to “Note 9 — Long Term Liabilities.” In accordance with the terms of the Company’s Convertible Senior Notes payable, the Company deposited $10,867,500 in an escrow account with U.S. Bank National Association, the trustee. These funds were used to purchase six U.S. Treasury Strips with an original cost of $10,845,236. As of December 31, 2015, four of the government securities purchased had matured and the proceeds were used by the trustee in accordance with the terms of the escrow agreement. At December 31, 2015, the remaining government securities are shown on the Condensed Consolidated Schedule of Investments with an amortized cost of $3,675,192. These securities do not represent collateral under the Credit Facility, as these securities are pledged exclusively for the repayment of interest under the Convertible Senior Notes.</w:t>
      </w:r>
    </w:p>
    <w:p>
      <w:pPr>
        <w:spacing w:after="0" w:line="59" w:lineRule="exact"/>
        <w:rPr>
          <w:rFonts w:ascii="Arial" w:cs="Arial" w:eastAsia="Arial" w:hAnsi="Arial"/>
          <w:sz w:val="16"/>
          <w:szCs w:val="16"/>
          <w:color w:val="auto"/>
        </w:rPr>
      </w:pPr>
    </w:p>
    <w:p>
      <w:pPr>
        <w:ind w:left="320" w:right="699" w:hanging="312"/>
        <w:spacing w:after="0" w:line="286"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Interest will accrue daily on the unpaid principal balance of the note. Accrued interest is not payable until the earlier of (a) the closing of a subsequent equity offering by CUX, Inc. (d/b/a CorpU), or (b) the maturity of the note (November 26, 2018). Interest will compound annually beginning on November 26, 2015.</w:t>
      </w:r>
    </w:p>
    <w:p>
      <w:pPr>
        <w:spacing w:after="0" w:line="57" w:lineRule="exact"/>
        <w:rPr>
          <w:sz w:val="20"/>
          <w:szCs w:val="20"/>
          <w:color w:val="auto"/>
        </w:rPr>
      </w:pPr>
    </w:p>
    <w:p>
      <w:pPr>
        <w:jc w:val="both"/>
        <w:ind w:left="300" w:right="699" w:hanging="296"/>
        <w:spacing w:after="0" w:line="264" w:lineRule="auto"/>
        <w:rPr>
          <w:sz w:val="20"/>
          <w:szCs w:val="20"/>
          <w:color w:val="auto"/>
        </w:rPr>
      </w:pPr>
      <w:r>
        <w:rPr>
          <w:rFonts w:ascii="Arial" w:cs="Arial" w:eastAsia="Arial" w:hAnsi="Arial"/>
          <w:sz w:val="18"/>
          <w:szCs w:val="18"/>
          <w:color w:val="auto"/>
        </w:rPr>
        <w:t>(11)Interest will accrue daily on the unpaid principal balance of the note. Accrued interest is not payable until the earlier of (a) the closing of a subsequent equity offering by Earlyshares.com, Inc., or (b) the maturity of the note (August 2, 2016). Interest will compound annually beginning on February 26,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(12)On December 30, 2015, Declara, Inc. effected a 2:1 forward stock split on all its common and preferred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(13)On December 22, 2015, Strategic Data Command, LLC effected a 3:1 stock split on its common shares.</w:t>
      </w:r>
    </w:p>
    <w:p>
      <w:pPr>
        <w:spacing w:after="0" w:line="117" w:lineRule="exact"/>
        <w:rPr>
          <w:sz w:val="20"/>
          <w:szCs w:val="20"/>
          <w:color w:val="auto"/>
        </w:rPr>
      </w:pPr>
    </w:p>
    <w:p>
      <w:pPr>
        <w:ind w:left="320" w:right="699" w:hanging="310"/>
        <w:spacing w:after="0" w:line="264" w:lineRule="auto"/>
        <w:rPr>
          <w:sz w:val="20"/>
          <w:szCs w:val="20"/>
          <w:color w:val="auto"/>
        </w:rPr>
      </w:pPr>
      <w:r>
        <w:rPr>
          <w:rFonts w:ascii="Arial" w:cs="Arial" w:eastAsia="Arial" w:hAnsi="Arial"/>
          <w:sz w:val="18"/>
          <w:szCs w:val="18"/>
          <w:color w:val="auto"/>
        </w:rPr>
        <w:t>(14)On October 28, 2015, Orchestra One, Inc. (f/k/a Learnist Inc.) completed a change in business, recapitalization and series A-1 preferred stock financing. The Company elected to convert its existing preferred shares into common shares effective November 9, 2015.</w:t>
      </w:r>
    </w:p>
    <w:p>
      <w:pPr>
        <w:spacing w:after="0" w:line="73" w:lineRule="exact"/>
        <w:rPr>
          <w:sz w:val="20"/>
          <w:szCs w:val="20"/>
          <w:color w:val="auto"/>
        </w:rPr>
      </w:pPr>
    </w:p>
    <w:p>
      <w:pPr>
        <w:ind w:left="320" w:right="579" w:hanging="310"/>
        <w:spacing w:after="0" w:line="259" w:lineRule="auto"/>
        <w:rPr>
          <w:sz w:val="20"/>
          <w:szCs w:val="20"/>
          <w:color w:val="auto"/>
        </w:rPr>
      </w:pPr>
      <w:r>
        <w:rPr>
          <w:rFonts w:ascii="Arial" w:cs="Arial" w:eastAsia="Arial" w:hAnsi="Arial"/>
          <w:sz w:val="18"/>
          <w:szCs w:val="18"/>
          <w:color w:val="auto"/>
        </w:rPr>
        <w:t>(15)On January 6, 2016, Gilt Groupe Holdings, Inc. entered into an agreement and plan of merger with Lord and Taylor Acquisition, Inc. to acquire the outstanding Gilt Groupe Holdings, Inc. common stock for approximately $2.1697 per share less applicable costs of the transaction. These are estimates and are subject to change in connection with the final aggregate merger consideration.</w:t>
      </w:r>
    </w:p>
    <w:p>
      <w:pPr>
        <w:spacing w:after="0" w:line="200" w:lineRule="exact"/>
        <w:rPr>
          <w:sz w:val="20"/>
          <w:szCs w:val="20"/>
          <w:color w:val="auto"/>
        </w:rPr>
      </w:pPr>
    </w:p>
    <w:p>
      <w:pPr>
        <w:spacing w:after="0" w:line="311" w:lineRule="exact"/>
        <w:rPr>
          <w:sz w:val="20"/>
          <w:szCs w:val="20"/>
          <w:color w:val="auto"/>
        </w:rPr>
      </w:pPr>
    </w:p>
    <w:p>
      <w:pPr>
        <w:ind w:left="218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right="2979"/>
        <w:spacing w:after="0" w:line="401" w:lineRule="auto"/>
        <w:rPr>
          <w:sz w:val="20"/>
          <w:szCs w:val="20"/>
          <w:color w:val="auto"/>
        </w:rPr>
      </w:pPr>
      <w:r>
        <w:rPr>
          <w:rFonts w:ascii="Arial" w:cs="Arial" w:eastAsia="Arial" w:hAnsi="Arial"/>
          <w:sz w:val="18"/>
          <w:szCs w:val="18"/>
          <w:b w:val="1"/>
          <w:bCs w:val="1"/>
          <w:color w:val="auto"/>
        </w:rPr>
        <w:t xml:space="preserve">NOTE 1 — NATURE OF OPERATIONS AND SIGNIFICANT ACCOUNTING POLICIES </w:t>
      </w:r>
      <w:r>
        <w:rPr>
          <w:rFonts w:ascii="Arial" w:cs="Arial" w:eastAsia="Arial" w:hAnsi="Arial"/>
          <w:sz w:val="18"/>
          <w:szCs w:val="18"/>
          <w:b w:val="1"/>
          <w:bCs w:val="1"/>
          <w:u w:val="single" w:color="auto"/>
          <w:color w:val="auto"/>
        </w:rPr>
        <w:t>Nature of Operations</w:t>
      </w:r>
    </w:p>
    <w:p>
      <w:pPr>
        <w:spacing w:after="0" w:line="1" w:lineRule="exact"/>
        <w:rPr>
          <w:sz w:val="20"/>
          <w:szCs w:val="20"/>
          <w:color w:val="auto"/>
        </w:rPr>
      </w:pPr>
    </w:p>
    <w:p>
      <w:pPr>
        <w:ind w:left="60" w:right="579" w:firstLine="270"/>
        <w:spacing w:after="0" w:line="297" w:lineRule="auto"/>
        <w:rPr>
          <w:sz w:val="20"/>
          <w:szCs w:val="20"/>
          <w:color w:val="auto"/>
        </w:rPr>
      </w:pPr>
      <w:r>
        <w:rPr>
          <w:rFonts w:ascii="Arial" w:cs="Arial" w:eastAsia="Arial" w:hAnsi="Arial"/>
          <w:sz w:val="16"/>
          <w:szCs w:val="16"/>
          <w:color w:val="auto"/>
        </w:rPr>
        <w:t>GSV Capital Corp. (the “Company” or “GSV Capital”) was formed in September 2010 as a Maryland corporation structured as an externally managed, non-diversified closed-end management investment company. The Company has elected to be regulated as a business development company under the Investment Company Act of 1940, as amended (the “1940 Act”). The Company’s investment activities are managed by GSV Asset Management, LLC (“GSV Asset Management”), and GSV Capital Service Company, LLC (“GSV Capital Service Company”) provides the administrative services necessary for the Company to operate.</w:t>
      </w:r>
    </w:p>
    <w:p>
      <w:pPr>
        <w:spacing w:after="0" w:line="50" w:lineRule="exact"/>
        <w:rPr>
          <w:sz w:val="20"/>
          <w:szCs w:val="20"/>
          <w:color w:val="auto"/>
        </w:rPr>
      </w:pPr>
    </w:p>
    <w:p>
      <w:pPr>
        <w:ind w:left="60" w:right="819" w:firstLine="270"/>
        <w:spacing w:after="0" w:line="264" w:lineRule="auto"/>
        <w:rPr>
          <w:sz w:val="20"/>
          <w:szCs w:val="20"/>
          <w:color w:val="auto"/>
        </w:rPr>
      </w:pPr>
      <w:r>
        <w:rPr>
          <w:rFonts w:ascii="Arial" w:cs="Arial" w:eastAsia="Arial" w:hAnsi="Arial"/>
          <w:sz w:val="18"/>
          <w:szCs w:val="18"/>
          <w:color w:val="auto"/>
        </w:rPr>
        <w:t>The Company’s date of inception was January 6, 2011, which is the date it commenced its development stage activities. The Company’s shares are currently listed on the Nasdaq Capital Market under the symbol “GSVC”. The Company began its investment operations during the second quarter of 2011.</w:t>
      </w:r>
    </w:p>
    <w:p>
      <w:pPr>
        <w:spacing w:after="0" w:line="73" w:lineRule="exact"/>
        <w:rPr>
          <w:sz w:val="20"/>
          <w:szCs w:val="20"/>
          <w:color w:val="auto"/>
        </w:rPr>
      </w:pPr>
    </w:p>
    <w:p>
      <w:pPr>
        <w:ind w:left="60" w:right="559" w:firstLine="270"/>
        <w:spacing w:after="0" w:line="273" w:lineRule="auto"/>
        <w:rPr>
          <w:sz w:val="20"/>
          <w:szCs w:val="20"/>
          <w:color w:val="auto"/>
        </w:rPr>
      </w:pPr>
      <w:r>
        <w:rPr>
          <w:rFonts w:ascii="Arial" w:cs="Arial" w:eastAsia="Arial" w:hAnsi="Arial"/>
          <w:sz w:val="17"/>
          <w:szCs w:val="17"/>
          <w:color w:val="auto"/>
        </w:rPr>
        <w:t>The table below displays all the Company’s subsidiaries as of June 30, 2016, which, other than GSV Capital Lending, LLC (“GCL”), are collectively referred to as the “GSVC Holdings.” The GSVC Holdings were formed to hold portfolio investments. The GSVC Holdings,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 Summary of Significant Accounting Policies — Basis of Consolidation” below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2139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Formation Date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incorporation</w:t>
            </w: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GCL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13,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98"/>
        </w:trPr>
        <w:tc>
          <w:tcPr>
            <w:tcW w:w="4420" w:type="dxa"/>
            <w:vAlign w:val="bottom"/>
          </w:tcPr>
          <w:p>
            <w:pPr>
              <w:ind w:left="20"/>
              <w:spacing w:after="0" w:line="198" w:lineRule="exact"/>
              <w:rPr>
                <w:sz w:val="20"/>
                <w:szCs w:val="20"/>
                <w:color w:val="auto"/>
              </w:rPr>
            </w:pPr>
            <w:r>
              <w:rPr>
                <w:rFonts w:ascii="Arial" w:cs="Arial" w:eastAsia="Arial" w:hAnsi="Arial"/>
                <w:sz w:val="18"/>
                <w:szCs w:val="18"/>
                <w:b w:val="1"/>
                <w:bCs w:val="1"/>
                <w:color w:val="auto"/>
                <w:w w:val="96"/>
              </w:rPr>
              <w:t>Subsidiaries below are referred to collectively, as the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200"/>
              <w:spacing w:after="0"/>
              <w:rPr>
                <w:sz w:val="20"/>
                <w:szCs w:val="20"/>
                <w:color w:val="auto"/>
              </w:rPr>
            </w:pPr>
            <w:r>
              <w:rPr>
                <w:rFonts w:ascii="Arial" w:cs="Arial" w:eastAsia="Arial" w:hAnsi="Arial"/>
                <w:sz w:val="18"/>
                <w:szCs w:val="18"/>
                <w:b w:val="1"/>
                <w:bCs w:val="1"/>
                <w:color w:val="auto"/>
              </w:rPr>
              <w:t>“GSVC Holdings”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AE Holdings, Inc. (“GAE”)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AV Holdings, Inc. (“GAV”)</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NG Holdings, Inc. (“GNG”)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tcPr>
          <w:p>
            <w:pPr>
              <w:ind w:left="20"/>
              <w:spacing w:after="0"/>
              <w:rPr>
                <w:sz w:val="20"/>
                <w:szCs w:val="20"/>
                <w:color w:val="auto"/>
              </w:rPr>
            </w:pPr>
            <w:r>
              <w:rPr>
                <w:rFonts w:ascii="Arial" w:cs="Arial" w:eastAsia="Arial" w:hAnsi="Arial"/>
                <w:sz w:val="18"/>
                <w:szCs w:val="18"/>
                <w:color w:val="auto"/>
              </w:rPr>
              <w:t>GSVC SW Holdings, Inc. (“GSW”)</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GSVC WS Holdings, Inc. (“GWS”)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November 28, 2012</w:t>
            </w:r>
          </w:p>
        </w:tc>
        <w:tc>
          <w:tcPr>
            <w:tcW w:w="9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GSVC SVDS Holdings, Inc. (“SVDS”)</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6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August 13, 2013</w:t>
            </w:r>
          </w:p>
        </w:tc>
        <w:tc>
          <w:tcPr>
            <w:tcW w:w="92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Summary of Significant Accounting Policies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60" w:right="779" w:firstLine="270"/>
        <w:spacing w:after="0" w:line="257" w:lineRule="auto"/>
        <w:rPr>
          <w:sz w:val="20"/>
          <w:szCs w:val="20"/>
          <w:color w:val="auto"/>
        </w:rPr>
      </w:pPr>
      <w:r>
        <w:rPr>
          <w:rFonts w:ascii="Arial" w:cs="Arial" w:eastAsia="Arial" w:hAnsi="Arial"/>
          <w:sz w:val="18"/>
          <w:szCs w:val="18"/>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w:t>
      </w:r>
    </w:p>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619"/>
        <w:spacing w:after="0" w:line="255" w:lineRule="auto"/>
        <w:rPr>
          <w:sz w:val="20"/>
          <w:szCs w:val="20"/>
          <w:color w:val="auto"/>
        </w:rPr>
      </w:pPr>
      <w:r>
        <w:rPr>
          <w:rFonts w:ascii="Arial" w:cs="Arial" w:eastAsia="Arial" w:hAnsi="Arial"/>
          <w:sz w:val="18"/>
          <w:szCs w:val="18"/>
          <w:color w:val="auto"/>
        </w:rPr>
        <w:t xml:space="preserve">(“FASB”) Accounting Standards Codification (“ASC”) </w:t>
      </w:r>
      <w:r>
        <w:rPr>
          <w:rFonts w:ascii="Arial" w:cs="Arial" w:eastAsia="Arial" w:hAnsi="Arial"/>
          <w:sz w:val="18"/>
          <w:szCs w:val="18"/>
          <w:i w:val="1"/>
          <w:iCs w:val="1"/>
          <w:color w:val="auto"/>
        </w:rPr>
        <w:t>Topic 946, Financial Services — Investment Companies</w:t>
      </w:r>
      <w:r>
        <w:rPr>
          <w:rFonts w:ascii="Arial" w:cs="Arial" w:eastAsia="Arial" w:hAnsi="Arial"/>
          <w:sz w:val="18"/>
          <w:szCs w:val="18"/>
          <w:color w:val="auto"/>
        </w:rPr>
        <w:t>. In the opinion of management, all adjustments, all of which were of a normal recurring nature, considered necessary for the fair presentation of consolidated financial statements for the interim period have been included. The results of operations for the current period are not necessarily indicative of results that ultimately may be achieved for any other interim period or for the year ending December 31, 2016. The interim unaudited condensed consolidated financial statements and notes hereto should be read in conjunction with the audited financial statements and notes thereto contained in the Company’s annual report on Form 10-K for the year ended December 31, 2015.</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40" w:right="579" w:firstLine="270"/>
        <w:spacing w:after="0" w:line="273" w:lineRule="auto"/>
        <w:rPr>
          <w:sz w:val="20"/>
          <w:szCs w:val="20"/>
          <w:color w:val="auto"/>
        </w:rPr>
      </w:pPr>
      <w:r>
        <w:rPr>
          <w:rFonts w:ascii="Arial" w:cs="Arial" w:eastAsia="Arial" w:hAnsi="Arial"/>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which provides substantially all of its services and benefits to the Company, and certain entities established for tax purposes where the Company holds a 100% interest. Accordingly, the Company’s condensed consolidated financial statements include its accounts and the accounts of the GSVC Holdings and GCL, its wholly owned subsidiaries. All intercompany balances and transactions have been eliminated in consolidation.</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color w:val="auto"/>
        </w:rPr>
        <w:t>The preparation of condensed consolidated financial statements in accordance with GAAP requires the Company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left="40" w:right="919" w:firstLine="270"/>
        <w:spacing w:after="0" w:line="342" w:lineRule="auto"/>
        <w:rPr>
          <w:sz w:val="20"/>
          <w:szCs w:val="20"/>
          <w:color w:val="auto"/>
        </w:rPr>
      </w:pPr>
      <w:r>
        <w:rPr>
          <w:rFonts w:ascii="Arial" w:cs="Arial" w:eastAsia="Arial" w:hAnsi="Arial"/>
          <w:sz w:val="16"/>
          <w:szCs w:val="16"/>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6"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320" w:right="109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has the ability to access at the measurement date.</w:t>
      </w:r>
    </w:p>
    <w:p>
      <w:pPr>
        <w:spacing w:after="0" w:line="54" w:lineRule="exact"/>
        <w:rPr>
          <w:sz w:val="20"/>
          <w:szCs w:val="20"/>
          <w:color w:val="auto"/>
        </w:rPr>
      </w:pPr>
    </w:p>
    <w:p>
      <w:pPr>
        <w:ind w:left="320" w:right="63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jc w:val="both"/>
        <w:ind w:left="320" w:right="75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unobservable inputs that reflect management’s best estimate of what market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would use in pricing the asset or liability at the measurement date. Consideration is given to the risk inherent in the valuation technique and the risk inherent in the inputs to the model.</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jc w:val="both"/>
        <w:ind w:left="40" w:right="799" w:firstLine="270"/>
        <w:spacing w:after="0" w:line="288"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ind w:left="40" w:right="579"/>
        <w:spacing w:after="0" w:line="255" w:lineRule="auto"/>
        <w:rPr>
          <w:sz w:val="20"/>
          <w:szCs w:val="20"/>
          <w:color w:val="auto"/>
        </w:rPr>
      </w:pPr>
      <w:r>
        <w:rPr>
          <w:rFonts w:ascii="Arial" w:cs="Arial" w:eastAsia="Arial" w:hAnsi="Arial"/>
          <w:sz w:val="18"/>
          <w:szCs w:val="18"/>
          <w:color w:val="auto"/>
        </w:rPr>
        <w:t>Therefore, gains and losses for such assets and liabilities categorized within the Level 3 table set forth in “Note 3 — Investments at Fair Value” may include changes in fair value that are attributable to both observable inputs (Levels 1 and 2) and unobservable inputs (Level 3).</w:t>
      </w:r>
    </w:p>
    <w:p>
      <w:pPr>
        <w:spacing w:after="0" w:line="82" w:lineRule="exact"/>
        <w:rPr>
          <w:sz w:val="20"/>
          <w:szCs w:val="20"/>
          <w:color w:val="auto"/>
        </w:rPr>
      </w:pPr>
    </w:p>
    <w:p>
      <w:pPr>
        <w:ind w:left="40" w:right="659" w:firstLine="270"/>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end of the quarter in which the reclassifications occur. Refer to “Levelling Policy” below for a detailed discussion of the levelling of the Company’s financial assets or liabilities and events that may cause a reclassification within the fair value hierarchy.</w:t>
      </w:r>
    </w:p>
    <w:p>
      <w:pPr>
        <w:spacing w:after="0" w:line="80" w:lineRule="exact"/>
        <w:rPr>
          <w:sz w:val="20"/>
          <w:szCs w:val="20"/>
          <w:color w:val="auto"/>
        </w:rPr>
      </w:pPr>
    </w:p>
    <w:p>
      <w:pPr>
        <w:ind w:left="40" w:right="699" w:firstLine="270"/>
        <w:spacing w:after="0" w:line="297" w:lineRule="auto"/>
        <w:rPr>
          <w:sz w:val="20"/>
          <w:szCs w:val="20"/>
          <w:color w:val="auto"/>
        </w:rPr>
      </w:pPr>
      <w:r>
        <w:rPr>
          <w:rFonts w:ascii="Arial" w:cs="Arial" w:eastAsia="Arial" w:hAnsi="Arial"/>
          <w:sz w:val="16"/>
          <w:szCs w:val="16"/>
          <w:color w:val="auto"/>
        </w:rPr>
        <w:t>Securities for which market quotations are readily available on an exchange are valued at the closing price of such security on the valuation date; however, if they are subject to restrictions upon sale (such as lock-up restrictions), they may be discounted accordingly.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50"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GSV Asset Management, the board of directors or the valuation committee of the board of directors (the “Valuation Committee”), does not represent fair value, shall each be valued as follows:</w:t>
      </w:r>
    </w:p>
    <w:p>
      <w:pPr>
        <w:spacing w:after="0" w:line="79" w:lineRule="exact"/>
        <w:rPr>
          <w:sz w:val="20"/>
          <w:szCs w:val="20"/>
          <w:color w:val="auto"/>
        </w:rPr>
      </w:pPr>
    </w:p>
    <w:p>
      <w:pPr>
        <w:ind w:left="540" w:right="69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jc w:val="both"/>
        <w:ind w:left="540" w:right="719" w:hanging="262"/>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GSV Asset Management’s preliminary valuations and make its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jc w:val="both"/>
        <w:ind w:left="540" w:right="819" w:hanging="262"/>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GSV Asset Management and the independent third-party valuation firm; and</w:t>
      </w:r>
    </w:p>
    <w:p>
      <w:pPr>
        <w:spacing w:after="0" w:line="73" w:lineRule="exact"/>
        <w:rPr>
          <w:rFonts w:ascii="Arial" w:cs="Arial" w:eastAsia="Arial" w:hAnsi="Arial"/>
          <w:sz w:val="18"/>
          <w:szCs w:val="18"/>
          <w:color w:val="auto"/>
        </w:rPr>
      </w:pPr>
    </w:p>
    <w:p>
      <w:pPr>
        <w:ind w:left="540" w:right="659"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company does business, and other relevant factors. The Company assigns a weighting based upon the relevance of each method to determine the fair value of each investment.</w:t>
      </w:r>
    </w:p>
    <w:p>
      <w:pPr>
        <w:spacing w:after="0" w:line="62" w:lineRule="exact"/>
        <w:rPr>
          <w:sz w:val="20"/>
          <w:szCs w:val="20"/>
          <w:color w:val="auto"/>
        </w:rPr>
      </w:pPr>
    </w:p>
    <w:p>
      <w:pPr>
        <w:ind w:left="60" w:right="659" w:firstLine="270"/>
        <w:spacing w:after="0" w:line="297" w:lineRule="auto"/>
        <w:rPr>
          <w:sz w:val="20"/>
          <w:szCs w:val="20"/>
          <w:color w:val="auto"/>
        </w:rPr>
      </w:pPr>
      <w:r>
        <w:rPr>
          <w:rFonts w:ascii="Arial" w:cs="Arial" w:eastAsia="Arial" w:hAnsi="Arial"/>
          <w:sz w:val="16"/>
          <w:szCs w:val="16"/>
          <w:color w:val="auto"/>
        </w:rPr>
        <w:t>The Valuation Committee engages at least one independent valuation firm to perform valuations of its investments that are not publicly traded or for which there are no readily available market quotations. The Company’s board of directors considers the independent valuations provided by the valuation firm(s), among other factors, in making its fair value determinations. The table below shows the percentages of the Company’s investments for which there are no readily available market quotations and for which an independent valuation firm was engaged to perform valuations during the current and prior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52139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March 31, 2015</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2015</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September 30, 2015</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December 31, 2015</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For the quarter ended March 31, 2016</w:t>
            </w:r>
          </w:p>
        </w:tc>
        <w:tc>
          <w:tcPr>
            <w:tcW w:w="2860" w:type="dxa"/>
            <w:vAlign w:val="bottom"/>
          </w:tcPr>
          <w:p>
            <w:pPr>
              <w:jc w:val="right"/>
              <w:ind w:right="50"/>
              <w:spacing w:after="0"/>
              <w:rPr>
                <w:sz w:val="20"/>
                <w:szCs w:val="20"/>
                <w:color w:val="auto"/>
              </w:rPr>
            </w:pPr>
            <w:r>
              <w:rPr>
                <w:rFonts w:ascii="Arial" w:cs="Arial" w:eastAsia="Arial" w:hAnsi="Arial"/>
                <w:sz w:val="18"/>
                <w:szCs w:val="18"/>
                <w:color w:val="auto"/>
              </w:rPr>
              <w:t>100%</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 the quarter ended June 30, 2016</w:t>
            </w:r>
          </w:p>
        </w:tc>
        <w:tc>
          <w:tcPr>
            <w:tcW w:w="2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r>
    </w:tbl>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117" w:lineRule="exact"/>
        <w:rPr>
          <w:sz w:val="20"/>
          <w:szCs w:val="20"/>
          <w:color w:val="auto"/>
        </w:rPr>
      </w:pPr>
    </w:p>
    <w:p>
      <w:pPr>
        <w:ind w:left="60" w:right="559" w:firstLine="270"/>
        <w:spacing w:after="0" w:line="272" w:lineRule="auto"/>
        <w:rPr>
          <w:sz w:val="20"/>
          <w:szCs w:val="20"/>
          <w:color w:val="auto"/>
        </w:rPr>
      </w:pPr>
      <w:r>
        <w:rPr>
          <w:rFonts w:ascii="Arial" w:cs="Arial" w:eastAsia="Arial" w:hAnsi="Arial"/>
          <w:sz w:val="17"/>
          <w:szCs w:val="17"/>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70" w:lineRule="exact"/>
        <w:rPr>
          <w:sz w:val="20"/>
          <w:szCs w:val="20"/>
          <w:color w:val="auto"/>
        </w:rPr>
      </w:pPr>
    </w:p>
    <w:p>
      <w:pPr>
        <w:ind w:left="60" w:right="519" w:firstLine="270"/>
        <w:spacing w:after="0" w:line="270" w:lineRule="auto"/>
        <w:rPr>
          <w:sz w:val="20"/>
          <w:szCs w:val="20"/>
          <w:color w:val="auto"/>
        </w:rPr>
      </w:pPr>
      <w:r>
        <w:rPr>
          <w:rFonts w:ascii="Arial" w:cs="Arial" w:eastAsia="Arial" w:hAnsi="Arial"/>
          <w:sz w:val="17"/>
          <w:szCs w:val="17"/>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74" w:lineRule="exact"/>
        <w:rPr>
          <w:sz w:val="20"/>
          <w:szCs w:val="20"/>
          <w:color w:val="auto"/>
        </w:rPr>
      </w:pPr>
    </w:p>
    <w:p>
      <w:pPr>
        <w:ind w:left="60" w:right="559" w:firstLine="270"/>
        <w:spacing w:after="0" w:line="271" w:lineRule="auto"/>
        <w:rPr>
          <w:sz w:val="20"/>
          <w:szCs w:val="20"/>
          <w:color w:val="auto"/>
        </w:rPr>
      </w:pPr>
      <w:r>
        <w:rPr>
          <w:rFonts w:ascii="Arial" w:cs="Arial" w:eastAsia="Arial" w:hAnsi="Arial"/>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generally uses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Condensed Consolidated Statements of Operations and Condensed Consolidated Statements of Cash Flows. In the event these securities are exercised into common or</w:t>
      </w: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19"/>
        <w:spacing w:after="0" w:line="308" w:lineRule="auto"/>
        <w:rPr>
          <w:sz w:val="20"/>
          <w:szCs w:val="20"/>
          <w:color w:val="auto"/>
        </w:rPr>
      </w:pPr>
      <w:r>
        <w:rPr>
          <w:rFonts w:ascii="Arial" w:cs="Arial" w:eastAsia="Arial" w:hAnsi="Arial"/>
          <w:sz w:val="17"/>
          <w:szCs w:val="17"/>
          <w:color w:val="auto"/>
        </w:rPr>
        <w:t>preferred stock, the cost associated with these securities is reassigned to the cost basis of the new common or preferred stock. These conversions are noted as non-cash operating items on the Condensed Consolidated Statements of Cash Flows.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ind w:left="40" w:right="639" w:firstLine="270"/>
        <w:spacing w:after="0" w:line="302" w:lineRule="auto"/>
        <w:rPr>
          <w:sz w:val="20"/>
          <w:szCs w:val="20"/>
          <w:color w:val="auto"/>
        </w:rPr>
      </w:pPr>
      <w:r>
        <w:rPr>
          <w:rFonts w:ascii="Arial" w:cs="Arial" w:eastAsia="Arial" w:hAnsi="Arial"/>
          <w:sz w:val="16"/>
          <w:szCs w:val="16"/>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 values its debt investments at estimated fair value as determined by the Company’s board of directors.</w:t>
      </w:r>
    </w:p>
    <w:p>
      <w:pPr>
        <w:spacing w:after="0" w:line="8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left="40" w:right="679" w:firstLine="270"/>
        <w:spacing w:after="0" w:line="308" w:lineRule="auto"/>
        <w:rPr>
          <w:sz w:val="20"/>
          <w:szCs w:val="20"/>
          <w:color w:val="auto"/>
        </w:rPr>
      </w:pPr>
      <w:r>
        <w:rPr>
          <w:rFonts w:ascii="Arial" w:cs="Arial" w:eastAsia="Arial" w:hAnsi="Arial"/>
          <w:sz w:val="17"/>
          <w:szCs w:val="17"/>
          <w:color w:val="auto"/>
        </w:rPr>
        <w:t>The Company’s board of directors will ascribe value to warrants based on fair value analyses that can include discounted cash flow analyses, option pricing models, comparable analyses and other techniques as deemed appropriate.</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Levelling Policy</w:t>
      </w:r>
    </w:p>
    <w:p>
      <w:pPr>
        <w:spacing w:after="0" w:line="117" w:lineRule="exact"/>
        <w:rPr>
          <w:sz w:val="20"/>
          <w:szCs w:val="20"/>
          <w:color w:val="auto"/>
        </w:rPr>
      </w:pPr>
    </w:p>
    <w:p>
      <w:pPr>
        <w:ind w:left="40" w:right="519" w:firstLine="270"/>
        <w:spacing w:after="0" w:line="271" w:lineRule="auto"/>
        <w:rPr>
          <w:sz w:val="20"/>
          <w:szCs w:val="20"/>
          <w:color w:val="auto"/>
        </w:rPr>
      </w:pPr>
      <w:r>
        <w:rPr>
          <w:rFonts w:ascii="Arial" w:cs="Arial" w:eastAsia="Arial" w:hAnsi="Arial"/>
          <w:sz w:val="17"/>
          <w:szCs w:val="17"/>
          <w:color w:val="auto"/>
        </w:rPr>
        <w:t>The portfolio companies in which the Company invests periodically offer their shares in IPOs. The Company’s shares in such portfolio companies are typically subject to lock-up agreements for 180 days following the IPO. Upon the IPO date, the Company transfers its investment from Level 3 to Level 1 due to the presence of an active market, limited by the lock-up agreement. The Company prices the investment at the closing price on a public exchange as of the measurement date. In situations where the lock-up restrictions have expired, but other factors restrict the sale of the investment, the Company will consider the nature of any restrictions on the sale of the investment. The Company will classify the investment as either Level 2 subject to an appropriate DLOM to reflect the restrictions upon sale or as Level 1. The Company transfers investments between levels based on the fair value at the end of the measurement period in accordance with ASC 820.</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Valuation of Other Financial Instruments</w:t>
      </w:r>
    </w:p>
    <w:p>
      <w:pPr>
        <w:spacing w:after="0" w:line="117"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 The embedded derivative liability is carried at fair value.</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Securities Transactions</w:t>
      </w:r>
    </w:p>
    <w:p>
      <w:pPr>
        <w:spacing w:after="0" w:line="117" w:lineRule="exact"/>
        <w:rPr>
          <w:sz w:val="20"/>
          <w:szCs w:val="20"/>
          <w:color w:val="auto"/>
        </w:rPr>
      </w:pPr>
    </w:p>
    <w:p>
      <w:pPr>
        <w:ind w:left="40" w:right="539" w:firstLine="270"/>
        <w:spacing w:after="0" w:line="279" w:lineRule="auto"/>
        <w:rPr>
          <w:sz w:val="20"/>
          <w:szCs w:val="20"/>
          <w:color w:val="auto"/>
        </w:rPr>
      </w:pPr>
      <w:r>
        <w:rPr>
          <w:rFonts w:ascii="Arial" w:cs="Arial" w:eastAsia="Arial" w:hAnsi="Arial"/>
          <w:sz w:val="17"/>
          <w:szCs w:val="17"/>
          <w:color w:val="auto"/>
        </w:rPr>
        <w:t>Securities transactions are accounted for on the date the transaction for the purchase or sale of the securities is entered into by the Company (</w:t>
      </w:r>
      <w:r>
        <w:rPr>
          <w:rFonts w:ascii="Arial" w:cs="Arial" w:eastAsia="Arial" w:hAnsi="Arial"/>
          <w:sz w:val="17"/>
          <w:szCs w:val="17"/>
          <w:i w:val="1"/>
          <w:iCs w:val="1"/>
          <w:color w:val="auto"/>
        </w:rPr>
        <w:t>i.e.</w:t>
      </w:r>
      <w:r>
        <w:rPr>
          <w:rFonts w:ascii="Arial" w:cs="Arial" w:eastAsia="Arial" w:hAnsi="Arial"/>
          <w:sz w:val="17"/>
          <w:szCs w:val="17"/>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117" w:lineRule="exact"/>
        <w:rPr>
          <w:sz w:val="20"/>
          <w:szCs w:val="20"/>
          <w:color w:val="auto"/>
        </w:rPr>
      </w:pPr>
    </w:p>
    <w:p>
      <w:pPr>
        <w:ind w:left="40" w:right="639" w:firstLine="270"/>
        <w:spacing w:after="0" w:line="255" w:lineRule="auto"/>
        <w:rPr>
          <w:sz w:val="20"/>
          <w:szCs w:val="20"/>
          <w:color w:val="auto"/>
        </w:rPr>
      </w:pPr>
      <w:r>
        <w:rPr>
          <w:rFonts w:ascii="Arial" w:cs="Arial" w:eastAsia="Arial" w:hAnsi="Arial"/>
          <w:sz w:val="18"/>
          <w:szCs w:val="18"/>
          <w:color w:val="auto"/>
        </w:rPr>
        <w:t>GSV Capital is a non-diversified company within the meaning of the 1940 Act. GSV Capital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180" w:right="579"/>
        <w:spacing w:after="0" w:line="264" w:lineRule="auto"/>
        <w:rPr>
          <w:sz w:val="20"/>
          <w:szCs w:val="20"/>
          <w:color w:val="auto"/>
        </w:rPr>
      </w:pPr>
      <w:r>
        <w:rPr>
          <w:rFonts w:ascii="Arial" w:cs="Arial" w:eastAsia="Arial" w:hAnsi="Arial"/>
          <w:sz w:val="18"/>
          <w:szCs w:val="18"/>
          <w:color w:val="auto"/>
        </w:rPr>
        <w:t>controls or holds the power to vote 5% or more of the outstanding voting securities of a portfolio company. Refer to the Condensed Consolidated Schedules of Investments as of June 30, 2016 and December 31, 2015, respectively, for details regarding the nature and composition of the Company’s investment portfolio.</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w:t>
      </w:r>
    </w:p>
    <w:p>
      <w:pPr>
        <w:spacing w:after="0" w:line="117" w:lineRule="exact"/>
        <w:rPr>
          <w:sz w:val="20"/>
          <w:szCs w:val="20"/>
          <w:color w:val="auto"/>
        </w:rPr>
      </w:pPr>
    </w:p>
    <w:p>
      <w:pPr>
        <w:jc w:val="both"/>
        <w:ind w:left="180" w:right="919" w:firstLine="270"/>
        <w:spacing w:after="0" w:line="312" w:lineRule="auto"/>
        <w:rPr>
          <w:sz w:val="20"/>
          <w:szCs w:val="20"/>
          <w:color w:val="auto"/>
        </w:rPr>
      </w:pPr>
      <w:r>
        <w:rPr>
          <w:rFonts w:ascii="Arial" w:cs="Arial" w:eastAsia="Arial" w:hAnsi="Arial"/>
          <w:sz w:val="16"/>
          <w:szCs w:val="16"/>
          <w:color w:val="auto"/>
        </w:rPr>
        <w:t>The Company places its cash with U.S. Bank, N.A. and Silicon Valley Bank, and at times, cash held in these accounts may exceed the Federal Deposit Insurance Corporation insured limit. The Company believes that both U.S. Bank, N.A. and Silicon Valley Bank are high-quality financial institutions and that the risk of loss associated with any uninsured balance is remote.</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left="180" w:right="539" w:firstLine="270"/>
        <w:spacing w:after="0" w:line="269" w:lineRule="auto"/>
        <w:rPr>
          <w:sz w:val="20"/>
          <w:szCs w:val="20"/>
          <w:color w:val="auto"/>
        </w:rPr>
      </w:pPr>
      <w:r>
        <w:rPr>
          <w:rFonts w:ascii="Arial" w:cs="Arial" w:eastAsia="Arial" w:hAnsi="Arial"/>
          <w:sz w:val="17"/>
          <w:szCs w:val="17"/>
          <w:color w:val="auto"/>
        </w:rPr>
        <w:t>On December 31, 2013, the Company entered into a Loan and Security Agreement (the “Loan Agreement”) with Silicon Valley Bank, pursuant to which Silicon Valley Bank agreed to provide the Company with an $18 million credit facility (the “Credit Facility”). The Company recorded origination costs related to the Credit Facility as deferred financing costs. These costs are deferred and amortized as part of interest expense using the effective interest method over the expected life of the Credit Facility. In the event that the Company modifies or extinguishes the Credit Facility, it follows the guidance in ASC 470-50, Modification and Extinguishments. For modifications to or exchanges of the Credit Facility,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the shelf registration statement has expired. For equity capital raised, the offering costs reduce paid-in capital resulting from the offering. For debt capital raised, the associated offering costs are amortized over the life of the debt instrument using the effective interest method. As of June 30, 2016 and December 31, 2015, the Company had deferred financing costs of $298,984, and $352,653, respectively, on the Condensed Consolidated Statements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12065</wp:posOffset>
            </wp:positionV>
            <wp:extent cx="521398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8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origination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96,035</w:t>
            </w:r>
          </w:p>
        </w:tc>
        <w:tc>
          <w:tcPr>
            <w:tcW w:w="440" w:type="dxa"/>
            <w:vAlign w:val="bottom"/>
            <w:tcBorders>
              <w:lef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210,998</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Deferred offering costs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202,949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141,655</w:t>
            </w:r>
          </w:p>
        </w:tc>
      </w:tr>
      <w:tr>
        <w:trPr>
          <w:trHeight w:val="20"/>
        </w:trPr>
        <w:tc>
          <w:tcPr>
            <w:tcW w:w="6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Financing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298,984</w:t>
            </w:r>
          </w:p>
        </w:tc>
        <w:tc>
          <w:tcPr>
            <w:tcW w:w="440" w:type="dxa"/>
            <w:vAlign w:val="bottom"/>
            <w:tcBorders>
              <w:left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352,653</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-33655</wp:posOffset>
            </wp:positionV>
            <wp:extent cx="5213985"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1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80" w:right="719" w:firstLine="270"/>
        <w:spacing w:after="0" w:line="293" w:lineRule="auto"/>
        <w:rPr>
          <w:sz w:val="20"/>
          <w:szCs w:val="20"/>
          <w:color w:val="auto"/>
        </w:rPr>
      </w:pPr>
      <w:r>
        <w:rPr>
          <w:rFonts w:ascii="Arial" w:cs="Arial" w:eastAsia="Arial" w:hAnsi="Arial"/>
          <w:sz w:val="16"/>
          <w:szCs w:val="16"/>
          <w:color w:val="auto"/>
        </w:rPr>
        <w:t>As of June 30, 2016 and December 31, 2015, the Company had restricted cash of $75,681 and $52,931, respectively, which is included on the Condensed Consolidated Statements of Assets and Liabilities. As of June 30, 2016 and December 31, 2015, restricted cash consisted of a deposit for the Company’s fidelity bond as well as excess funds remaining in escrow after the purchase of the government securities that will be used to make the scheduled interest payments on the Company’s $69 million Convertible Senior Notes, which bear interest at a fixed rate of 5.25% per year and mature on September 15, 2018 (the “Convertible Senior Notes”). See the table below and “Note 9 — Long-Term Liabilities”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52139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December 31,</w:t>
            </w:r>
          </w:p>
        </w:tc>
        <w:tc>
          <w:tcPr>
            <w:tcW w:w="1260" w:type="dxa"/>
            <w:vAlign w:val="bottom"/>
          </w:tcPr>
          <w:p>
            <w:pPr>
              <w:spacing w:after="0"/>
              <w:rPr>
                <w:sz w:val="14"/>
                <w:szCs w:val="14"/>
                <w:color w:val="auto"/>
              </w:rPr>
            </w:pPr>
          </w:p>
        </w:tc>
      </w:tr>
      <w:tr>
        <w:trPr>
          <w:trHeight w:val="171"/>
        </w:trPr>
        <w:tc>
          <w:tcPr>
            <w:tcW w:w="1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 for the Company’s Fidelity Bond</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25,000</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2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Excess funds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w w:val="98"/>
              </w:rPr>
              <w:t>50,681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27,931</w:t>
            </w:r>
          </w:p>
        </w:tc>
        <w:tc>
          <w:tcPr>
            <w:tcW w:w="126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Restricted Cash</w:t>
            </w:r>
          </w:p>
        </w:tc>
        <w:tc>
          <w:tcPr>
            <w:tcW w:w="24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75,681</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52,931</w:t>
            </w:r>
          </w:p>
        </w:tc>
        <w:tc>
          <w:tcPr>
            <w:tcW w:w="1260" w:type="dxa"/>
            <w:vAlign w:val="bottom"/>
          </w:tcPr>
          <w:p>
            <w:pPr>
              <w:spacing w:after="0"/>
              <w:rPr>
                <w:sz w:val="21"/>
                <w:szCs w:val="21"/>
                <w:color w:val="auto"/>
              </w:rPr>
            </w:pPr>
          </w:p>
        </w:tc>
      </w:tr>
      <w:tr>
        <w:trPr>
          <w:trHeight w:val="777"/>
        </w:trPr>
        <w:tc>
          <w:tcPr>
            <w:tcW w:w="120" w:type="dxa"/>
            <w:vAlign w:val="bottom"/>
          </w:tcPr>
          <w:p>
            <w:pPr>
              <w:spacing w:after="0"/>
              <w:rPr>
                <w:sz w:val="24"/>
                <w:szCs w:val="24"/>
                <w:color w:val="auto"/>
              </w:rPr>
            </w:pPr>
          </w:p>
        </w:tc>
        <w:tc>
          <w:tcPr>
            <w:tcW w:w="378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jc w:val="right"/>
              <w:ind w:right="1370"/>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6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780" w:type="dxa"/>
            <w:vAlign w:val="bottom"/>
            <w:tcBorders>
              <w:bottom w:val="single" w:sz="8" w:color="9A9A9A"/>
            </w:tcBorders>
          </w:tcPr>
          <w:p>
            <w:pPr>
              <w:spacing w:after="0"/>
              <w:rPr>
                <w:sz w:val="14"/>
                <w:szCs w:val="14"/>
                <w:color w:val="auto"/>
              </w:rPr>
            </w:pPr>
          </w:p>
        </w:tc>
        <w:tc>
          <w:tcPr>
            <w:tcW w:w="24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780" w:type="dxa"/>
            <w:vAlign w:val="bottom"/>
            <w:tcBorders>
              <w:bottom w:val="single" w:sz="8" w:color="EEEEEE"/>
            </w:tcBorders>
          </w:tcPr>
          <w:p>
            <w:pPr>
              <w:spacing w:after="0" w:line="20" w:lineRule="exact"/>
              <w:rPr>
                <w:sz w:val="1"/>
                <w:szCs w:val="1"/>
                <w:color w:val="auto"/>
              </w:rPr>
            </w:pPr>
          </w:p>
        </w:tc>
        <w:tc>
          <w:tcPr>
            <w:tcW w:w="24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Gains or losses on the sale of investments are determined using the specific identification method.</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Interest: </w:t>
      </w:r>
      <w:r>
        <w:rPr>
          <w:rFonts w:ascii="Arial" w:cs="Arial" w:eastAsia="Arial" w:hAnsi="Arial"/>
          <w:sz w:val="17"/>
          <w:szCs w:val="17"/>
          <w:color w:val="auto"/>
        </w:rPr>
        <w:t>Interest income, adjusted for amortization of premium and accretion of discount, is recorded on an accrual basis.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Dividend income is recognized on the ex-dividend date.</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 Transaction Costs and Escrow Deposits</w:t>
      </w:r>
    </w:p>
    <w:p>
      <w:pPr>
        <w:spacing w:after="0" w:line="117" w:lineRule="exact"/>
        <w:rPr>
          <w:sz w:val="20"/>
          <w:szCs w:val="20"/>
          <w:color w:val="auto"/>
        </w:rPr>
      </w:pPr>
    </w:p>
    <w:p>
      <w:pPr>
        <w:ind w:left="40" w:right="639" w:firstLine="270"/>
        <w:spacing w:after="0" w:line="272"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issuer,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At June 30, 2016 and December 31, 2015, the Company had no escrow deposits.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Unrealized Appreciation or Depreciation of Investments</w:t>
      </w:r>
    </w:p>
    <w:p>
      <w:pPr>
        <w:spacing w:after="0" w:line="117" w:lineRule="exact"/>
        <w:rPr>
          <w:sz w:val="20"/>
          <w:szCs w:val="20"/>
          <w:color w:val="auto"/>
        </w:rPr>
      </w:pPr>
    </w:p>
    <w:p>
      <w:pPr>
        <w:ind w:left="40" w:right="899" w:firstLine="270"/>
        <w:spacing w:after="0" w:line="277" w:lineRule="auto"/>
        <w:rPr>
          <w:sz w:val="20"/>
          <w:szCs w:val="20"/>
          <w:color w:val="auto"/>
        </w:rPr>
      </w:pPr>
      <w:r>
        <w:rPr>
          <w:rFonts w:ascii="Arial" w:cs="Arial" w:eastAsia="Arial" w:hAnsi="Arial"/>
          <w:sz w:val="18"/>
          <w:szCs w:val="18"/>
          <w:color w:val="auto"/>
        </w:rPr>
        <w:t>Unrealized appreciation or depreciation is calculated as the difference between the fair value of the investment and the cost basis of such investment.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 Federal and State Income Taxes</w:t>
      </w:r>
    </w:p>
    <w:p>
      <w:pPr>
        <w:spacing w:after="0" w:line="117" w:lineRule="exact"/>
        <w:rPr>
          <w:sz w:val="20"/>
          <w:szCs w:val="20"/>
          <w:color w:val="auto"/>
        </w:rPr>
      </w:pPr>
    </w:p>
    <w:p>
      <w:pPr>
        <w:ind w:left="40" w:right="659" w:firstLine="270"/>
        <w:spacing w:after="0" w:line="288" w:lineRule="auto"/>
        <w:rPr>
          <w:sz w:val="20"/>
          <w:szCs w:val="20"/>
          <w:color w:val="auto"/>
        </w:rPr>
      </w:pPr>
      <w:r>
        <w:rPr>
          <w:rFonts w:ascii="Arial" w:cs="Arial" w:eastAsia="Arial" w:hAnsi="Arial"/>
          <w:sz w:val="16"/>
          <w:szCs w:val="16"/>
          <w:color w:val="auto"/>
        </w:rPr>
        <w:t>The Company has elected to be treated as a regulated investment company (a “RIC”) under Subchapter M of the Internal Revenue Code of 1986, as amended (the “Code”), for the 2014 taxable year, qualified to elect to be treated as a RIC for the 2015 taxable year and expects to continue to operate in a manner so as to qualify for the tax treatment applicable to RICs. In order to qualify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and meet certain source of income and asset diversification requirements on a quarterly basis.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61" w:lineRule="exact"/>
        <w:rPr>
          <w:sz w:val="20"/>
          <w:szCs w:val="20"/>
          <w:color w:val="auto"/>
        </w:rPr>
      </w:pPr>
    </w:p>
    <w:p>
      <w:pPr>
        <w:ind w:left="40" w:right="599" w:firstLine="270"/>
        <w:spacing w:after="0" w:line="290" w:lineRule="auto"/>
        <w:rPr>
          <w:sz w:val="20"/>
          <w:szCs w:val="20"/>
          <w:color w:val="auto"/>
        </w:rPr>
      </w:pPr>
      <w:r>
        <w:rPr>
          <w:rFonts w:ascii="Arial" w:cs="Arial" w:eastAsia="Arial" w:hAnsi="Arial"/>
          <w:sz w:val="16"/>
          <w:szCs w:val="16"/>
          <w:color w:val="auto"/>
        </w:rPr>
        <w:t>If the Company does not distribute (or is not deemed to have distributed) each calendar year a sum of (1) 98% of its net ordinary income for each calendar year, (2) 98.2% of its capital gain net income for the one-year period ending October 31 in that calendar year and (3) any income recognized, but not distributed, in preceding years (the “Minimum Distribution Amount”), it will generally be required to pay an excise tax equal to 4% of the amount by the which Minimum Distribution Amount exceeds the distributions for the year. To the extent that the Company determines that its estimated current year annual taxable income will be in excess of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200" w:lineRule="exact"/>
        <w:rPr>
          <w:sz w:val="20"/>
          <w:szCs w:val="20"/>
          <w:color w:val="auto"/>
        </w:rPr>
      </w:pPr>
    </w:p>
    <w:p>
      <w:pPr>
        <w:spacing w:after="0" w:line="30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The Company was taxed as a regular corporation (a “C corporation”) under subchapter C of the Code, for its 2012 taxable year. In September 2014, the Company filed its 2013 tax return as a RIC and sought to be granted RIC status for its 2013 taxable year; however, the Company determined it would not be eligible to elect to be treated as a RIC for the 2013 taxable year unless it was certified by the Securities and Exchange Commission (the “SEC”) as “principally engaged in the furnishing of capital to other corporations which are principally engaged in the development or exploitation of inventions, technological improvements, new processes, or products not previously generally available” for the 2013 taxable year. In September 2015, the Company determined it was in the best interests of its stockholders to file its 2013 tax return as a C corporation.</w:t>
      </w:r>
    </w:p>
    <w:p>
      <w:pPr>
        <w:spacing w:after="0" w:line="70" w:lineRule="exact"/>
        <w:rPr>
          <w:sz w:val="20"/>
          <w:szCs w:val="20"/>
          <w:color w:val="auto"/>
        </w:rPr>
      </w:pPr>
    </w:p>
    <w:p>
      <w:pPr>
        <w:ind w:left="40" w:right="559" w:firstLine="270"/>
        <w:spacing w:after="0" w:line="289" w:lineRule="auto"/>
        <w:rPr>
          <w:sz w:val="20"/>
          <w:szCs w:val="20"/>
          <w:color w:val="auto"/>
        </w:rPr>
      </w:pPr>
      <w:r>
        <w:rPr>
          <w:rFonts w:ascii="Arial" w:cs="Arial" w:eastAsia="Arial" w:hAnsi="Arial"/>
          <w:sz w:val="16"/>
          <w:szCs w:val="16"/>
          <w:color w:val="auto"/>
        </w:rPr>
        <w:t>The Company determined, however, that it satisfied the requirements to qualify as a RIC for the 2014 taxable year and elected to be treated as a RIC in its 2014 tax return filed in September 2015. So long as the Company qualifies and maintains its status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condensed consolidated financial statements of the Company. Included in the Company’s consolidated financial statements, the GSVC Holdings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59" w:lineRule="exact"/>
        <w:rPr>
          <w:sz w:val="20"/>
          <w:szCs w:val="20"/>
          <w:color w:val="auto"/>
        </w:rPr>
      </w:pPr>
    </w:p>
    <w:p>
      <w:pPr>
        <w:ind w:left="40" w:right="539" w:firstLine="270"/>
        <w:spacing w:after="0" w:line="285" w:lineRule="auto"/>
        <w:rPr>
          <w:sz w:val="20"/>
          <w:szCs w:val="20"/>
          <w:color w:val="auto"/>
        </w:rPr>
      </w:pPr>
      <w:r>
        <w:rPr>
          <w:rFonts w:ascii="Arial" w:cs="Arial" w:eastAsia="Arial" w:hAnsi="Arial"/>
          <w:sz w:val="16"/>
          <w:szCs w:val="16"/>
          <w:color w:val="auto"/>
        </w:rPr>
        <w:t>The Company has also qualified to be treated as a RIC for the 2015 taxable year and intends to be treated as a RIC in future periods. If it is not treated as a RIC, the Company will be taxed as a C corporation under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 tax on any net built-in gains with respect to certain of its assets (</w:t>
      </w:r>
      <w:r>
        <w:rPr>
          <w:rFonts w:ascii="Arial" w:cs="Arial" w:eastAsia="Arial" w:hAnsi="Arial"/>
          <w:sz w:val="16"/>
          <w:szCs w:val="16"/>
          <w:i w:val="1"/>
          <w:iCs w:val="1"/>
          <w:color w:val="auto"/>
        </w:rPr>
        <w:t>i.e.</w:t>
      </w:r>
      <w:r>
        <w:rPr>
          <w:rFonts w:ascii="Arial" w:cs="Arial" w:eastAsia="Arial" w:hAnsi="Arial"/>
          <w:sz w:val="16"/>
          <w:szCs w:val="16"/>
          <w:color w:val="auto"/>
        </w:rPr>
        <w:t>, the excess of the aggregate gains, including items of income, over aggregate losses that would have been realized with respect to such assets if the Company had been liquidated) that it elects to recognize on requalification or when recognized over the next five years. Refer to “Note 8 — Income Taxes” for further details regarding the Company’s tax status.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117"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Basic net increase/(decrease) in net assets resulting from operations per common share is computed using the weighted-average number of shares outstanding for the period presented. Diluted net increase/(decrease) in net assets resulting from operations per common share is computed by dividing net increase/(decrease) in net</w:t>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NATURE OF OPERATIONS AND SIGNIFICANT ACCOUNTING POLICIES – (continued)</w:t>
      </w:r>
    </w:p>
    <w:p>
      <w:pPr>
        <w:spacing w:after="0" w:line="121" w:lineRule="exact"/>
        <w:rPr>
          <w:sz w:val="20"/>
          <w:szCs w:val="20"/>
          <w:color w:val="auto"/>
        </w:rPr>
      </w:pPr>
    </w:p>
    <w:p>
      <w:pPr>
        <w:ind w:left="40" w:right="619"/>
        <w:spacing w:after="0" w:line="276" w:lineRule="auto"/>
        <w:rPr>
          <w:sz w:val="20"/>
          <w:szCs w:val="20"/>
          <w:color w:val="auto"/>
        </w:rPr>
      </w:pPr>
      <w:r>
        <w:rPr>
          <w:rFonts w:ascii="Arial" w:cs="Arial" w:eastAsia="Arial" w:hAnsi="Arial"/>
          <w:sz w:val="17"/>
          <w:szCs w:val="17"/>
          <w:color w:val="auto"/>
        </w:rPr>
        <w:t>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 — Earnings Per Share (“ASC 260”) to determine the number of potentially dilutive shares outstanding. Refer to “Note 5 — Net Increase/(Decrease) in Net Assets Resulting from Operations per Common Share — Basic and Diluted” for further detail.</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In April 2015, the FASB issued Accounting Standards Update (“ASU”) 2015-03, Interest — Imputation of Interest (Topic 835): Simplifying the Presentation of Debt Issuance Costs. ASU 2015-03 requires companies to present debt issuance costs related to a recognized debt liability in the balance sheet as a direct deduction from the carrying amount of that debt liability, consistent with debt discounts. Debt issuance costs related to lines of credit are not required to be deducted from the carrying amount of that debt liability.</w:t>
      </w:r>
    </w:p>
    <w:p>
      <w:pPr>
        <w:spacing w:after="0" w:line="80" w:lineRule="exact"/>
        <w:rPr>
          <w:sz w:val="20"/>
          <w:szCs w:val="20"/>
          <w:color w:val="auto"/>
        </w:rPr>
      </w:pPr>
    </w:p>
    <w:p>
      <w:pPr>
        <w:ind w:left="40" w:right="719" w:firstLine="270"/>
        <w:spacing w:after="0" w:line="342" w:lineRule="auto"/>
        <w:rPr>
          <w:sz w:val="20"/>
          <w:szCs w:val="20"/>
          <w:color w:val="auto"/>
        </w:rPr>
      </w:pPr>
      <w:r>
        <w:rPr>
          <w:rFonts w:ascii="Arial" w:cs="Arial" w:eastAsia="Arial" w:hAnsi="Arial"/>
          <w:sz w:val="16"/>
          <w:szCs w:val="16"/>
          <w:color w:val="auto"/>
        </w:rPr>
        <w:t>Public companies are required to apply ASU 2015-03 retrospectively for interim and annual reporting periods beginning after December 15, 2015. The Company has adopted this standard beginning with the interim period ended March 31, 2016.</w:t>
      </w:r>
    </w:p>
    <w:p>
      <w:pPr>
        <w:spacing w:after="0" w:line="16"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As a result, deferred financing costs of $1,947,572 as of December 31, 2015, related to the Convertible Senior Notes are now presented as a direct reduction to the Convertible Senior Notes in the Condensed Consolidated Statements of Assets and Liabilities. In prior periods, these deferred debt financing costs had been presented as assets on the Condensed Consolidated Statements of Assets and Liabilities. The unamortized balances of debt issuance costs related to the Credit Facility remain in “Deferred financing costs” on the Condensed Consolidated Statements of Assets and Liabilities. Refer to “— Deferred Financing Costs” above and “Note 9 — Long-Term Liabilities” for further detail.</w:t>
      </w:r>
    </w:p>
    <w:p>
      <w:pPr>
        <w:spacing w:after="0" w:line="70" w:lineRule="exact"/>
        <w:rPr>
          <w:sz w:val="20"/>
          <w:szCs w:val="20"/>
          <w:color w:val="auto"/>
        </w:rPr>
      </w:pPr>
    </w:p>
    <w:p>
      <w:pPr>
        <w:ind w:left="40" w:right="719" w:firstLine="270"/>
        <w:spacing w:after="0" w:line="273" w:lineRule="auto"/>
        <w:rPr>
          <w:sz w:val="20"/>
          <w:szCs w:val="20"/>
          <w:color w:val="auto"/>
        </w:rPr>
      </w:pPr>
      <w:r>
        <w:rPr>
          <w:rFonts w:ascii="Arial" w:cs="Arial" w:eastAsia="Arial" w:hAnsi="Arial"/>
          <w:sz w:val="17"/>
          <w:szCs w:val="17"/>
          <w:color w:val="auto"/>
        </w:rPr>
        <w:t xml:space="preserve">On January 1, 2016, the Company adopted ASU 2015-02, </w:t>
      </w: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 xml:space="preserve"> (ASC 810), which amends the guidance for determining whether an entity is a variable interest entity (“VIE”). ASU 2015-02 eliminates the separate consolidation guidance for limited partnerships and, with it, the presumption that a general partner should consolidate a limited partnership. In addition, ASU 2015-02 changes the guidance for determining if fee arrangements qualify as variable interests and the effect fee arrangements have on the determination of the primary beneficiary. Adoption of ASU 2015-02 did not affect the consolidation analysis for any of the Company’s investments.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 Advisory Agreement</w:t>
      </w:r>
    </w:p>
    <w:p>
      <w:pPr>
        <w:spacing w:after="0" w:line="121" w:lineRule="exact"/>
        <w:rPr>
          <w:sz w:val="20"/>
          <w:szCs w:val="20"/>
          <w:color w:val="auto"/>
        </w:rPr>
      </w:pPr>
    </w:p>
    <w:p>
      <w:pPr>
        <w:ind w:left="40" w:right="539" w:firstLine="270"/>
        <w:spacing w:after="0" w:line="290" w:lineRule="auto"/>
        <w:rPr>
          <w:sz w:val="20"/>
          <w:szCs w:val="20"/>
          <w:color w:val="auto"/>
        </w:rPr>
      </w:pPr>
      <w:r>
        <w:rPr>
          <w:rFonts w:ascii="Arial" w:cs="Arial" w:eastAsia="Arial" w:hAnsi="Arial"/>
          <w:sz w:val="16"/>
          <w:szCs w:val="16"/>
          <w:color w:val="auto"/>
        </w:rPr>
        <w:t>The Company has entered into an investment advisory agreement with GSV Asset Management (the “Advisory Agreement”). Pursuant to the Advisory Agreement, GSV Asset Management will be paid a base annual fee of 2% of gross assets, which is the Company’s total assets reflected on the its Condensed Consolidated Statements of Assets and Liabilities (with no deduction for liabilities) reduced by any non-portfolio investments, and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RELATED-PARTY ARRANGEMENTS – (continued)</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Incentive Fees</w:t>
      </w:r>
    </w:p>
    <w:p>
      <w:pPr>
        <w:spacing w:after="0" w:line="117"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color w:val="auto"/>
        </w:rPr>
        <w:t>For GAAP purposes, in accordance with the AICPA’s Technical Practice Aids (“TPA”) (TIS 6910.2), the Company is required to accrue incentive fees for all periods as if the Company had fully liquidated its entire investment portfolio at the fair value stated on the Condensed Consolidated Statements of Assets and Liabilities as of June 30, 2016 and December 31, 2015. This accrual considers both the hypothetical liquidation of the Company’s portfolio described previously, as well as the Company’s actual cumulative realized gains and losses since inception, as well any previously paid incentive fees.</w:t>
      </w:r>
    </w:p>
    <w:p>
      <w:pPr>
        <w:spacing w:after="0" w:line="64" w:lineRule="exact"/>
        <w:rPr>
          <w:sz w:val="20"/>
          <w:szCs w:val="20"/>
          <w:color w:val="auto"/>
        </w:rPr>
      </w:pPr>
    </w:p>
    <w:p>
      <w:pPr>
        <w:ind w:left="40" w:right="559" w:firstLine="270"/>
        <w:spacing w:after="0" w:line="264" w:lineRule="auto"/>
        <w:rPr>
          <w:sz w:val="20"/>
          <w:szCs w:val="20"/>
          <w:color w:val="auto"/>
        </w:rPr>
      </w:pPr>
      <w:r>
        <w:rPr>
          <w:rFonts w:ascii="Arial" w:cs="Arial" w:eastAsia="Arial" w:hAnsi="Arial"/>
          <w:sz w:val="18"/>
          <w:szCs w:val="18"/>
          <w:color w:val="auto"/>
        </w:rPr>
        <w:t>For the three and six months ended June 30, 2016, the Company reversed previously accrued incentive fees of $2,907,224 and $8,025,808, respectively. For the three and six months ended June 30, 2015, the Company accrued incentive fees of $1,565,339 and $9,777,067, respectively.</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17" w:lineRule="exact"/>
        <w:rPr>
          <w:sz w:val="20"/>
          <w:szCs w:val="20"/>
          <w:color w:val="auto"/>
        </w:rPr>
      </w:pPr>
    </w:p>
    <w:p>
      <w:pPr>
        <w:jc w:val="both"/>
        <w:ind w:left="40" w:right="759" w:firstLine="270"/>
        <w:spacing w:after="0" w:line="264" w:lineRule="auto"/>
        <w:rPr>
          <w:sz w:val="20"/>
          <w:szCs w:val="20"/>
          <w:color w:val="auto"/>
        </w:rPr>
      </w:pPr>
      <w:r>
        <w:rPr>
          <w:rFonts w:ascii="Arial" w:cs="Arial" w:eastAsia="Arial" w:hAnsi="Arial"/>
          <w:sz w:val="18"/>
          <w:szCs w:val="18"/>
          <w:color w:val="auto"/>
        </w:rPr>
        <w:t>GSV Asset Management earned $1,740,223 and $3,698,223 in management fees for the three and six months ended June 30, 2016, respectively. GSV Asset Management earned $2,010,385 and $3,931,513 in management fees for the three and six months ended June 30, 2015, respectively.</w:t>
      </w:r>
    </w:p>
    <w:p>
      <w:pPr>
        <w:spacing w:after="0" w:line="73" w:lineRule="exact"/>
        <w:rPr>
          <w:sz w:val="20"/>
          <w:szCs w:val="20"/>
          <w:color w:val="auto"/>
        </w:rPr>
      </w:pPr>
    </w:p>
    <w:p>
      <w:pPr>
        <w:ind w:left="40" w:right="599" w:firstLine="270"/>
        <w:spacing w:after="0" w:line="264" w:lineRule="auto"/>
        <w:rPr>
          <w:sz w:val="20"/>
          <w:szCs w:val="20"/>
          <w:color w:val="auto"/>
        </w:rPr>
      </w:pPr>
      <w:r>
        <w:rPr>
          <w:rFonts w:ascii="Arial" w:cs="Arial" w:eastAsia="Arial" w:hAnsi="Arial"/>
          <w:sz w:val="18"/>
          <w:szCs w:val="18"/>
          <w:color w:val="auto"/>
        </w:rPr>
        <w:t>As of June 30, 2016, GSV Asset Management owed the Company $1,623 for reimbursement of expenses paid for by the Company that were the responsibility of GSV Asset Management. In addition, as of June 30, 2016, the Company owed GSV Asset Management $532,690 for the reimbursement of other expenses.</w:t>
      </w:r>
    </w:p>
    <w:p>
      <w:pPr>
        <w:spacing w:after="0" w:line="73" w:lineRule="exact"/>
        <w:rPr>
          <w:sz w:val="20"/>
          <w:szCs w:val="20"/>
          <w:color w:val="auto"/>
        </w:rPr>
      </w:pPr>
    </w:p>
    <w:p>
      <w:pPr>
        <w:jc w:val="both"/>
        <w:ind w:left="40" w:right="759" w:firstLine="270"/>
        <w:spacing w:after="0" w:line="312" w:lineRule="auto"/>
        <w:rPr>
          <w:sz w:val="20"/>
          <w:szCs w:val="20"/>
          <w:color w:val="auto"/>
        </w:rPr>
      </w:pPr>
      <w:r>
        <w:rPr>
          <w:rFonts w:ascii="Arial" w:cs="Arial" w:eastAsia="Arial" w:hAnsi="Arial"/>
          <w:sz w:val="16"/>
          <w:szCs w:val="16"/>
          <w:color w:val="auto"/>
        </w:rPr>
        <w:t>As of December 31, 2015, GSV Asset Management owed the Company $220,770 for reimbursement of expenses paid for by the Company that were the responsibility of GSV Asset Management. In addition, as of December 31, 2015, the Company owed GSV Asset Management $5,047,429 for earned incentive fees and, to a lesser extent, for the reimbursement of other expenses.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Administration Agreement</w:t>
      </w:r>
    </w:p>
    <w:p>
      <w:pPr>
        <w:spacing w:after="0" w:line="121"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The Company has entered into an administration agreement with GSV Capital Service Company (the “Administration Agreement”) to provide administrative services, including furnishing the Company with office facilities, equipment, clerical, bookkeeping, record keeping services and other administrative services. The Company reimburses GSV Capital Service Company an allocable portion of overhead and other expenses in performing its obligations under the Administration Agreement. There were $698,692 and $1,298,642 in such costs incurred under the Administration Agreement for the three and six months ended June 30, 2016, respectively. There were $785,036 and $1,587,432 in such costs incurred under the Administration Agreement for the three and six months ended June 30, 2015, respectively.</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12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Company entered into a license agreement with GSV Asset Management pursuant to which GSV Asset Management has agreed to grant the Company a non-exclusive, royalty-free license to use the name “GSV.” Under this agreement, the Company has the right to use the GSV name for so long as the Advisory Agreement with GSV Asset Management is in effect. Other than with respect to this limited license, the Company has no legal right to the “GSV” name.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Investments in Controlled and Affiliated Portfolio Companies</w:t>
      </w:r>
    </w:p>
    <w:p>
      <w:pPr>
        <w:spacing w:after="0" w:line="121" w:lineRule="exact"/>
        <w:rPr>
          <w:sz w:val="20"/>
          <w:szCs w:val="20"/>
          <w:color w:val="auto"/>
        </w:rPr>
      </w:pPr>
    </w:p>
    <w:p>
      <w:pPr>
        <w:ind w:left="40" w:right="579" w:firstLine="270"/>
        <w:spacing w:after="0" w:line="277" w:lineRule="auto"/>
        <w:rPr>
          <w:sz w:val="20"/>
          <w:szCs w:val="20"/>
          <w:color w:val="auto"/>
        </w:rPr>
      </w:pPr>
      <w:r>
        <w:rPr>
          <w:rFonts w:ascii="Arial" w:cs="Arial" w:eastAsia="Arial" w:hAnsi="Arial"/>
          <w:sz w:val="18"/>
          <w:szCs w:val="18"/>
          <w:color w:val="auto"/>
        </w:rPr>
        <w:t>Under the 1940 Act, the Company’s investments in controlled and affiliated portfolio companies are deemed to be related-party transactions.</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w:t>
      </w:r>
    </w:p>
    <w:p>
      <w:pPr>
        <w:spacing w:after="0" w:line="121" w:lineRule="exact"/>
        <w:rPr>
          <w:sz w:val="20"/>
          <w:szCs w:val="20"/>
          <w:color w:val="auto"/>
        </w:rPr>
      </w:pPr>
    </w:p>
    <w:p>
      <w:pPr>
        <w:ind w:left="180" w:right="619" w:firstLine="270"/>
        <w:spacing w:after="0" w:line="293"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warrants to purchase common and preferred stock) and to a lesser extent, debt securities, issued by private and publicly traded companies. The Company may also from time to time, invest in U.S. Treasury Securities. Non-portfolio investments represent investments in U.S. Treasury Securities. At June 30, 2016, the Company had 96 positions in 47 portfolio companies. At December 31, 2015, the Company had 96 positions in 48 portfolio companies. The following table summarizes the composition of the Company’s investment portfolio by security type at cost and fair value as of June 30, 2016 and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2540</wp:posOffset>
            </wp:positionV>
            <wp:extent cx="52139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December 31, 2015</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57,869,513</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83,904,774</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60,910,974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102,319,140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199,274,667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203,993,497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197,215,605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216,291,092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Investments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6,179,807</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5,280,232</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4,177,804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4,175,859</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301,772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394,309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301,772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469,306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263,625,759</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293,572,812</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262,606,155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323,255,397</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28,294,729</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19,452,106</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30,743,688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26,553,370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00" w:type="dxa"/>
            <w:vAlign w:val="bottom"/>
            <w:tcBorders>
              <w:top w:val="single" w:sz="8" w:color="CCEEFF"/>
            </w:tcBorders>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291,920,488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313,024,918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293,349,843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349,808,767</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U.S. Treasury Bill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29,999,640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29,999,700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29,999,968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Strips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1,849,291</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1,850,371</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3,675,192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3,676,693</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31,848,931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31,850,071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33,675,160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33,676,693</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323,769,419</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344,874,989</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327,025,003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383,485,460</w:t>
            </w:r>
          </w:p>
        </w:tc>
        <w:tc>
          <w:tcPr>
            <w:tcW w:w="132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3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gridSpan w:val="2"/>
          </w:tcPr>
          <w:p>
            <w:pPr>
              <w:jc w:val="right"/>
              <w:ind w:right="711"/>
              <w:spacing w:after="0"/>
              <w:rPr>
                <w:sz w:val="20"/>
                <w:szCs w:val="20"/>
                <w:color w:val="auto"/>
              </w:rPr>
            </w:pPr>
            <w:r>
              <w:rPr>
                <w:rFonts w:ascii="Arial" w:cs="Arial" w:eastAsia="Arial" w:hAnsi="Arial"/>
                <w:sz w:val="18"/>
                <w:szCs w:val="18"/>
                <w:color w:val="auto"/>
                <w:w w:val="99"/>
              </w:rPr>
              <w:t>29</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-1946275</wp:posOffset>
            </wp:positionV>
            <wp:extent cx="521398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-1663065</wp:posOffset>
            </wp:positionV>
            <wp:extent cx="5213985"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-960120</wp:posOffset>
            </wp:positionV>
            <wp:extent cx="5213985"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-668020</wp:posOffset>
            </wp:positionV>
            <wp:extent cx="5213985"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2" w:name="page33"/>
    <w:bookmarkEnd w:id="32"/>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180" w:right="899" w:firstLine="270"/>
        <w:spacing w:after="0" w:line="342" w:lineRule="auto"/>
        <w:rPr>
          <w:sz w:val="20"/>
          <w:szCs w:val="20"/>
          <w:color w:val="auto"/>
        </w:rPr>
      </w:pPr>
      <w:r>
        <w:rPr>
          <w:rFonts w:ascii="Arial" w:cs="Arial" w:eastAsia="Arial" w:hAnsi="Arial"/>
          <w:sz w:val="16"/>
          <w:szCs w:val="16"/>
          <w:color w:val="auto"/>
        </w:rPr>
        <w:t>The fair values of the Company’s investments disaggregated into the three levels of the fair value hierarchy based upon the lowest level of significant input used in the valuation as of June 30, 2016 and December 31, 2015,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-22860</wp:posOffset>
            </wp:positionV>
            <wp:extent cx="52139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June 30, 2016</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0"/>
                <w:szCs w:val="10"/>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83,904,774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83,904,774</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203,993,497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203,993,497</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5,280,232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5,280,232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394,309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394,309</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293,572,812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293,572,812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19,452,106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19,452,106</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3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19,452,106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293,572,812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313,024,918</w:t>
            </w:r>
          </w:p>
        </w:tc>
        <w:tc>
          <w:tcPr>
            <w:tcW w:w="132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29,999,700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29,999,700</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1,850,371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1,850,371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31,850,071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31,850,071</w:t>
            </w:r>
          </w:p>
        </w:tc>
        <w:tc>
          <w:tcPr>
            <w:tcW w:w="13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51,302,177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293,572,812</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344,874,989</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3"/>
          </w:tcPr>
          <w:p>
            <w:pPr>
              <w:ind w:left="20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3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3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-2091690</wp:posOffset>
            </wp:positionV>
            <wp:extent cx="521398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-1379855</wp:posOffset>
            </wp:positionV>
            <wp:extent cx="5213985" cy="146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-814070</wp:posOffset>
            </wp:positionV>
            <wp:extent cx="5213985" cy="180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33" w:name="page34"/>
    <w:bookmarkEnd w:id="3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2139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0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Quoted Prices in</w:t>
            </w:r>
          </w:p>
        </w:tc>
        <w:tc>
          <w:tcPr>
            <w:tcW w:w="160" w:type="dxa"/>
            <w:vAlign w:val="bottom"/>
          </w:tcPr>
          <w:p>
            <w:pPr>
              <w:spacing w:after="0"/>
              <w:rPr>
                <w:sz w:val="10"/>
                <w:szCs w:val="10"/>
                <w:color w:val="auto"/>
              </w:rPr>
            </w:pPr>
          </w:p>
        </w:tc>
        <w:tc>
          <w:tcPr>
            <w:tcW w:w="12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3"/>
              </w:rPr>
              <w:t>Significant Other</w:t>
            </w: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4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$ 102,319,140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102,319,140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216,291,092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216,291,092</w:t>
            </w: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Debt Investments</w:t>
            </w:r>
          </w:p>
        </w:tc>
        <w:tc>
          <w:tcPr>
            <w:tcW w:w="140" w:type="dxa"/>
            <w:vAlign w:val="bottom"/>
          </w:tcPr>
          <w:p>
            <w:pPr>
              <w:spacing w:after="0"/>
              <w:rPr>
                <w:sz w:val="18"/>
                <w:szCs w:val="18"/>
                <w:color w:val="auto"/>
              </w:rPr>
            </w:pP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4,175,859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4,175,859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469,306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469,306</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7"/>
              </w:rPr>
              <w:t>Subtotal – Private Portfolio Companies</w:t>
            </w:r>
          </w:p>
        </w:tc>
        <w:tc>
          <w:tcPr>
            <w:tcW w:w="140" w:type="dxa"/>
            <w:vAlign w:val="bottom"/>
          </w:tcPr>
          <w:p>
            <w:pPr>
              <w:spacing w:after="0"/>
              <w:rPr>
                <w:sz w:val="18"/>
                <w:szCs w:val="18"/>
                <w:color w:val="auto"/>
              </w:rPr>
            </w:pP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323,255,397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323,255,397</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26,486,074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67,296</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26,553,370</w:t>
            </w:r>
          </w:p>
        </w:tc>
        <w:tc>
          <w:tcPr>
            <w:tcW w:w="0" w:type="dxa"/>
            <w:vAlign w:val="bottom"/>
          </w:tcPr>
          <w:p>
            <w:pPr>
              <w:spacing w:after="0"/>
              <w:rPr>
                <w:sz w:val="1"/>
                <w:szCs w:val="1"/>
                <w:color w:val="auto"/>
              </w:rPr>
            </w:pPr>
          </w:p>
        </w:tc>
      </w:tr>
      <w:tr>
        <w:trPr>
          <w:trHeight w:val="191"/>
        </w:trPr>
        <w:tc>
          <w:tcPr>
            <w:tcW w:w="33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Total Private and Publicly Traded</w:t>
            </w: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Portfolio Companies</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26,486,074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67,296</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323,255,397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349,808,767</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30,000,000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U.S. Treasury Strips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3,676,693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3,676,693</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Non-Portfolio Investments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33,676,693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33,676,693</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60,162,767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67,296</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$ 323,255,397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383,485,460</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-1457325</wp:posOffset>
            </wp:positionV>
            <wp:extent cx="521398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13985" cy="15430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-745490</wp:posOffset>
            </wp:positionV>
            <wp:extent cx="5213985"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3985" cy="1460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-179705</wp:posOffset>
            </wp:positionV>
            <wp:extent cx="5213985" cy="180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Unobservable Inputs for Level 3 Assets and Liabilities</w:t>
      </w:r>
    </w:p>
    <w:p>
      <w:pPr>
        <w:spacing w:after="0" w:line="121" w:lineRule="exact"/>
        <w:rPr>
          <w:sz w:val="20"/>
          <w:szCs w:val="20"/>
          <w:color w:val="auto"/>
        </w:rPr>
      </w:pPr>
    </w:p>
    <w:p>
      <w:pPr>
        <w:ind w:left="60" w:right="519" w:firstLine="270"/>
        <w:spacing w:after="0" w:line="290" w:lineRule="auto"/>
        <w:rPr>
          <w:sz w:val="20"/>
          <w:szCs w:val="20"/>
          <w:color w:val="auto"/>
        </w:rPr>
      </w:pPr>
      <w:r>
        <w:rPr>
          <w:rFonts w:ascii="Arial" w:cs="Arial" w:eastAsia="Arial" w:hAnsi="Arial"/>
          <w:sz w:val="16"/>
          <w:szCs w:val="16"/>
          <w:color w:val="auto"/>
        </w:rPr>
        <w:t>In accordance with ASC 820, the tables below provide quantitative information about the Company’s fair value measurements of its Level 3 assets as of June 30, 2016 and December 31, 2015.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June 30, 2016 and December 31, 2015. Significant changes in the inputs in isolation would result in a significant change in the fair value measurement, depending on the input and the materiality of the investment.</w:t>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4" w:name="page35"/>
    <w:bookmarkEnd w:id="3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5218430" cy="28600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8430" cy="2860040"/>
                    </a:xfrm>
                    <a:prstGeom prst="rect">
                      <a:avLst/>
                    </a:prstGeom>
                    <a:noFill/>
                  </pic:spPr>
                </pic:pic>
              </a:graphicData>
            </a:graphic>
          </wp:anchor>
        </w:drawing>
      </w:r>
    </w:p>
    <w:p>
      <w:pPr>
        <w:spacing w:after="0" w:line="255"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As of June 30, 2016</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Asset</w:t>
            </w:r>
          </w:p>
        </w:tc>
        <w:tc>
          <w:tcPr>
            <w:tcW w:w="1100" w:type="dxa"/>
            <w:vAlign w:val="bottom"/>
            <w:tcBorders>
              <w:top w:val="single" w:sz="8" w:color="auto"/>
              <w:right w:val="single" w:sz="8" w:color="auto"/>
            </w:tcBorders>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2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209"/>
        </w:trPr>
        <w:tc>
          <w:tcPr>
            <w:tcW w:w="1480" w:type="dxa"/>
            <w:vAlign w:val="bottom"/>
            <w:tcBorders>
              <w:bottom w:val="single" w:sz="8" w:color="auto"/>
              <w:right w:val="single" w:sz="8" w:color="auto"/>
            </w:tcBorders>
            <w:vMerge w:val="continue"/>
          </w:tcPr>
          <w:p>
            <w:pPr>
              <w:spacing w:after="0"/>
              <w:rPr>
                <w:sz w:val="18"/>
                <w:szCs w:val="18"/>
                <w:color w:val="auto"/>
              </w:rPr>
            </w:pPr>
          </w:p>
        </w:tc>
        <w:tc>
          <w:tcPr>
            <w:tcW w:w="1100" w:type="dxa"/>
            <w:vAlign w:val="bottom"/>
            <w:tcBorders>
              <w:bottom w:val="single" w:sz="8" w:color="auto"/>
              <w:right w:val="single" w:sz="8" w:color="auto"/>
            </w:tcBorders>
            <w:vMerge w:val="continue"/>
          </w:tcPr>
          <w:p>
            <w:pPr>
              <w:spacing w:after="0"/>
              <w:rPr>
                <w:sz w:val="18"/>
                <w:szCs w:val="18"/>
                <w:color w:val="auto"/>
              </w:rPr>
            </w:pPr>
          </w:p>
        </w:tc>
        <w:tc>
          <w:tcPr>
            <w:tcW w:w="1780" w:type="dxa"/>
            <w:vAlign w:val="bottom"/>
            <w:tcBorders>
              <w:bottom w:val="single" w:sz="8" w:color="auto"/>
              <w:right w:val="single" w:sz="8" w:color="auto"/>
            </w:tcBorders>
            <w:vMerge w:val="continue"/>
          </w:tcPr>
          <w:p>
            <w:pPr>
              <w:spacing w:after="0"/>
              <w:rPr>
                <w:sz w:val="18"/>
                <w:szCs w:val="18"/>
                <w:color w:val="auto"/>
              </w:rPr>
            </w:pPr>
          </w:p>
        </w:tc>
        <w:tc>
          <w:tcPr>
            <w:tcW w:w="2060" w:type="dxa"/>
            <w:vAlign w:val="bottom"/>
            <w:tcBorders>
              <w:bottom w:val="single" w:sz="8" w:color="auto"/>
              <w:right w:val="single" w:sz="8" w:color="auto"/>
            </w:tcBorders>
            <w:vMerge w:val="continue"/>
          </w:tcPr>
          <w:p>
            <w:pPr>
              <w:spacing w:after="0"/>
              <w:rPr>
                <w:sz w:val="18"/>
                <w:szCs w:val="18"/>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50"/>
        </w:trPr>
        <w:tc>
          <w:tcPr>
            <w:tcW w:w="148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Market approach</w:t>
            </w:r>
          </w:p>
        </w:tc>
        <w:tc>
          <w:tcPr>
            <w:tcW w:w="206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8"/>
              </w:rPr>
              <w:t>Precedent transactions</w:t>
            </w:r>
            <w:r>
              <w:rPr>
                <w:rFonts w:ascii="Arial" w:cs="Arial" w:eastAsia="Arial" w:hAnsi="Arial"/>
                <w:sz w:val="23"/>
                <w:szCs w:val="23"/>
                <w:color w:val="auto"/>
                <w:w w:val="88"/>
                <w:vertAlign w:val="superscript"/>
              </w:rPr>
              <w:t>(1)</w:t>
            </w:r>
          </w:p>
        </w:tc>
        <w:tc>
          <w:tcPr>
            <w:tcW w:w="104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480" w:type="dxa"/>
            <w:vAlign w:val="bottom"/>
            <w:tcBorders>
              <w:right w:val="single" w:sz="8" w:color="auto"/>
            </w:tcBorders>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1780" w:type="dxa"/>
            <w:vAlign w:val="bottom"/>
            <w:tcBorders>
              <w:right w:val="single" w:sz="8" w:color="auto"/>
            </w:tcBorders>
            <w:vMerge w:val="continue"/>
          </w:tcPr>
          <w:p>
            <w:pPr>
              <w:spacing w:after="0"/>
              <w:rPr>
                <w:sz w:val="5"/>
                <w:szCs w:val="5"/>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Revenue multiples</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3.3x – 4.0x</w:t>
            </w:r>
          </w:p>
        </w:tc>
        <w:tc>
          <w:tcPr>
            <w:tcW w:w="760" w:type="dxa"/>
            <w:vAlign w:val="bottom"/>
            <w:vMerge w:val="restart"/>
          </w:tcPr>
          <w:p>
            <w:pPr>
              <w:ind w:left="20"/>
              <w:spacing w:after="0"/>
              <w:rPr>
                <w:sz w:val="20"/>
                <w:szCs w:val="20"/>
                <w:color w:val="auto"/>
              </w:rPr>
            </w:pPr>
            <w:r>
              <w:rPr>
                <w:rFonts w:ascii="Arial" w:cs="Arial" w:eastAsia="Arial" w:hAnsi="Arial"/>
                <w:sz w:val="14"/>
                <w:szCs w:val="14"/>
                <w:color w:val="auto"/>
              </w:rPr>
              <w:t>(3.7x)</w:t>
            </w:r>
          </w:p>
        </w:tc>
        <w:tc>
          <w:tcPr>
            <w:tcW w:w="0" w:type="dxa"/>
            <w:vAlign w:val="bottom"/>
          </w:tcPr>
          <w:p>
            <w:pPr>
              <w:spacing w:after="0"/>
              <w:rPr>
                <w:sz w:val="1"/>
                <w:szCs w:val="1"/>
                <w:color w:val="auto"/>
              </w:rPr>
            </w:pPr>
          </w:p>
        </w:tc>
      </w:tr>
      <w:tr>
        <w:trPr>
          <w:trHeight w:val="149"/>
        </w:trPr>
        <w:tc>
          <w:tcPr>
            <w:tcW w:w="14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Common stock in</w:t>
            </w:r>
          </w:p>
        </w:tc>
        <w:tc>
          <w:tcPr>
            <w:tcW w:w="1100" w:type="dxa"/>
            <w:vAlign w:val="bottom"/>
            <w:tcBorders>
              <w:right w:val="single" w:sz="8" w:color="auto"/>
            </w:tcBorders>
          </w:tcPr>
          <w:p>
            <w:pPr>
              <w:jc w:val="right"/>
              <w:ind w:right="128"/>
              <w:spacing w:after="0"/>
              <w:rPr>
                <w:sz w:val="20"/>
                <w:szCs w:val="20"/>
                <w:color w:val="auto"/>
              </w:rPr>
            </w:pPr>
            <w:r>
              <w:rPr>
                <w:rFonts w:ascii="Arial" w:cs="Arial" w:eastAsia="Arial" w:hAnsi="Arial"/>
                <w:sz w:val="14"/>
                <w:szCs w:val="14"/>
                <w:color w:val="auto"/>
              </w:rPr>
              <w:t>$83,904,774</w:t>
            </w:r>
          </w:p>
        </w:tc>
        <w:tc>
          <w:tcPr>
            <w:tcW w:w="178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EBIT multiples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4.5x – 23.0x</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(13.8x)</w:t>
            </w:r>
          </w:p>
        </w:tc>
        <w:tc>
          <w:tcPr>
            <w:tcW w:w="0" w:type="dxa"/>
            <w:vAlign w:val="bottom"/>
          </w:tcPr>
          <w:p>
            <w:pPr>
              <w:spacing w:after="0"/>
              <w:rPr>
                <w:sz w:val="1"/>
                <w:szCs w:val="1"/>
                <w:color w:val="auto"/>
              </w:rPr>
            </w:pPr>
          </w:p>
        </w:tc>
      </w:tr>
      <w:tr>
        <w:trPr>
          <w:trHeight w:val="210"/>
        </w:trPr>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private companies</w:t>
            </w:r>
          </w:p>
        </w:tc>
        <w:tc>
          <w:tcPr>
            <w:tcW w:w="1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Income approach</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Revenue multiples</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6"/>
              </w:rPr>
              <w:t>2.0x (2.0x)</w:t>
            </w:r>
          </w:p>
        </w:tc>
        <w:tc>
          <w:tcPr>
            <w:tcW w:w="0" w:type="dxa"/>
            <w:vAlign w:val="bottom"/>
          </w:tcPr>
          <w:p>
            <w:pPr>
              <w:spacing w:after="0"/>
              <w:rPr>
                <w:sz w:val="1"/>
                <w:szCs w:val="1"/>
                <w:color w:val="auto"/>
              </w:rPr>
            </w:pPr>
          </w:p>
        </w:tc>
      </w:tr>
      <w:tr>
        <w:trPr>
          <w:trHeight w:val="106"/>
        </w:trPr>
        <w:tc>
          <w:tcPr>
            <w:tcW w:w="1480" w:type="dxa"/>
            <w:vAlign w:val="bottom"/>
            <w:tcBorders>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EBIT multiples</w:t>
            </w:r>
          </w:p>
        </w:tc>
        <w:tc>
          <w:tcPr>
            <w:tcW w:w="18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5"/>
              </w:rPr>
              <w:t>10.0x (10.0x)</w:t>
            </w:r>
          </w:p>
        </w:tc>
        <w:tc>
          <w:tcPr>
            <w:tcW w:w="0" w:type="dxa"/>
            <w:vAlign w:val="bottom"/>
          </w:tcPr>
          <w:p>
            <w:pPr>
              <w:spacing w:after="0"/>
              <w:rPr>
                <w:sz w:val="1"/>
                <w:szCs w:val="1"/>
                <w:color w:val="auto"/>
              </w:rPr>
            </w:pPr>
          </w:p>
        </w:tc>
      </w:tr>
      <w:tr>
        <w:trPr>
          <w:trHeight w:val="108"/>
        </w:trPr>
        <w:tc>
          <w:tcPr>
            <w:tcW w:w="148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vMerge w:val="continue"/>
          </w:tcPr>
          <w:p>
            <w:pPr>
              <w:spacing w:after="0"/>
              <w:rPr>
                <w:sz w:val="8"/>
                <w:szCs w:val="8"/>
                <w:color w:val="auto"/>
              </w:rPr>
            </w:pPr>
          </w:p>
        </w:tc>
        <w:tc>
          <w:tcPr>
            <w:tcW w:w="180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48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45% (45%)</w:t>
            </w: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Liquidation value</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Liquidation value</w:t>
            </w:r>
          </w:p>
        </w:tc>
        <w:tc>
          <w:tcPr>
            <w:tcW w:w="104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48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Market approach</w:t>
            </w:r>
          </w:p>
        </w:tc>
        <w:tc>
          <w:tcPr>
            <w:tcW w:w="206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8"/>
              </w:rPr>
              <w:t>Precedent transactions</w:t>
            </w:r>
            <w:r>
              <w:rPr>
                <w:rFonts w:ascii="Arial" w:cs="Arial" w:eastAsia="Arial" w:hAnsi="Arial"/>
                <w:sz w:val="23"/>
                <w:szCs w:val="23"/>
                <w:color w:val="auto"/>
                <w:w w:val="88"/>
                <w:vertAlign w:val="superscript"/>
              </w:rPr>
              <w:t>(1)</w:t>
            </w:r>
          </w:p>
        </w:tc>
        <w:tc>
          <w:tcPr>
            <w:tcW w:w="104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Preferred stock in</w:t>
            </w:r>
          </w:p>
        </w:tc>
        <w:tc>
          <w:tcPr>
            <w:tcW w:w="1100" w:type="dxa"/>
            <w:vAlign w:val="bottom"/>
            <w:tcBorders>
              <w:right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$203,993,497</w:t>
            </w:r>
          </w:p>
        </w:tc>
        <w:tc>
          <w:tcPr>
            <w:tcW w:w="1780" w:type="dxa"/>
            <w:vAlign w:val="bottom"/>
            <w:tcBorders>
              <w:right w:val="single" w:sz="8" w:color="auto"/>
            </w:tcBorders>
            <w:vMerge w:val="continue"/>
          </w:tcPr>
          <w:p>
            <w:pPr>
              <w:spacing w:after="0"/>
              <w:rPr>
                <w:sz w:val="5"/>
                <w:szCs w:val="5"/>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Revenue multiples</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1.5x – 4.2x</w:t>
            </w:r>
          </w:p>
        </w:tc>
        <w:tc>
          <w:tcPr>
            <w:tcW w:w="760" w:type="dxa"/>
            <w:vAlign w:val="bottom"/>
            <w:vMerge w:val="restart"/>
          </w:tcPr>
          <w:p>
            <w:pPr>
              <w:ind w:left="20"/>
              <w:spacing w:after="0"/>
              <w:rPr>
                <w:sz w:val="20"/>
                <w:szCs w:val="20"/>
                <w:color w:val="auto"/>
              </w:rPr>
            </w:pPr>
            <w:r>
              <w:rPr>
                <w:rFonts w:ascii="Arial" w:cs="Arial" w:eastAsia="Arial" w:hAnsi="Arial"/>
                <w:sz w:val="14"/>
                <w:szCs w:val="14"/>
                <w:color w:val="auto"/>
              </w:rPr>
              <w:t>(2.5x)</w:t>
            </w:r>
          </w:p>
        </w:tc>
        <w:tc>
          <w:tcPr>
            <w:tcW w:w="0" w:type="dxa"/>
            <w:vAlign w:val="bottom"/>
          </w:tcPr>
          <w:p>
            <w:pPr>
              <w:spacing w:after="0"/>
              <w:rPr>
                <w:sz w:val="1"/>
                <w:szCs w:val="1"/>
                <w:color w:val="auto"/>
              </w:rPr>
            </w:pPr>
          </w:p>
        </w:tc>
      </w:tr>
      <w:tr>
        <w:trPr>
          <w:trHeight w:val="144"/>
        </w:trPr>
        <w:tc>
          <w:tcPr>
            <w:tcW w:w="148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780" w:type="dxa"/>
            <w:vAlign w:val="bottom"/>
            <w:tcBorders>
              <w:bottom w:val="single" w:sz="8" w:color="auto"/>
              <w:right w:val="single" w:sz="8" w:color="auto"/>
            </w:tcBorders>
          </w:tcPr>
          <w:p>
            <w:pPr>
              <w:spacing w:after="0"/>
              <w:rPr>
                <w:sz w:val="12"/>
                <w:szCs w:val="12"/>
                <w:color w:val="auto"/>
              </w:rPr>
            </w:pPr>
          </w:p>
        </w:tc>
        <w:tc>
          <w:tcPr>
            <w:tcW w:w="2060" w:type="dxa"/>
            <w:vAlign w:val="bottom"/>
            <w:tcBorders>
              <w:bottom w:val="single" w:sz="8" w:color="auto"/>
              <w:right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14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Revenue multiples</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1.0x – 5.0x</w:t>
            </w:r>
          </w:p>
        </w:tc>
        <w:tc>
          <w:tcPr>
            <w:tcW w:w="760" w:type="dxa"/>
            <w:vAlign w:val="bottom"/>
            <w:vMerge w:val="restart"/>
          </w:tcPr>
          <w:p>
            <w:pPr>
              <w:ind w:left="20"/>
              <w:spacing w:after="0"/>
              <w:rPr>
                <w:sz w:val="20"/>
                <w:szCs w:val="20"/>
                <w:color w:val="auto"/>
              </w:rPr>
            </w:pPr>
            <w:r>
              <w:rPr>
                <w:rFonts w:ascii="Arial" w:cs="Arial" w:eastAsia="Arial" w:hAnsi="Arial"/>
                <w:sz w:val="14"/>
                <w:szCs w:val="14"/>
                <w:color w:val="auto"/>
              </w:rPr>
              <w:t>(3.7x)</w:t>
            </w:r>
          </w:p>
        </w:tc>
        <w:tc>
          <w:tcPr>
            <w:tcW w:w="0" w:type="dxa"/>
            <w:vAlign w:val="bottom"/>
          </w:tcPr>
          <w:p>
            <w:pPr>
              <w:spacing w:after="0"/>
              <w:rPr>
                <w:sz w:val="1"/>
                <w:szCs w:val="1"/>
                <w:color w:val="auto"/>
              </w:rPr>
            </w:pPr>
          </w:p>
        </w:tc>
      </w:tr>
      <w:tr>
        <w:trPr>
          <w:trHeight w:val="115"/>
        </w:trPr>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private companies</w:t>
            </w:r>
          </w:p>
        </w:tc>
        <w:tc>
          <w:tcPr>
            <w:tcW w:w="1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Income approach</w:t>
            </w:r>
          </w:p>
        </w:tc>
        <w:tc>
          <w:tcPr>
            <w:tcW w:w="2060" w:type="dxa"/>
            <w:vAlign w:val="bottom"/>
            <w:tcBorders>
              <w:bottom w:val="single" w:sz="8" w:color="auto"/>
              <w:right w:val="single" w:sz="8" w:color="auto"/>
            </w:tcBorders>
            <w:vMerge w:val="continue"/>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480" w:type="dxa"/>
            <w:vAlign w:val="bottom"/>
            <w:tcBorders>
              <w:right w:val="single" w:sz="8" w:color="auto"/>
            </w:tcBorders>
            <w:vMerge w:val="continue"/>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vMerge w:val="continue"/>
          </w:tcPr>
          <w:p>
            <w:pPr>
              <w:spacing w:after="0"/>
              <w:rPr>
                <w:sz w:val="4"/>
                <w:szCs w:val="4"/>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EBIT multiples</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5.0x – 35.0x</w:t>
            </w:r>
          </w:p>
        </w:tc>
        <w:tc>
          <w:tcPr>
            <w:tcW w:w="760" w:type="dxa"/>
            <w:vAlign w:val="bottom"/>
            <w:vMerge w:val="restart"/>
          </w:tcPr>
          <w:p>
            <w:pPr>
              <w:ind w:left="20"/>
              <w:spacing w:after="0"/>
              <w:rPr>
                <w:sz w:val="20"/>
                <w:szCs w:val="20"/>
                <w:color w:val="auto"/>
              </w:rPr>
            </w:pPr>
            <w:r>
              <w:rPr>
                <w:rFonts w:ascii="Arial" w:cs="Arial" w:eastAsia="Arial" w:hAnsi="Arial"/>
                <w:sz w:val="14"/>
                <w:szCs w:val="14"/>
                <w:color w:val="auto"/>
              </w:rPr>
              <w:t>(18.9x)</w:t>
            </w:r>
          </w:p>
        </w:tc>
        <w:tc>
          <w:tcPr>
            <w:tcW w:w="0" w:type="dxa"/>
            <w:vAlign w:val="bottom"/>
          </w:tcPr>
          <w:p>
            <w:pPr>
              <w:spacing w:after="0"/>
              <w:rPr>
                <w:sz w:val="1"/>
                <w:szCs w:val="1"/>
                <w:color w:val="auto"/>
              </w:rPr>
            </w:pPr>
          </w:p>
        </w:tc>
      </w:tr>
      <w:tr>
        <w:trPr>
          <w:trHeight w:val="54"/>
        </w:trPr>
        <w:tc>
          <w:tcPr>
            <w:tcW w:w="148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vMerge w:val="continue"/>
          </w:tcPr>
          <w:p>
            <w:pPr>
              <w:spacing w:after="0"/>
              <w:rPr>
                <w:sz w:val="4"/>
                <w:szCs w:val="4"/>
                <w:color w:val="auto"/>
              </w:rPr>
            </w:pPr>
          </w:p>
        </w:tc>
        <w:tc>
          <w:tcPr>
            <w:tcW w:w="2060" w:type="dxa"/>
            <w:vAlign w:val="bottom"/>
            <w:tcBorders>
              <w:right w:val="single" w:sz="8" w:color="auto"/>
            </w:tcBorders>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48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30% – 50% (41%)</w:t>
            </w:r>
          </w:p>
        </w:tc>
        <w:tc>
          <w:tcPr>
            <w:tcW w:w="0" w:type="dxa"/>
            <w:vAlign w:val="bottom"/>
          </w:tcPr>
          <w:p>
            <w:pPr>
              <w:spacing w:after="0"/>
              <w:rPr>
                <w:sz w:val="1"/>
                <w:szCs w:val="1"/>
                <w:color w:val="auto"/>
              </w:rPr>
            </w:pPr>
          </w:p>
        </w:tc>
      </w:tr>
      <w:tr>
        <w:trPr>
          <w:trHeight w:val="210"/>
        </w:trPr>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Debt Investments</w:t>
            </w:r>
          </w:p>
        </w:tc>
        <w:tc>
          <w:tcPr>
            <w:tcW w:w="1100" w:type="dxa"/>
            <w:vAlign w:val="bottom"/>
            <w:tcBorders>
              <w:bottom w:val="single" w:sz="8" w:color="auto"/>
              <w:right w:val="single" w:sz="8" w:color="auto"/>
            </w:tcBorders>
          </w:tcPr>
          <w:p>
            <w:pPr>
              <w:jc w:val="right"/>
              <w:ind w:right="128"/>
              <w:spacing w:after="0"/>
              <w:rPr>
                <w:sz w:val="20"/>
                <w:szCs w:val="20"/>
                <w:color w:val="auto"/>
              </w:rPr>
            </w:pPr>
            <w:r>
              <w:rPr>
                <w:rFonts w:ascii="Arial" w:cs="Arial" w:eastAsia="Arial" w:hAnsi="Arial"/>
                <w:sz w:val="14"/>
                <w:szCs w:val="14"/>
                <w:color w:val="auto"/>
              </w:rPr>
              <w:t>$5,280,232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Amortized cost</w:t>
            </w:r>
          </w:p>
        </w:tc>
        <w:tc>
          <w:tcPr>
            <w:tcW w:w="104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color w:val="auto"/>
              </w:rPr>
              <w:t>N/A</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Warrants</w:t>
            </w:r>
          </w:p>
        </w:tc>
        <w:tc>
          <w:tcPr>
            <w:tcW w:w="1100" w:type="dxa"/>
            <w:vAlign w:val="bottom"/>
            <w:tcBorders>
              <w:right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$394,309</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Option pricing model</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Term to expiration (Years)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 3.00</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06"/>
        </w:trPr>
        <w:tc>
          <w:tcPr>
            <w:tcW w:w="14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Strike price</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0.13 – 4.59</w:t>
            </w:r>
          </w:p>
        </w:tc>
        <w:tc>
          <w:tcPr>
            <w:tcW w:w="760" w:type="dxa"/>
            <w:vAlign w:val="bottom"/>
            <w:vMerge w:val="restart"/>
          </w:tcPr>
          <w:p>
            <w:pPr>
              <w:ind w:left="2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08"/>
        </w:trPr>
        <w:tc>
          <w:tcPr>
            <w:tcW w:w="148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2060" w:type="dxa"/>
            <w:vAlign w:val="bottom"/>
            <w:tcBorders>
              <w:bottom w:val="single" w:sz="8" w:color="auto"/>
              <w:right w:val="single" w:sz="8" w:color="auto"/>
            </w:tcBorders>
            <w:vMerge w:val="continue"/>
          </w:tcPr>
          <w:p>
            <w:pPr>
              <w:spacing w:after="0"/>
              <w:rPr>
                <w:sz w:val="8"/>
                <w:szCs w:val="8"/>
                <w:color w:val="auto"/>
              </w:rPr>
            </w:pPr>
          </w:p>
        </w:tc>
        <w:tc>
          <w:tcPr>
            <w:tcW w:w="104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auto"/>
              <w:right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Volatility</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8.9% – 42.9% (31.7%)</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5218430" cy="24225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8430" cy="2422525"/>
                    </a:xfrm>
                    <a:prstGeom prst="rect">
                      <a:avLst/>
                    </a:prstGeom>
                    <a:noFill/>
                  </pic:spPr>
                </pic:pic>
              </a:graphicData>
            </a:graphic>
          </wp:anchor>
        </w:drawing>
      </w:r>
    </w:p>
    <w:p>
      <w:pPr>
        <w:spacing w:after="0" w:line="262" w:lineRule="exact"/>
        <w:rPr>
          <w:sz w:val="20"/>
          <w:szCs w:val="20"/>
          <w:color w:val="auto"/>
        </w:rPr>
      </w:pPr>
    </w:p>
    <w:p>
      <w:pPr>
        <w:ind w:left="3360"/>
        <w:spacing w:after="0"/>
        <w:rPr>
          <w:sz w:val="20"/>
          <w:szCs w:val="20"/>
          <w:color w:val="auto"/>
        </w:rPr>
      </w:pPr>
      <w:r>
        <w:rPr>
          <w:rFonts w:ascii="Arial" w:cs="Arial" w:eastAsia="Arial" w:hAnsi="Arial"/>
          <w:sz w:val="14"/>
          <w:szCs w:val="14"/>
          <w:b w:val="1"/>
          <w:bCs w:val="1"/>
          <w:color w:val="auto"/>
        </w:rPr>
        <w:t>As of December 31, 2015</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Asset</w:t>
            </w:r>
          </w:p>
        </w:tc>
        <w:tc>
          <w:tcPr>
            <w:tcW w:w="11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Valuation Techniques</w:t>
            </w:r>
          </w:p>
        </w:tc>
        <w:tc>
          <w:tcPr>
            <w:tcW w:w="2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auto"/>
              <w:right w:val="single" w:sz="8" w:color="auto"/>
            </w:tcBorders>
            <w:vMerge w:val="continue"/>
          </w:tcPr>
          <w:p>
            <w:pPr>
              <w:spacing w:after="0"/>
              <w:rPr>
                <w:sz w:val="18"/>
                <w:szCs w:val="18"/>
                <w:color w:val="auto"/>
              </w:rPr>
            </w:pPr>
          </w:p>
        </w:tc>
        <w:tc>
          <w:tcPr>
            <w:tcW w:w="1120" w:type="dxa"/>
            <w:vAlign w:val="bottom"/>
            <w:tcBorders>
              <w:bottom w:val="single" w:sz="8" w:color="auto"/>
              <w:right w:val="single" w:sz="8" w:color="auto"/>
            </w:tcBorders>
            <w:vMerge w:val="continue"/>
          </w:tcPr>
          <w:p>
            <w:pPr>
              <w:spacing w:after="0"/>
              <w:rPr>
                <w:sz w:val="18"/>
                <w:szCs w:val="18"/>
                <w:color w:val="auto"/>
              </w:rPr>
            </w:pPr>
          </w:p>
        </w:tc>
        <w:tc>
          <w:tcPr>
            <w:tcW w:w="1800" w:type="dxa"/>
            <w:vAlign w:val="bottom"/>
            <w:tcBorders>
              <w:bottom w:val="single" w:sz="8" w:color="auto"/>
              <w:right w:val="single" w:sz="8" w:color="auto"/>
            </w:tcBorders>
            <w:vMerge w:val="continue"/>
          </w:tcPr>
          <w:p>
            <w:pPr>
              <w:spacing w:after="0"/>
              <w:rPr>
                <w:sz w:val="18"/>
                <w:szCs w:val="18"/>
                <w:color w:val="auto"/>
              </w:rPr>
            </w:pPr>
          </w:p>
        </w:tc>
        <w:tc>
          <w:tcPr>
            <w:tcW w:w="2080" w:type="dxa"/>
            <w:vAlign w:val="bottom"/>
            <w:tcBorders>
              <w:bottom w:val="single" w:sz="8" w:color="auto"/>
              <w:right w:val="single" w:sz="8" w:color="auto"/>
            </w:tcBorders>
            <w:vMerge w:val="continue"/>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50"/>
        </w:trPr>
        <w:tc>
          <w:tcPr>
            <w:tcW w:w="15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Common stock in</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$102,319,140</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Income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Revenue multiples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4.5x – 5.4x (5.0x)</w:t>
            </w:r>
          </w:p>
        </w:tc>
        <w:tc>
          <w:tcPr>
            <w:tcW w:w="0" w:type="dxa"/>
            <w:vAlign w:val="bottom"/>
          </w:tcPr>
          <w:p>
            <w:pPr>
              <w:spacing w:after="0"/>
              <w:rPr>
                <w:sz w:val="1"/>
                <w:szCs w:val="1"/>
                <w:color w:val="auto"/>
              </w:rPr>
            </w:pPr>
          </w:p>
        </w:tc>
      </w:tr>
      <w:tr>
        <w:trPr>
          <w:trHeight w:val="100"/>
        </w:trPr>
        <w:tc>
          <w:tcPr>
            <w:tcW w:w="15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800" w:type="dxa"/>
            <w:vAlign w:val="bottom"/>
            <w:tcBorders>
              <w:right w:val="single" w:sz="8" w:color="auto"/>
            </w:tcBorders>
            <w:vMerge w:val="continue"/>
          </w:tcPr>
          <w:p>
            <w:pPr>
              <w:spacing w:after="0"/>
              <w:rPr>
                <w:sz w:val="8"/>
                <w:szCs w:val="8"/>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5"/>
              </w:rPr>
              <w:t>34.2x (34.2x)</w:t>
            </w:r>
          </w:p>
        </w:tc>
        <w:tc>
          <w:tcPr>
            <w:tcW w:w="0" w:type="dxa"/>
            <w:vAlign w:val="bottom"/>
          </w:tcPr>
          <w:p>
            <w:pPr>
              <w:spacing w:after="0"/>
              <w:rPr>
                <w:sz w:val="1"/>
                <w:szCs w:val="1"/>
                <w:color w:val="auto"/>
              </w:rPr>
            </w:pPr>
          </w:p>
        </w:tc>
      </w:tr>
      <w:tr>
        <w:trPr>
          <w:trHeight w:val="115"/>
        </w:trPr>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private companies</w:t>
            </w:r>
          </w:p>
        </w:tc>
        <w:tc>
          <w:tcPr>
            <w:tcW w:w="11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tcPr>
          <w:p>
            <w:pPr>
              <w:spacing w:after="0"/>
              <w:rPr>
                <w:sz w:val="9"/>
                <w:szCs w:val="9"/>
                <w:color w:val="auto"/>
              </w:rPr>
            </w:pPr>
          </w:p>
        </w:tc>
        <w:tc>
          <w:tcPr>
            <w:tcW w:w="2080" w:type="dxa"/>
            <w:vAlign w:val="bottom"/>
            <w:tcBorders>
              <w:bottom w:val="single" w:sz="8" w:color="auto"/>
              <w:right w:val="single" w:sz="8" w:color="auto"/>
            </w:tcBorders>
            <w:vMerge w:val="continue"/>
          </w:tcPr>
          <w:p>
            <w:pPr>
              <w:spacing w:after="0"/>
              <w:rPr>
                <w:sz w:val="9"/>
                <w:szCs w:val="9"/>
                <w:color w:val="auto"/>
              </w:rPr>
            </w:pPr>
          </w:p>
        </w:tc>
        <w:tc>
          <w:tcPr>
            <w:tcW w:w="17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500" w:type="dxa"/>
            <w:vAlign w:val="bottom"/>
            <w:tcBorders>
              <w:right w:val="single" w:sz="8" w:color="auto"/>
            </w:tcBorders>
            <w:vMerge w:val="continue"/>
          </w:tcPr>
          <w:p>
            <w:pPr>
              <w:spacing w:after="0"/>
              <w:rPr>
                <w:sz w:val="4"/>
                <w:szCs w:val="4"/>
                <w:color w:val="auto"/>
              </w:rPr>
            </w:pPr>
          </w:p>
        </w:tc>
        <w:tc>
          <w:tcPr>
            <w:tcW w:w="1120" w:type="dxa"/>
            <w:vAlign w:val="bottom"/>
            <w:tcBorders>
              <w:right w:val="single" w:sz="8" w:color="auto"/>
            </w:tcBorders>
          </w:tcPr>
          <w:p>
            <w:pPr>
              <w:spacing w:after="0"/>
              <w:rPr>
                <w:sz w:val="4"/>
                <w:szCs w:val="4"/>
                <w:color w:val="auto"/>
              </w:rPr>
            </w:pPr>
          </w:p>
        </w:tc>
        <w:tc>
          <w:tcPr>
            <w:tcW w:w="1800" w:type="dxa"/>
            <w:vAlign w:val="bottom"/>
            <w:tcBorders>
              <w:right w:val="single" w:sz="8" w:color="auto"/>
            </w:tcBorders>
          </w:tcPr>
          <w:p>
            <w:pPr>
              <w:spacing w:after="0"/>
              <w:rPr>
                <w:sz w:val="4"/>
                <w:szCs w:val="4"/>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Discount rate</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5"/>
              </w:rPr>
              <w:t>35% (35%)</w:t>
            </w:r>
          </w:p>
        </w:tc>
        <w:tc>
          <w:tcPr>
            <w:tcW w:w="0" w:type="dxa"/>
            <w:vAlign w:val="bottom"/>
          </w:tcPr>
          <w:p>
            <w:pPr>
              <w:spacing w:after="0"/>
              <w:rPr>
                <w:sz w:val="1"/>
                <w:szCs w:val="1"/>
                <w:color w:val="auto"/>
              </w:rPr>
            </w:pPr>
          </w:p>
        </w:tc>
      </w:tr>
      <w:tr>
        <w:trPr>
          <w:trHeight w:val="157"/>
        </w:trPr>
        <w:tc>
          <w:tcPr>
            <w:tcW w:w="15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2080" w:type="dxa"/>
            <w:vAlign w:val="bottom"/>
            <w:tcBorders>
              <w:bottom w:val="single" w:sz="8" w:color="auto"/>
              <w:right w:val="single" w:sz="8" w:color="auto"/>
            </w:tcBorders>
            <w:vMerge w:val="continue"/>
          </w:tcPr>
          <w:p>
            <w:pPr>
              <w:spacing w:after="0"/>
              <w:rPr>
                <w:sz w:val="13"/>
                <w:szCs w:val="13"/>
                <w:color w:val="auto"/>
              </w:rPr>
            </w:pPr>
          </w:p>
        </w:tc>
        <w:tc>
          <w:tcPr>
            <w:tcW w:w="1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Liquidation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Liquidation value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50"/>
        </w:trPr>
        <w:tc>
          <w:tcPr>
            <w:tcW w:w="15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line="236" w:lineRule="exact"/>
              <w:rPr>
                <w:sz w:val="20"/>
                <w:szCs w:val="20"/>
                <w:color w:val="auto"/>
              </w:rPr>
            </w:pPr>
            <w:r>
              <w:rPr>
                <w:rFonts w:ascii="Arial" w:cs="Arial" w:eastAsia="Arial" w:hAnsi="Arial"/>
                <w:sz w:val="14"/>
                <w:szCs w:val="14"/>
                <w:color w:val="auto"/>
                <w:w w:val="87"/>
              </w:rPr>
              <w:t>Precedent transactions</w:t>
            </w:r>
            <w:r>
              <w:rPr>
                <w:rFonts w:ascii="Arial" w:cs="Arial" w:eastAsia="Arial" w:hAnsi="Arial"/>
                <w:sz w:val="23"/>
                <w:szCs w:val="23"/>
                <w:color w:val="auto"/>
                <w:w w:val="87"/>
                <w:vertAlign w:val="superscript"/>
              </w:rPr>
              <w:t>(1)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2"/>
              </w:rPr>
              <w:t>Preferred stock in</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$216,291,092</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Income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Revenue multiples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1.3x – 6.0x (3.4x)</w:t>
            </w:r>
          </w:p>
        </w:tc>
        <w:tc>
          <w:tcPr>
            <w:tcW w:w="0" w:type="dxa"/>
            <w:vAlign w:val="bottom"/>
          </w:tcPr>
          <w:p>
            <w:pPr>
              <w:spacing w:after="0"/>
              <w:rPr>
                <w:sz w:val="1"/>
                <w:szCs w:val="1"/>
                <w:color w:val="auto"/>
              </w:rPr>
            </w:pPr>
          </w:p>
        </w:tc>
      </w:tr>
      <w:tr>
        <w:trPr>
          <w:trHeight w:val="133"/>
        </w:trPr>
        <w:tc>
          <w:tcPr>
            <w:tcW w:w="15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4"/>
                <w:szCs w:val="14"/>
                <w:color w:val="auto"/>
                <w:w w:val="91"/>
              </w:rPr>
              <w:t>private companies</w:t>
            </w:r>
          </w:p>
        </w:tc>
        <w:tc>
          <w:tcPr>
            <w:tcW w:w="11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vMerge w:val="continue"/>
          </w:tcPr>
          <w:p>
            <w:pPr>
              <w:spacing w:after="0"/>
              <w:rPr>
                <w:sz w:val="11"/>
                <w:szCs w:val="11"/>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EBIT multiples</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5"/>
              </w:rPr>
              <w:t>12.0x – 32.0x (19.5x)</w:t>
            </w:r>
          </w:p>
        </w:tc>
        <w:tc>
          <w:tcPr>
            <w:tcW w:w="0" w:type="dxa"/>
            <w:vAlign w:val="bottom"/>
          </w:tcPr>
          <w:p>
            <w:pPr>
              <w:spacing w:after="0"/>
              <w:rPr>
                <w:sz w:val="1"/>
                <w:szCs w:val="1"/>
                <w:color w:val="auto"/>
              </w:rPr>
            </w:pPr>
          </w:p>
        </w:tc>
      </w:tr>
      <w:tr>
        <w:trPr>
          <w:trHeight w:val="81"/>
        </w:trPr>
        <w:tc>
          <w:tcPr>
            <w:tcW w:w="1500" w:type="dxa"/>
            <w:vAlign w:val="bottom"/>
            <w:tcBorders>
              <w:right w:val="single" w:sz="8" w:color="auto"/>
            </w:tcBorders>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2080" w:type="dxa"/>
            <w:vAlign w:val="bottom"/>
            <w:tcBorders>
              <w:bottom w:val="single" w:sz="8" w:color="auto"/>
              <w:right w:val="single" w:sz="8" w:color="auto"/>
            </w:tcBorders>
            <w:vMerge w:val="continue"/>
          </w:tcPr>
          <w:p>
            <w:pPr>
              <w:spacing w:after="0"/>
              <w:rPr>
                <w:sz w:val="6"/>
                <w:szCs w:val="6"/>
                <w:color w:val="auto"/>
              </w:rPr>
            </w:pPr>
          </w:p>
        </w:tc>
        <w:tc>
          <w:tcPr>
            <w:tcW w:w="1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Discount rate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30% – 50% (40%)</w:t>
            </w:r>
          </w:p>
        </w:tc>
        <w:tc>
          <w:tcPr>
            <w:tcW w:w="0" w:type="dxa"/>
            <w:vAlign w:val="bottom"/>
          </w:tcPr>
          <w:p>
            <w:pPr>
              <w:spacing w:after="0"/>
              <w:rPr>
                <w:sz w:val="1"/>
                <w:szCs w:val="1"/>
                <w:color w:val="auto"/>
              </w:rPr>
            </w:pPr>
          </w:p>
        </w:tc>
      </w:tr>
      <w:tr>
        <w:trPr>
          <w:trHeight w:val="210"/>
        </w:trPr>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Debt Investments</w:t>
            </w:r>
          </w:p>
        </w:tc>
        <w:tc>
          <w:tcPr>
            <w:tcW w:w="11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$4,175,859</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Market approach</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Amortized cost</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0"/>
        </w:trPr>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Warrants</w:t>
            </w:r>
          </w:p>
        </w:tc>
        <w:tc>
          <w:tcPr>
            <w:tcW w:w="1120" w:type="dxa"/>
            <w:vAlign w:val="bottom"/>
            <w:tcBorders>
              <w:right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$469,306</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Option pricing model</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Term to expiration (Years)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1.03 – 3.00 (2.46)</w:t>
            </w:r>
          </w:p>
        </w:tc>
        <w:tc>
          <w:tcPr>
            <w:tcW w:w="0" w:type="dxa"/>
            <w:vAlign w:val="bottom"/>
          </w:tcPr>
          <w:p>
            <w:pPr>
              <w:spacing w:after="0"/>
              <w:rPr>
                <w:sz w:val="1"/>
                <w:szCs w:val="1"/>
                <w:color w:val="auto"/>
              </w:rPr>
            </w:pPr>
          </w:p>
        </w:tc>
      </w:tr>
      <w:tr>
        <w:trPr>
          <w:trHeight w:val="106"/>
        </w:trPr>
        <w:tc>
          <w:tcPr>
            <w:tcW w:w="15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800" w:type="dxa"/>
            <w:vAlign w:val="bottom"/>
            <w:tcBorders>
              <w:right w:val="single" w:sz="8" w:color="auto"/>
            </w:tcBorders>
            <w:vMerge w:val="continue"/>
          </w:tcPr>
          <w:p>
            <w:pPr>
              <w:spacing w:after="0"/>
              <w:rPr>
                <w:sz w:val="9"/>
                <w:szCs w:val="9"/>
                <w:color w:val="auto"/>
              </w:rPr>
            </w:pPr>
          </w:p>
        </w:tc>
        <w:tc>
          <w:tcPr>
            <w:tcW w:w="2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Strike price</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w w:val="92"/>
              </w:rPr>
              <w:t>0.13 – 4.59 (1.20)</w:t>
            </w:r>
          </w:p>
        </w:tc>
        <w:tc>
          <w:tcPr>
            <w:tcW w:w="0" w:type="dxa"/>
            <w:vAlign w:val="bottom"/>
          </w:tcPr>
          <w:p>
            <w:pPr>
              <w:spacing w:after="0"/>
              <w:rPr>
                <w:sz w:val="1"/>
                <w:szCs w:val="1"/>
                <w:color w:val="auto"/>
              </w:rPr>
            </w:pPr>
          </w:p>
        </w:tc>
      </w:tr>
      <w:tr>
        <w:trPr>
          <w:trHeight w:val="108"/>
        </w:trPr>
        <w:tc>
          <w:tcPr>
            <w:tcW w:w="15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2080" w:type="dxa"/>
            <w:vAlign w:val="bottom"/>
            <w:tcBorders>
              <w:bottom w:val="single" w:sz="8" w:color="auto"/>
              <w:right w:val="single" w:sz="8" w:color="auto"/>
            </w:tcBorders>
            <w:vMerge w:val="continue"/>
          </w:tcPr>
          <w:p>
            <w:pPr>
              <w:spacing w:after="0"/>
              <w:rPr>
                <w:sz w:val="8"/>
                <w:szCs w:val="8"/>
                <w:color w:val="auto"/>
              </w:rPr>
            </w:pPr>
          </w:p>
        </w:tc>
        <w:tc>
          <w:tcPr>
            <w:tcW w:w="17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Volatility</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30% – 50% (40.9%)</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(1) Precedent transactions include recent rounds of financing, recent purchases made by the Company, and tender offers.</w:t>
      </w:r>
    </w:p>
    <w:p>
      <w:pPr>
        <w:spacing w:after="0" w:line="129" w:lineRule="exact"/>
        <w:rPr>
          <w:sz w:val="20"/>
          <w:szCs w:val="20"/>
          <w:color w:val="auto"/>
        </w:rPr>
      </w:pPr>
    </w:p>
    <w:p>
      <w:pPr>
        <w:ind w:left="60" w:right="739" w:firstLine="270"/>
        <w:spacing w:after="0" w:line="259" w:lineRule="auto"/>
        <w:rPr>
          <w:sz w:val="20"/>
          <w:szCs w:val="20"/>
          <w:color w:val="auto"/>
        </w:rPr>
      </w:pPr>
      <w:r>
        <w:rPr>
          <w:rFonts w:ascii="Arial" w:cs="Arial" w:eastAsia="Arial" w:hAnsi="Arial"/>
          <w:sz w:val="18"/>
          <w:szCs w:val="18"/>
          <w:color w:val="auto"/>
        </w:rPr>
        <w:t>The significant unobservable inputs used in determining the fair value of the assets are shown above. Increases/(decreases) in revenue multiples, earnings before interest and taxes (“EBIT”) multiples, time to expiration, and stock price/strike price would result in higher/(lower) fair values all else equal. Decreases/(increases) in discount rates, volatility, and annual risk rates, would result in higher/(lower) fair values all else equal.</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5" w:name="page36"/>
    <w:bookmarkEnd w:id="3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121" w:lineRule="exact"/>
        <w:rPr>
          <w:sz w:val="20"/>
          <w:szCs w:val="20"/>
          <w:color w:val="auto"/>
        </w:rPr>
      </w:pPr>
    </w:p>
    <w:p>
      <w:pPr>
        <w:ind w:left="60" w:right="739" w:firstLine="270"/>
        <w:spacing w:after="0" w:line="264" w:lineRule="auto"/>
        <w:rPr>
          <w:sz w:val="20"/>
          <w:szCs w:val="20"/>
          <w:color w:val="auto"/>
        </w:rPr>
      </w:pPr>
      <w:r>
        <w:rPr>
          <w:rFonts w:ascii="Arial" w:cs="Arial" w:eastAsia="Arial" w:hAnsi="Arial"/>
          <w:sz w:val="18"/>
          <w:szCs w:val="18"/>
          <w:color w:val="auto"/>
        </w:rPr>
        <w:t>During the three and six months ended June 30, 2016, due to a restructuring of Cricket Media, Cricket Media was transferred from Level 1 to Level 3. During the three and six months ended June 30, 2016, Cricket Media converted from Level 1 public common stock to Level 3 private common stock.</w:t>
      </w:r>
    </w:p>
    <w:p>
      <w:pPr>
        <w:spacing w:after="0" w:line="73"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The aggregate values of Level 3 assets and liabilities changed during the three and six months ended June 30, 2016 and 2015,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057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4"/>
          </w:tcPr>
          <w:p>
            <w:pPr>
              <w:jc w:val="right"/>
              <w:ind w:right="380"/>
              <w:spacing w:after="0"/>
              <w:rPr>
                <w:sz w:val="20"/>
                <w:szCs w:val="20"/>
                <w:color w:val="auto"/>
              </w:rPr>
            </w:pPr>
            <w:r>
              <w:rPr>
                <w:rFonts w:ascii="Arial" w:cs="Arial" w:eastAsia="Arial" w:hAnsi="Arial"/>
                <w:sz w:val="14"/>
                <w:szCs w:val="14"/>
                <w:b w:val="1"/>
                <w:bCs w:val="1"/>
                <w:color w:val="auto"/>
                <w:w w:val="91"/>
              </w:rPr>
              <w:t>Three months ended June 30, 2016</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Common</w:t>
            </w:r>
          </w:p>
        </w:tc>
        <w:tc>
          <w:tcPr>
            <w:tcW w:w="280" w:type="dxa"/>
            <w:vAlign w:val="bottom"/>
          </w:tcPr>
          <w:p>
            <w:pPr>
              <w:spacing w:after="0"/>
              <w:rPr>
                <w:sz w:val="10"/>
                <w:szCs w:val="10"/>
                <w:color w:val="auto"/>
              </w:rPr>
            </w:pPr>
          </w:p>
        </w:tc>
        <w:tc>
          <w:tcPr>
            <w:tcW w:w="1040" w:type="dxa"/>
            <w:vAlign w:val="bottom"/>
            <w:gridSpan w:val="7"/>
            <w:vMerge w:val="restart"/>
          </w:tcPr>
          <w:p>
            <w:pPr>
              <w:spacing w:after="0"/>
              <w:rPr>
                <w:sz w:val="20"/>
                <w:szCs w:val="20"/>
                <w:color w:val="auto"/>
              </w:rPr>
            </w:pPr>
            <w:r>
              <w:rPr>
                <w:rFonts w:ascii="Arial" w:cs="Arial" w:eastAsia="Arial" w:hAnsi="Arial"/>
                <w:sz w:val="14"/>
                <w:szCs w:val="14"/>
                <w:b w:val="1"/>
                <w:bCs w:val="1"/>
                <w:color w:val="auto"/>
                <w:w w:val="97"/>
              </w:rPr>
              <w:t>Preferred Stock</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tcPr>
          <w:p>
            <w:pPr>
              <w:jc w:val="center"/>
              <w:ind w:right="420"/>
              <w:spacing w:after="0" w:line="119" w:lineRule="exact"/>
              <w:rPr>
                <w:sz w:val="20"/>
                <w:szCs w:val="20"/>
                <w:color w:val="auto"/>
              </w:rPr>
            </w:pPr>
            <w:r>
              <w:rPr>
                <w:rFonts w:ascii="Arial" w:cs="Arial" w:eastAsia="Arial" w:hAnsi="Arial"/>
                <w:sz w:val="13"/>
                <w:szCs w:val="13"/>
                <w:b w:val="1"/>
                <w:bCs w:val="1"/>
                <w:color w:val="auto"/>
              </w:rPr>
              <w:t>Debt</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Stock</w:t>
            </w:r>
          </w:p>
        </w:tc>
        <w:tc>
          <w:tcPr>
            <w:tcW w:w="280" w:type="dxa"/>
            <w:vAlign w:val="bottom"/>
          </w:tcPr>
          <w:p>
            <w:pPr>
              <w:spacing w:after="0"/>
              <w:rPr>
                <w:sz w:val="14"/>
                <w:szCs w:val="14"/>
                <w:color w:val="auto"/>
              </w:rPr>
            </w:pPr>
          </w:p>
        </w:tc>
        <w:tc>
          <w:tcPr>
            <w:tcW w:w="1040" w:type="dxa"/>
            <w:vAlign w:val="bottom"/>
            <w:gridSpan w:val="7"/>
            <w:vMerge w:val="continue"/>
          </w:tcPr>
          <w:p>
            <w:pPr>
              <w:spacing w:after="0"/>
              <w:rPr>
                <w:sz w:val="14"/>
                <w:szCs w:val="14"/>
                <w:color w:val="auto"/>
              </w:rPr>
            </w:pPr>
          </w:p>
        </w:tc>
        <w:tc>
          <w:tcPr>
            <w:tcW w:w="10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0"/>
              </w:rPr>
              <w:t>Investments</w:t>
            </w:r>
          </w:p>
        </w:tc>
        <w:tc>
          <w:tcPr>
            <w:tcW w:w="7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Fair value as of March 31, 2016</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w w:val="89"/>
              </w:rPr>
              <w:t>$86,298,618</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$214,250,621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7"/>
              </w:rPr>
              <w:t>$ 5,685,506</w:t>
            </w: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1"/>
              </w:rPr>
              <w:t>$ 394,791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306,629,536</w:t>
            </w: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6"/>
                <w:szCs w:val="16"/>
                <w:color w:val="auto"/>
              </w:rPr>
              <w:t>Transfer into Level 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6"/>
                <w:szCs w:val="16"/>
                <w:color w:val="auto"/>
              </w:rPr>
              <w:t>143,733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5"/>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143,733</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4,006,990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501,160</w:t>
            </w: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4,508,150</w:t>
            </w: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6"/>
                <w:szCs w:val="16"/>
                <w:color w:val="auto"/>
              </w:rPr>
              <w:t>Sales of investments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(1,932,965)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(1,932,965)</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Realized gains</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1,104,244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1,104,244</w:t>
            </w:r>
          </w:p>
        </w:tc>
        <w:tc>
          <w:tcPr>
            <w:tcW w:w="0" w:type="dxa"/>
            <w:vAlign w:val="bottom"/>
          </w:tcPr>
          <w:p>
            <w:pPr>
              <w:spacing w:after="0"/>
              <w:rPr>
                <w:sz w:val="1"/>
                <w:szCs w:val="1"/>
                <w:color w:val="auto"/>
              </w:rPr>
            </w:pPr>
          </w:p>
        </w:tc>
      </w:tr>
      <w:tr>
        <w:trPr>
          <w:trHeight w:val="193"/>
        </w:trPr>
        <w:tc>
          <w:tcPr>
            <w:tcW w:w="3060" w:type="dxa"/>
            <w:vAlign w:val="bottom"/>
            <w:gridSpan w:val="3"/>
          </w:tcPr>
          <w:p>
            <w:pPr>
              <w:ind w:left="20"/>
              <w:spacing w:after="0"/>
              <w:rPr>
                <w:sz w:val="20"/>
                <w:szCs w:val="20"/>
                <w:color w:val="auto"/>
              </w:rPr>
            </w:pPr>
            <w:r>
              <w:rPr>
                <w:rFonts w:ascii="Arial" w:cs="Arial" w:eastAsia="Arial" w:hAnsi="Arial"/>
                <w:sz w:val="16"/>
                <w:szCs w:val="16"/>
                <w:color w:val="auto"/>
              </w:rPr>
              <w:t>Net change in unrealized depreciation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200"/>
              <w:spacing w:after="0"/>
              <w:rPr>
                <w:sz w:val="20"/>
                <w:szCs w:val="20"/>
                <w:color w:val="auto"/>
              </w:rPr>
            </w:pPr>
            <w:r>
              <w:rPr>
                <w:rFonts w:ascii="Arial" w:cs="Arial" w:eastAsia="Arial" w:hAnsi="Arial"/>
                <w:sz w:val="16"/>
                <w:szCs w:val="16"/>
                <w:color w:val="auto"/>
              </w:rPr>
              <w:t>included in earnings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6"/>
                <w:szCs w:val="16"/>
                <w:color w:val="auto"/>
              </w:rPr>
              <w:t>(2,537,577)</w:t>
            </w:r>
          </w:p>
        </w:tc>
        <w:tc>
          <w:tcPr>
            <w:tcW w:w="2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w w:val="90"/>
              </w:rPr>
              <w:t>(13,435,393)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auto"/>
              </w:rPr>
              <w:t>(906,434)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(16,879,886)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as of June 30, 2016</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83,904,774</w:t>
            </w:r>
          </w:p>
        </w:tc>
        <w:tc>
          <w:tcPr>
            <w:tcW w:w="1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u w:val="single" w:color="auto"/>
                <w:color w:val="auto"/>
                <w:w w:val="77"/>
              </w:rPr>
              <w:t>$</w:t>
            </w:r>
            <w:r>
              <w:rPr>
                <w:rFonts w:ascii="Arial" w:cs="Arial" w:eastAsia="Arial" w:hAnsi="Arial"/>
                <w:sz w:val="16"/>
                <w:szCs w:val="16"/>
                <w:color w:val="auto"/>
                <w:w w:val="77"/>
              </w:rPr>
              <w:t>203,993,497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7"/>
              </w:rPr>
              <w:t>$ 5,280,232</w:t>
            </w:r>
          </w:p>
        </w:tc>
        <w:tc>
          <w:tcPr>
            <w:tcW w:w="120" w:type="dxa"/>
            <w:vAlign w:val="bottom"/>
            <w:tcBorders>
              <w:lef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1"/>
              </w:rPr>
              <w:t>$ 394,309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293,572,812</w:t>
            </w:r>
          </w:p>
        </w:tc>
        <w:tc>
          <w:tcPr>
            <w:tcW w:w="0" w:type="dxa"/>
            <w:vAlign w:val="bottom"/>
          </w:tcPr>
          <w:p>
            <w:pPr>
              <w:spacing w:after="0"/>
              <w:rPr>
                <w:sz w:val="1"/>
                <w:szCs w:val="1"/>
                <w:color w:val="auto"/>
              </w:rPr>
            </w:pPr>
          </w:p>
        </w:tc>
      </w:tr>
      <w:tr>
        <w:trPr>
          <w:trHeight w:val="186"/>
        </w:trPr>
        <w:tc>
          <w:tcPr>
            <w:tcW w:w="306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color w:val="auto"/>
              </w:rPr>
              <w:t>Net change in unrealized depreciation of</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gridSpan w:val="3"/>
          </w:tcPr>
          <w:p>
            <w:pPr>
              <w:ind w:left="200"/>
              <w:spacing w:after="0"/>
              <w:rPr>
                <w:sz w:val="20"/>
                <w:szCs w:val="20"/>
                <w:color w:val="auto"/>
              </w:rPr>
            </w:pPr>
            <w:r>
              <w:rPr>
                <w:rFonts w:ascii="Arial" w:cs="Arial" w:eastAsia="Arial" w:hAnsi="Arial"/>
                <w:sz w:val="16"/>
                <w:szCs w:val="16"/>
                <w:color w:val="auto"/>
              </w:rPr>
              <w:t>Level 3 investments still held as of June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20" w:type="dxa"/>
            <w:vAlign w:val="bottom"/>
          </w:tcPr>
          <w:p>
            <w:pPr>
              <w:ind w:left="200"/>
              <w:spacing w:after="0"/>
              <w:rPr>
                <w:sz w:val="20"/>
                <w:szCs w:val="20"/>
                <w:color w:val="auto"/>
              </w:rPr>
            </w:pPr>
            <w:r>
              <w:rPr>
                <w:rFonts w:ascii="Arial" w:cs="Arial" w:eastAsia="Arial" w:hAnsi="Arial"/>
                <w:sz w:val="16"/>
                <w:szCs w:val="16"/>
                <w:color w:val="auto"/>
              </w:rPr>
              <w:t>30, 2016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6"/>
                <w:szCs w:val="16"/>
                <w:color w:val="auto"/>
                <w:w w:val="90"/>
              </w:rPr>
              <w:t>$ (2,537,577)</w:t>
            </w:r>
          </w:p>
        </w:tc>
        <w:tc>
          <w:tcPr>
            <w:tcW w:w="1140" w:type="dxa"/>
            <w:vAlign w:val="bottom"/>
            <w:gridSpan w:val="5"/>
          </w:tcPr>
          <w:p>
            <w:pPr>
              <w:jc w:val="right"/>
              <w:spacing w:after="0"/>
              <w:rPr>
                <w:sz w:val="20"/>
                <w:szCs w:val="20"/>
                <w:color w:val="auto"/>
              </w:rPr>
            </w:pPr>
            <w:r>
              <w:rPr>
                <w:rFonts w:ascii="Arial" w:cs="Arial" w:eastAsia="Arial" w:hAnsi="Arial"/>
                <w:sz w:val="16"/>
                <w:szCs w:val="16"/>
                <w:color w:val="auto"/>
              </w:rPr>
              <w:t>$ (13,435,393)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auto"/>
                <w:w w:val="95"/>
              </w:rPr>
              <w:t>$ (906,434)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ind w:right="9"/>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(482)</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w w:val="92"/>
              </w:rPr>
              <w:t>(16,879,886)</w:t>
            </w:r>
          </w:p>
        </w:tc>
        <w:tc>
          <w:tcPr>
            <w:tcW w:w="0" w:type="dxa"/>
            <w:vAlign w:val="bottom"/>
          </w:tcPr>
          <w:p>
            <w:pPr>
              <w:spacing w:after="0"/>
              <w:rPr>
                <w:sz w:val="1"/>
                <w:szCs w:val="1"/>
                <w:color w:val="auto"/>
              </w:rPr>
            </w:pPr>
          </w:p>
        </w:tc>
      </w:tr>
      <w:tr>
        <w:trPr>
          <w:trHeight w:val="344"/>
        </w:trPr>
        <w:tc>
          <w:tcPr>
            <w:tcW w:w="2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13"/>
          </w:tcPr>
          <w:p>
            <w:pPr>
              <w:spacing w:after="0"/>
              <w:rPr>
                <w:sz w:val="20"/>
                <w:szCs w:val="20"/>
                <w:color w:val="auto"/>
              </w:rPr>
            </w:pPr>
            <w:r>
              <w:rPr>
                <w:rFonts w:ascii="Arial" w:cs="Arial" w:eastAsia="Arial" w:hAnsi="Arial"/>
                <w:sz w:val="14"/>
                <w:szCs w:val="14"/>
                <w:b w:val="1"/>
                <w:bCs w:val="1"/>
                <w:color w:val="auto"/>
                <w:w w:val="88"/>
              </w:rPr>
              <w:t>Three months ended June 30, 2015</w:t>
            </w: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1"/>
              <w:spacing w:after="0" w:line="119"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3"/>
          </w:tcPr>
          <w:p>
            <w:pPr>
              <w:jc w:val="right"/>
              <w:ind w:right="99"/>
              <w:spacing w:after="0" w:line="119"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5"/>
          </w:tcPr>
          <w:p>
            <w:pPr>
              <w:jc w:val="center"/>
              <w:ind w:right="14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Warrants</w:t>
            </w:r>
          </w:p>
        </w:tc>
        <w:tc>
          <w:tcPr>
            <w:tcW w:w="7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Embedded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4"/>
                <w:szCs w:val="14"/>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Derivative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22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as of March 31,</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84,436,041</w:t>
            </w:r>
          </w:p>
        </w:tc>
        <w:tc>
          <w:tcPr>
            <w:tcW w:w="12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$213,643,985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w w:val="92"/>
              </w:rPr>
              <w:t>2,382,930</w:t>
            </w:r>
          </w:p>
        </w:tc>
        <w:tc>
          <w:tcPr>
            <w:tcW w:w="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$ 743,775</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301,206,731</w:t>
            </w: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1,400</w:t>
            </w:r>
          </w:p>
        </w:tc>
        <w:tc>
          <w:tcPr>
            <w:tcW w:w="1200" w:type="dxa"/>
            <w:vAlign w:val="bottom"/>
            <w:gridSpan w:val="5"/>
          </w:tcPr>
          <w:p>
            <w:pPr>
              <w:jc w:val="right"/>
              <w:spacing w:after="0"/>
              <w:rPr>
                <w:sz w:val="20"/>
                <w:szCs w:val="20"/>
                <w:color w:val="auto"/>
              </w:rPr>
            </w:pPr>
            <w:r>
              <w:rPr>
                <w:rFonts w:ascii="Arial" w:cs="Arial" w:eastAsia="Arial" w:hAnsi="Arial"/>
                <w:sz w:val="16"/>
                <w:szCs w:val="16"/>
                <w:color w:val="auto"/>
              </w:rPr>
              <w:t>1,550,460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49,360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1,601,220</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of investments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(12,373)</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(12,373)</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Arial" w:cs="Arial" w:eastAsia="Arial" w:hAnsi="Arial"/>
                <w:sz w:val="16"/>
                <w:szCs w:val="16"/>
                <w:color w:val="auto"/>
              </w:rPr>
              <w:t>Amortization of fixed income</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00"/>
              <w:spacing w:after="0"/>
              <w:rPr>
                <w:sz w:val="20"/>
                <w:szCs w:val="20"/>
                <w:color w:val="auto"/>
              </w:rPr>
            </w:pPr>
            <w:r>
              <w:rPr>
                <w:rFonts w:ascii="Arial" w:cs="Arial" w:eastAsia="Arial" w:hAnsi="Arial"/>
                <w:sz w:val="16"/>
                <w:szCs w:val="16"/>
                <w:color w:val="auto"/>
              </w:rPr>
              <w:t>security premiums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200"/>
              <w:spacing w:after="0"/>
              <w:rPr>
                <w:sz w:val="20"/>
                <w:szCs w:val="20"/>
                <w:color w:val="auto"/>
              </w:rPr>
            </w:pPr>
            <w:r>
              <w:rPr>
                <w:rFonts w:ascii="Arial" w:cs="Arial" w:eastAsia="Arial" w:hAnsi="Arial"/>
                <w:sz w:val="16"/>
                <w:szCs w:val="16"/>
                <w:color w:val="auto"/>
              </w:rPr>
              <w:t>discounts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rPr>
              <w:t>14,235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14,235</w:t>
            </w:r>
          </w:p>
        </w:tc>
        <w:tc>
          <w:tcPr>
            <w:tcW w:w="0" w:type="dxa"/>
            <w:vAlign w:val="bottom"/>
          </w:tcPr>
          <w:p>
            <w:pPr>
              <w:spacing w:after="0"/>
              <w:rPr>
                <w:sz w:val="1"/>
                <w:szCs w:val="1"/>
                <w:color w:val="auto"/>
              </w:rPr>
            </w:pPr>
          </w:p>
        </w:tc>
      </w:tr>
      <w:tr>
        <w:trPr>
          <w:trHeight w:val="19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appreciation/(depreciation)</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included in earnings</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8,005,584</w:t>
            </w:r>
          </w:p>
        </w:tc>
        <w:tc>
          <w:tcPr>
            <w:tcW w:w="12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2,789,474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59,489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(49,461)</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10,805,086</w:t>
            </w:r>
          </w:p>
        </w:tc>
        <w:tc>
          <w:tcPr>
            <w:tcW w:w="0" w:type="dxa"/>
            <w:vAlign w:val="bottom"/>
          </w:tcPr>
          <w:p>
            <w:pPr>
              <w:spacing w:after="0"/>
              <w:rPr>
                <w:sz w:val="1"/>
                <w:szCs w:val="1"/>
                <w:color w:val="auto"/>
              </w:rPr>
            </w:pPr>
          </w:p>
        </w:tc>
      </w:tr>
      <w:tr>
        <w:trPr>
          <w:trHeight w:val="20"/>
        </w:trPr>
        <w:tc>
          <w:tcPr>
            <w:tcW w:w="2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220" w:type="dxa"/>
            <w:vAlign w:val="bottom"/>
          </w:tcPr>
          <w:p>
            <w:pPr>
              <w:ind w:left="20"/>
              <w:spacing w:after="0"/>
              <w:rPr>
                <w:sz w:val="20"/>
                <w:szCs w:val="20"/>
                <w:color w:val="auto"/>
              </w:rPr>
            </w:pPr>
            <w:r>
              <w:rPr>
                <w:rFonts w:ascii="Arial" w:cs="Arial" w:eastAsia="Arial" w:hAnsi="Arial"/>
                <w:sz w:val="16"/>
                <w:szCs w:val="16"/>
                <w:color w:val="auto"/>
              </w:rPr>
              <w:t>Fair Value as of June 30, 2015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92,430,652</w:t>
            </w:r>
          </w:p>
        </w:tc>
        <w:tc>
          <w:tcPr>
            <w:tcW w:w="1200" w:type="dxa"/>
            <w:vAlign w:val="bottom"/>
            <w:gridSpan w:val="5"/>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217,983,919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tcPr>
          <w:p>
            <w:pPr>
              <w:jc w:val="right"/>
              <w:ind w:right="60"/>
              <w:spacing w:after="0"/>
              <w:rPr>
                <w:sz w:val="20"/>
                <w:szCs w:val="20"/>
                <w:color w:val="auto"/>
              </w:rPr>
            </w:pPr>
            <w:r>
              <w:rPr>
                <w:rFonts w:ascii="Arial" w:cs="Arial" w:eastAsia="Arial" w:hAnsi="Arial"/>
                <w:sz w:val="16"/>
                <w:szCs w:val="16"/>
                <w:color w:val="auto"/>
                <w:w w:val="92"/>
              </w:rPr>
              <w:t>2,506,014</w:t>
            </w:r>
          </w:p>
        </w:tc>
        <w:tc>
          <w:tcPr>
            <w:tcW w:w="20" w:type="dxa"/>
            <w:vAlign w:val="bottom"/>
          </w:tcPr>
          <w:p>
            <w:pPr>
              <w:spacing w:after="0"/>
              <w:rPr>
                <w:sz w:val="17"/>
                <w:szCs w:val="17"/>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auto"/>
              </w:rPr>
              <w:t>$ 694,314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313,614,899</w:t>
            </w: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w:t>
            </w:r>
          </w:p>
        </w:tc>
        <w:tc>
          <w:tcPr>
            <w:tcW w:w="10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appreciation/(depreciation)</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 Level 3 investments still</w:t>
            </w:r>
          </w:p>
        </w:tc>
        <w:tc>
          <w:tcPr>
            <w:tcW w:w="1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held as of June 30, 2015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8,005,584</w:t>
            </w:r>
          </w:p>
        </w:tc>
        <w:tc>
          <w:tcPr>
            <w:tcW w:w="120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6"/>
                <w:szCs w:val="16"/>
                <w:color w:val="auto"/>
              </w:rPr>
              <w:t>$  2,789,474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59,489</w:t>
            </w:r>
          </w:p>
        </w:tc>
        <w:tc>
          <w:tcPr>
            <w:tcW w:w="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 (49,461)</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10,805,086</w:t>
            </w: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March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40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2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6"/>
        </w:trPr>
        <w:tc>
          <w:tcPr>
            <w:tcW w:w="22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Gain on fair value adjustment</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200"/>
              <w:spacing w:after="0"/>
              <w:rPr>
                <w:sz w:val="20"/>
                <w:szCs w:val="20"/>
                <w:color w:val="auto"/>
              </w:rPr>
            </w:pPr>
            <w:r>
              <w:rPr>
                <w:rFonts w:ascii="Arial" w:cs="Arial" w:eastAsia="Arial" w:hAnsi="Arial"/>
                <w:sz w:val="16"/>
                <w:szCs w:val="16"/>
                <w:color w:val="auto"/>
              </w:rPr>
              <w:t>for embedded derivative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4"/>
          </w:tcPr>
          <w:p>
            <w:pPr>
              <w:jc w:val="right"/>
              <w:ind w:right="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w w:val="98"/>
              </w:rPr>
              <w:t>(1,000)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as of June 30, 2015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shd w:val="clear" w:color="auto" w:fill="CCEEFF"/>
          </w:tcPr>
          <w:p>
            <w:pPr>
              <w:jc w:val="right"/>
              <w:ind w:right="40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-3661410</wp:posOffset>
            </wp:positionV>
            <wp:extent cx="5213985" cy="36620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3985" cy="36620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6" w:name="page37"/>
    <w:bookmarkEnd w:id="3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INVESTMENTS AT FAIR VALUE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51111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11115" cy="889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w w:val="94"/>
              </w:rPr>
              <w:t>Six months ended June 30, 2016</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4"/>
          </w:tcPr>
          <w:p>
            <w:pPr>
              <w:jc w:val="right"/>
              <w:ind w:right="200"/>
              <w:spacing w:after="0" w:line="119" w:lineRule="exact"/>
              <w:rPr>
                <w:sz w:val="20"/>
                <w:szCs w:val="20"/>
                <w:color w:val="auto"/>
              </w:rPr>
            </w:pPr>
            <w:r>
              <w:rPr>
                <w:rFonts w:ascii="Arial" w:cs="Arial" w:eastAsia="Arial" w:hAnsi="Arial"/>
                <w:sz w:val="13"/>
                <w:szCs w:val="13"/>
                <w:b w:val="1"/>
                <w:bCs w:val="1"/>
                <w:color w:val="auto"/>
              </w:rPr>
              <w:t>Common</w:t>
            </w:r>
          </w:p>
        </w:tc>
        <w:tc>
          <w:tcPr>
            <w:tcW w:w="280" w:type="dxa"/>
            <w:vAlign w:val="bottom"/>
          </w:tcPr>
          <w:p>
            <w:pPr>
              <w:spacing w:after="0"/>
              <w:rPr>
                <w:sz w:val="10"/>
                <w:szCs w:val="10"/>
                <w:color w:val="auto"/>
              </w:rPr>
            </w:pPr>
          </w:p>
        </w:tc>
        <w:tc>
          <w:tcPr>
            <w:tcW w:w="1040" w:type="dxa"/>
            <w:vAlign w:val="bottom"/>
            <w:gridSpan w:val="5"/>
          </w:tcPr>
          <w:p>
            <w:pPr>
              <w:jc w:val="right"/>
              <w:ind w:right="360"/>
              <w:spacing w:after="0" w:line="119" w:lineRule="exact"/>
              <w:rPr>
                <w:sz w:val="20"/>
                <w:szCs w:val="20"/>
                <w:color w:val="auto"/>
              </w:rPr>
            </w:pPr>
            <w:r>
              <w:rPr>
                <w:rFonts w:ascii="Arial" w:cs="Arial" w:eastAsia="Arial" w:hAnsi="Arial"/>
                <w:sz w:val="13"/>
                <w:szCs w:val="13"/>
                <w:b w:val="1"/>
                <w:bCs w:val="1"/>
                <w:color w:val="auto"/>
              </w:rPr>
              <w:t>Preferred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Debt</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Warrants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9"/>
              </w:rPr>
              <w:t>Stock</w:t>
            </w:r>
          </w:p>
        </w:tc>
        <w:tc>
          <w:tcPr>
            <w:tcW w:w="1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Investments</w:t>
            </w:r>
          </w:p>
        </w:tc>
        <w:tc>
          <w:tcPr>
            <w:tcW w:w="7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1"/>
              </w:rPr>
              <w:t>Fair value as of December 31, 2015</w:t>
            </w:r>
          </w:p>
        </w:tc>
        <w:tc>
          <w:tcPr>
            <w:tcW w:w="1620" w:type="dxa"/>
            <w:vAlign w:val="bottom"/>
            <w:gridSpan w:val="6"/>
            <w:shd w:val="clear" w:color="auto" w:fill="CCEEFF"/>
          </w:tcPr>
          <w:p>
            <w:pPr>
              <w:jc w:val="right"/>
              <w:ind w:right="80"/>
              <w:spacing w:after="0"/>
              <w:rPr>
                <w:sz w:val="20"/>
                <w:szCs w:val="20"/>
                <w:color w:val="auto"/>
              </w:rPr>
            </w:pPr>
            <w:r>
              <w:rPr>
                <w:rFonts w:ascii="Arial" w:cs="Arial" w:eastAsia="Arial" w:hAnsi="Arial"/>
                <w:sz w:val="16"/>
                <w:szCs w:val="16"/>
                <w:color w:val="auto"/>
              </w:rPr>
              <w:t>$102,319,140</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$216,291,092</w:t>
            </w:r>
          </w:p>
        </w:tc>
        <w:tc>
          <w:tcPr>
            <w:tcW w:w="1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6"/>
                <w:szCs w:val="16"/>
                <w:color w:val="auto"/>
                <w:w w:val="87"/>
              </w:rPr>
              <w:t>$ 4,175,859</w:t>
            </w:r>
          </w:p>
        </w:tc>
        <w:tc>
          <w:tcPr>
            <w:tcW w:w="160" w:type="dxa"/>
            <w:vAlign w:val="bottom"/>
            <w:tcBorders>
              <w:right w:val="single" w:sz="8" w:color="CCEEFF"/>
            </w:tcBorders>
            <w:shd w:val="clear" w:color="auto" w:fill="CCEEFF"/>
          </w:tcPr>
          <w:p>
            <w:pPr>
              <w:spacing w:after="0"/>
              <w:rPr>
                <w:sz w:val="17"/>
                <w:szCs w:val="17"/>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81"/>
              </w:rPr>
              <w:t>$ 469,306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323,255,397</w:t>
            </w: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6"/>
                <w:szCs w:val="16"/>
                <w:color w:val="auto"/>
              </w:rPr>
              <w:t>Transfer into Level 3</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6"/>
                <w:szCs w:val="16"/>
                <w:color w:val="auto"/>
              </w:rPr>
              <w:t>143,733</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143,733</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investments</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8,512,101</w:t>
            </w:r>
          </w:p>
        </w:tc>
        <w:tc>
          <w:tcPr>
            <w:tcW w:w="18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ind w:right="61"/>
              <w:spacing w:after="0"/>
              <w:rPr>
                <w:sz w:val="20"/>
                <w:szCs w:val="20"/>
                <w:color w:val="auto"/>
              </w:rPr>
            </w:pPr>
            <w:r>
              <w:rPr>
                <w:rFonts w:ascii="Arial" w:cs="Arial" w:eastAsia="Arial" w:hAnsi="Arial"/>
                <w:sz w:val="16"/>
                <w:szCs w:val="16"/>
                <w:color w:val="auto"/>
              </w:rPr>
              <w:t>2,002,000</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10,514,101</w:t>
            </w: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6"/>
                <w:szCs w:val="16"/>
                <w:color w:val="auto"/>
              </w:rPr>
              <w:t>Sales of investments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6"/>
                <w:szCs w:val="16"/>
                <w:color w:val="auto"/>
                <w:w w:val="92"/>
              </w:rPr>
              <w:t>(3,400,707)</w:t>
            </w:r>
          </w:p>
        </w:tc>
        <w:tc>
          <w:tcPr>
            <w:tcW w:w="280" w:type="dxa"/>
            <w:vAlign w:val="bottom"/>
          </w:tcPr>
          <w:p>
            <w:pPr>
              <w:spacing w:after="0"/>
              <w:rPr>
                <w:sz w:val="17"/>
                <w:szCs w:val="17"/>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color w:val="auto"/>
              </w:rPr>
              <w:t>(3,571,891)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(6,972,598)</w:t>
            </w:r>
          </w:p>
        </w:tc>
        <w:tc>
          <w:tcPr>
            <w:tcW w:w="0" w:type="dxa"/>
            <w:vAlign w:val="bottom"/>
          </w:tcPr>
          <w:p>
            <w:pPr>
              <w:spacing w:after="0"/>
              <w:rPr>
                <w:sz w:val="1"/>
                <w:szCs w:val="1"/>
                <w:color w:val="auto"/>
              </w:rPr>
            </w:pPr>
          </w:p>
        </w:tc>
      </w:tr>
      <w:tr>
        <w:trPr>
          <w:trHeight w:val="203"/>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Realized gains/(losses) on investments</w:t>
            </w: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92"/>
              </w:rPr>
              <w:t>(7,049,327)</w:t>
            </w:r>
          </w:p>
        </w:tc>
        <w:tc>
          <w:tcPr>
            <w:tcW w:w="280" w:type="dxa"/>
            <w:vAlign w:val="bottom"/>
            <w:tcBorders>
              <w:right w:val="single" w:sz="8" w:color="CCEEFF"/>
            </w:tcBorders>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2,078,469</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(4,970,858)</w:t>
            </w:r>
          </w:p>
        </w:tc>
        <w:tc>
          <w:tcPr>
            <w:tcW w:w="0" w:type="dxa"/>
            <w:vAlign w:val="bottom"/>
          </w:tcPr>
          <w:p>
            <w:pPr>
              <w:spacing w:after="0"/>
              <w:rPr>
                <w:sz w:val="1"/>
                <w:szCs w:val="1"/>
                <w:color w:val="auto"/>
              </w:rPr>
            </w:pPr>
          </w:p>
        </w:tc>
      </w:tr>
      <w:tr>
        <w:trPr>
          <w:trHeight w:val="193"/>
        </w:trPr>
        <w:tc>
          <w:tcPr>
            <w:tcW w:w="3160" w:type="dxa"/>
            <w:vAlign w:val="bottom"/>
            <w:gridSpan w:val="4"/>
          </w:tcPr>
          <w:p>
            <w:pPr>
              <w:ind w:left="20"/>
              <w:spacing w:after="0"/>
              <w:rPr>
                <w:sz w:val="20"/>
                <w:szCs w:val="20"/>
                <w:color w:val="auto"/>
              </w:rPr>
            </w:pPr>
            <w:r>
              <w:rPr>
                <w:rFonts w:ascii="Arial" w:cs="Arial" w:eastAsia="Arial" w:hAnsi="Arial"/>
                <w:sz w:val="16"/>
                <w:szCs w:val="16"/>
                <w:color w:val="auto"/>
              </w:rPr>
              <w:t>Amortization of fixed income security</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200"/>
              <w:spacing w:after="0"/>
              <w:rPr>
                <w:sz w:val="20"/>
                <w:szCs w:val="20"/>
                <w:color w:val="auto"/>
              </w:rPr>
            </w:pPr>
            <w:r>
              <w:rPr>
                <w:rFonts w:ascii="Arial" w:cs="Arial" w:eastAsia="Arial" w:hAnsi="Arial"/>
                <w:sz w:val="16"/>
                <w:szCs w:val="16"/>
                <w:color w:val="auto"/>
              </w:rPr>
              <w:t>premiums and discounts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change in unrealized depreciation</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included in earnings</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w w:val="92"/>
              </w:rPr>
              <w:t>(8,108,065)</w:t>
            </w:r>
          </w:p>
        </w:tc>
        <w:tc>
          <w:tcPr>
            <w:tcW w:w="28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90"/>
              </w:rPr>
              <w:t>(19,316,274)</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(897,627)</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(74,997)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(28,396,963)</w:t>
            </w:r>
          </w:p>
        </w:tc>
        <w:tc>
          <w:tcPr>
            <w:tcW w:w="0" w:type="dxa"/>
            <w:vAlign w:val="bottom"/>
          </w:tcPr>
          <w:p>
            <w:pPr>
              <w:spacing w:after="0"/>
              <w:rPr>
                <w:sz w:val="1"/>
                <w:szCs w:val="1"/>
                <w:color w:val="auto"/>
              </w:rPr>
            </w:pPr>
          </w:p>
        </w:tc>
      </w:tr>
      <w:tr>
        <w:trPr>
          <w:trHeight w:val="20"/>
        </w:trPr>
        <w:tc>
          <w:tcPr>
            <w:tcW w:w="2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220" w:type="dxa"/>
            <w:vAlign w:val="bottom"/>
          </w:tcPr>
          <w:p>
            <w:pPr>
              <w:ind w:left="20"/>
              <w:spacing w:after="0"/>
              <w:rPr>
                <w:sz w:val="20"/>
                <w:szCs w:val="20"/>
                <w:color w:val="auto"/>
              </w:rPr>
            </w:pPr>
            <w:r>
              <w:rPr>
                <w:rFonts w:ascii="Arial" w:cs="Arial" w:eastAsia="Arial" w:hAnsi="Arial"/>
                <w:sz w:val="16"/>
                <w:szCs w:val="16"/>
                <w:color w:val="auto"/>
              </w:rPr>
              <w:t>Fair Value as of June 30, 2016</w:t>
            </w:r>
          </w:p>
        </w:tc>
        <w:tc>
          <w:tcPr>
            <w:tcW w:w="140" w:type="dxa"/>
            <w:vAlign w:val="bottom"/>
          </w:tcPr>
          <w:p>
            <w:pPr>
              <w:spacing w:after="0"/>
              <w:rPr>
                <w:sz w:val="17"/>
                <w:szCs w:val="17"/>
                <w:color w:val="auto"/>
              </w:rPr>
            </w:pPr>
          </w:p>
        </w:tc>
        <w:tc>
          <w:tcPr>
            <w:tcW w:w="1620" w:type="dxa"/>
            <w:vAlign w:val="bottom"/>
            <w:gridSpan w:val="6"/>
          </w:tcPr>
          <w:p>
            <w:pPr>
              <w:jc w:val="right"/>
              <w:ind w:right="80"/>
              <w:spacing w:after="0"/>
              <w:rPr>
                <w:sz w:val="20"/>
                <w:szCs w:val="20"/>
                <w:color w:val="auto"/>
              </w:rPr>
            </w:pPr>
            <w:r>
              <w:rPr>
                <w:rFonts w:ascii="Arial" w:cs="Arial" w:eastAsia="Arial" w:hAnsi="Arial"/>
                <w:sz w:val="16"/>
                <w:szCs w:val="16"/>
                <w:color w:val="auto"/>
              </w:rPr>
              <w:t>$ 83,904,774</w:t>
            </w:r>
          </w:p>
        </w:tc>
        <w:tc>
          <w:tcPr>
            <w:tcW w:w="1140" w:type="dxa"/>
            <w:vAlign w:val="bottom"/>
            <w:gridSpan w:val="5"/>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203,993,497</w:t>
            </w:r>
          </w:p>
        </w:tc>
        <w:tc>
          <w:tcPr>
            <w:tcW w:w="180" w:type="dxa"/>
            <w:vAlign w:val="bottom"/>
          </w:tcPr>
          <w:p>
            <w:pPr>
              <w:spacing w:after="0"/>
              <w:rPr>
                <w:sz w:val="17"/>
                <w:szCs w:val="17"/>
                <w:color w:val="auto"/>
              </w:rPr>
            </w:pPr>
          </w:p>
        </w:tc>
        <w:tc>
          <w:tcPr>
            <w:tcW w:w="900" w:type="dxa"/>
            <w:vAlign w:val="bottom"/>
            <w:gridSpan w:val="3"/>
          </w:tcPr>
          <w:p>
            <w:pPr>
              <w:jc w:val="right"/>
              <w:ind w:right="61"/>
              <w:spacing w:after="0"/>
              <w:rPr>
                <w:sz w:val="20"/>
                <w:szCs w:val="20"/>
                <w:color w:val="auto"/>
              </w:rPr>
            </w:pPr>
            <w:r>
              <w:rPr>
                <w:rFonts w:ascii="Arial" w:cs="Arial" w:eastAsia="Arial" w:hAnsi="Arial"/>
                <w:sz w:val="16"/>
                <w:szCs w:val="16"/>
                <w:color w:val="auto"/>
                <w:w w:val="87"/>
              </w:rPr>
              <w:t>$ 5,280,232</w:t>
            </w:r>
          </w:p>
        </w:tc>
        <w:tc>
          <w:tcPr>
            <w:tcW w:w="160" w:type="dxa"/>
            <w:vAlign w:val="bottom"/>
          </w:tcPr>
          <w:p>
            <w:pPr>
              <w:spacing w:after="0"/>
              <w:rPr>
                <w:sz w:val="17"/>
                <w:szCs w:val="17"/>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6"/>
                <w:szCs w:val="16"/>
                <w:color w:val="auto"/>
                <w:w w:val="81"/>
              </w:rPr>
              <w:t>$ 394,309</w:t>
            </w:r>
          </w:p>
        </w:tc>
        <w:tc>
          <w:tcPr>
            <w:tcW w:w="2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293,572,812</w:t>
            </w: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31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Net change in unrealized depreciation on</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Level 3 investments still held as of June</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30, 2016</w:t>
            </w:r>
          </w:p>
        </w:tc>
        <w:tc>
          <w:tcPr>
            <w:tcW w:w="140" w:type="dxa"/>
            <w:vAlign w:val="bottom"/>
            <w:shd w:val="clear" w:color="auto" w:fill="CCEEFF"/>
          </w:tcPr>
          <w:p>
            <w:pPr>
              <w:spacing w:after="0"/>
              <w:rPr>
                <w:sz w:val="18"/>
                <w:szCs w:val="18"/>
                <w:color w:val="auto"/>
              </w:rPr>
            </w:pPr>
          </w:p>
        </w:tc>
        <w:tc>
          <w:tcPr>
            <w:tcW w:w="1620" w:type="dxa"/>
            <w:vAlign w:val="bottom"/>
            <w:gridSpan w:val="6"/>
            <w:shd w:val="clear" w:color="auto" w:fill="CCEEFF"/>
          </w:tcPr>
          <w:p>
            <w:pPr>
              <w:jc w:val="right"/>
              <w:ind w:right="40"/>
              <w:spacing w:after="0"/>
              <w:rPr>
                <w:sz w:val="20"/>
                <w:szCs w:val="20"/>
                <w:color w:val="auto"/>
              </w:rPr>
            </w:pPr>
            <w:r>
              <w:rPr>
                <w:rFonts w:ascii="Arial" w:cs="Arial" w:eastAsia="Arial" w:hAnsi="Arial"/>
                <w:sz w:val="16"/>
                <w:szCs w:val="16"/>
                <w:color w:val="auto"/>
              </w:rPr>
              <w:t>$ (15,003,849)</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6"/>
                <w:szCs w:val="16"/>
                <w:color w:val="auto"/>
              </w:rPr>
              <w:t>$ (19,316,274)</w:t>
            </w: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w w:val="95"/>
              </w:rPr>
              <w:t>$ (897,627)</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w w:val="87"/>
              </w:rPr>
              <w:t>$ (74,997)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(35,292,747)</w:t>
            </w: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5"/>
              </w:rPr>
              <w:t>Six months ended June 30, 2015</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Common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right"/>
              <w:ind w:right="99"/>
              <w:spacing w:after="0" w:line="119"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Debt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w:t>
            </w:r>
          </w:p>
        </w:tc>
        <w:tc>
          <w:tcPr>
            <w:tcW w:w="7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Embedded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5"/>
              </w:rPr>
              <w:t>Investments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Derivative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22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as of December 31,</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2014</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2"/>
              </w:rPr>
              <w:t>$85,598,467</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193,847,045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2"/>
              </w:rPr>
              <w:t>1,374,210</w:t>
            </w:r>
          </w:p>
        </w:tc>
        <w:tc>
          <w:tcPr>
            <w:tcW w:w="900" w:type="dxa"/>
            <w:vAlign w:val="bottom"/>
            <w:tcBorders>
              <w:right w:val="single" w:sz="8" w:color="CCEEFF"/>
            </w:tcBorders>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$ 904,345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281,724,067</w:t>
            </w: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2,680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9,566,558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w w:val="92"/>
              </w:rPr>
              <w:t>1,022,107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10,591,345</w:t>
            </w: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of investments</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(12,373)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(12,373)</w:t>
            </w:r>
          </w:p>
        </w:tc>
        <w:tc>
          <w:tcPr>
            <w:tcW w:w="0" w:type="dxa"/>
            <w:vAlign w:val="bottom"/>
          </w:tcPr>
          <w:p>
            <w:pPr>
              <w:spacing w:after="0"/>
              <w:rPr>
                <w:sz w:val="1"/>
                <w:szCs w:val="1"/>
                <w:color w:val="auto"/>
              </w:rPr>
            </w:pPr>
          </w:p>
        </w:tc>
      </w:tr>
      <w:tr>
        <w:trPr>
          <w:trHeight w:val="193"/>
        </w:trPr>
        <w:tc>
          <w:tcPr>
            <w:tcW w:w="2220" w:type="dxa"/>
            <w:vAlign w:val="bottom"/>
          </w:tcPr>
          <w:p>
            <w:pPr>
              <w:ind w:left="20"/>
              <w:spacing w:after="0"/>
              <w:rPr>
                <w:sz w:val="20"/>
                <w:szCs w:val="20"/>
                <w:color w:val="auto"/>
              </w:rPr>
            </w:pPr>
            <w:r>
              <w:rPr>
                <w:rFonts w:ascii="Arial" w:cs="Arial" w:eastAsia="Arial" w:hAnsi="Arial"/>
                <w:sz w:val="16"/>
                <w:szCs w:val="16"/>
                <w:color w:val="auto"/>
              </w:rPr>
              <w:t>Amortization of fixed income</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00"/>
              <w:spacing w:after="0"/>
              <w:rPr>
                <w:sz w:val="20"/>
                <w:szCs w:val="20"/>
                <w:color w:val="auto"/>
              </w:rPr>
            </w:pPr>
            <w:r>
              <w:rPr>
                <w:rFonts w:ascii="Arial" w:cs="Arial" w:eastAsia="Arial" w:hAnsi="Arial"/>
                <w:sz w:val="16"/>
                <w:szCs w:val="16"/>
                <w:color w:val="auto"/>
              </w:rPr>
              <w:t>security premiums and</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200"/>
              <w:spacing w:after="0"/>
              <w:rPr>
                <w:sz w:val="20"/>
                <w:szCs w:val="20"/>
                <w:color w:val="auto"/>
              </w:rPr>
            </w:pPr>
            <w:r>
              <w:rPr>
                <w:rFonts w:ascii="Arial" w:cs="Arial" w:eastAsia="Arial" w:hAnsi="Arial"/>
                <w:sz w:val="16"/>
                <w:szCs w:val="16"/>
                <w:color w:val="auto"/>
              </w:rPr>
              <w:t>discounts</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21,882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21,882</w:t>
            </w:r>
          </w:p>
        </w:tc>
        <w:tc>
          <w:tcPr>
            <w:tcW w:w="0" w:type="dxa"/>
            <w:vAlign w:val="bottom"/>
          </w:tcPr>
          <w:p>
            <w:pPr>
              <w:spacing w:after="0"/>
              <w:rPr>
                <w:sz w:val="1"/>
                <w:szCs w:val="1"/>
                <w:color w:val="auto"/>
              </w:rPr>
            </w:pPr>
          </w:p>
        </w:tc>
      </w:tr>
      <w:tr>
        <w:trPr>
          <w:trHeight w:val="19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appreciation/(depreciation)</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included in earnings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6,841,878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9"/>
              </w:rPr>
              <w:t>14,570,316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87,815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(210,031)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21,289,978</w:t>
            </w:r>
          </w:p>
        </w:tc>
        <w:tc>
          <w:tcPr>
            <w:tcW w:w="0" w:type="dxa"/>
            <w:vAlign w:val="bottom"/>
          </w:tcPr>
          <w:p>
            <w:pPr>
              <w:spacing w:after="0"/>
              <w:rPr>
                <w:sz w:val="1"/>
                <w:szCs w:val="1"/>
                <w:color w:val="auto"/>
              </w:rPr>
            </w:pPr>
          </w:p>
        </w:tc>
      </w:tr>
      <w:tr>
        <w:trPr>
          <w:trHeight w:val="20"/>
        </w:trPr>
        <w:tc>
          <w:tcPr>
            <w:tcW w:w="2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220" w:type="dxa"/>
            <w:vAlign w:val="bottom"/>
          </w:tcPr>
          <w:p>
            <w:pPr>
              <w:ind w:left="20"/>
              <w:spacing w:after="0"/>
              <w:rPr>
                <w:sz w:val="20"/>
                <w:szCs w:val="20"/>
                <w:color w:val="auto"/>
              </w:rPr>
            </w:pPr>
            <w:r>
              <w:rPr>
                <w:rFonts w:ascii="Arial" w:cs="Arial" w:eastAsia="Arial" w:hAnsi="Arial"/>
                <w:sz w:val="16"/>
                <w:szCs w:val="16"/>
                <w:color w:val="auto"/>
              </w:rPr>
              <w:t>Fair Value as of June 30, 2015</w:t>
            </w:r>
          </w:p>
        </w:tc>
        <w:tc>
          <w:tcPr>
            <w:tcW w:w="940" w:type="dxa"/>
            <w:vAlign w:val="bottom"/>
            <w:gridSpan w:val="3"/>
          </w:tcPr>
          <w:p>
            <w:pPr>
              <w:jc w:val="right"/>
              <w:ind w:right="100"/>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92,430,652</w:t>
            </w:r>
          </w:p>
        </w:tc>
        <w:tc>
          <w:tcPr>
            <w:tcW w:w="240" w:type="dxa"/>
            <w:vAlign w:val="bottom"/>
            <w:gridSpan w:val="2"/>
          </w:tcPr>
          <w:p>
            <w:pPr>
              <w:ind w:left="160"/>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w w:val="89"/>
              </w:rPr>
              <w:t>217,983,919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w w:val="92"/>
              </w:rPr>
              <w:t>2,506,014</w:t>
            </w:r>
          </w:p>
        </w:tc>
        <w:tc>
          <w:tcPr>
            <w:tcW w:w="900" w:type="dxa"/>
            <w:vAlign w:val="bottom"/>
            <w:gridSpan w:val="3"/>
          </w:tcPr>
          <w:p>
            <w:pPr>
              <w:jc w:val="right"/>
              <w:ind w:right="21"/>
              <w:spacing w:after="0"/>
              <w:rPr>
                <w:sz w:val="20"/>
                <w:szCs w:val="20"/>
                <w:color w:val="auto"/>
              </w:rPr>
            </w:pPr>
            <w:r>
              <w:rPr>
                <w:rFonts w:ascii="Arial" w:cs="Arial" w:eastAsia="Arial" w:hAnsi="Arial"/>
                <w:sz w:val="16"/>
                <w:szCs w:val="16"/>
                <w:color w:val="auto"/>
              </w:rPr>
              <w:t>$ 694,314</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313,614,899</w:t>
            </w: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w:t>
            </w:r>
          </w:p>
        </w:tc>
        <w:tc>
          <w:tcPr>
            <w:tcW w:w="14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appreciation (depreciation)</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on Level 3 investments still</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held as of June 30, 2015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6,841,878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9"/>
              </w:rPr>
              <w:t>14,570,316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87,815</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$(210,031)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21,289,978</w:t>
            </w: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December 31,</w:t>
            </w:r>
          </w:p>
        </w:tc>
        <w:tc>
          <w:tcPr>
            <w:tcW w:w="14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22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Gain on fair value adjustment</w:t>
            </w: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220" w:type="dxa"/>
            <w:vAlign w:val="bottom"/>
          </w:tcPr>
          <w:p>
            <w:pPr>
              <w:ind w:left="200"/>
              <w:spacing w:after="0"/>
              <w:rPr>
                <w:sz w:val="20"/>
                <w:szCs w:val="20"/>
                <w:color w:val="auto"/>
              </w:rPr>
            </w:pPr>
            <w:r>
              <w:rPr>
                <w:rFonts w:ascii="Arial" w:cs="Arial" w:eastAsia="Arial" w:hAnsi="Arial"/>
                <w:sz w:val="16"/>
                <w:szCs w:val="16"/>
                <w:color w:val="auto"/>
              </w:rPr>
              <w:t>for embedded derivative</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4"/>
        </w:trPr>
        <w:tc>
          <w:tcPr>
            <w:tcW w:w="22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as of June 30, 2015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-3926840</wp:posOffset>
            </wp:positionV>
            <wp:extent cx="521398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-1534160</wp:posOffset>
            </wp:positionV>
            <wp:extent cx="5213985"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3985" cy="17145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-462280</wp:posOffset>
            </wp:positionV>
            <wp:extent cx="5213985" cy="3003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213985" cy="3003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398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-3343910</wp:posOffset>
            </wp:positionV>
            <wp:extent cx="52057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74" w:lineRule="exact"/>
        <w:rPr>
          <w:sz w:val="20"/>
          <w:szCs w:val="20"/>
          <w:color w:val="auto"/>
        </w:rPr>
      </w:pPr>
    </w:p>
    <w:p>
      <w:pPr>
        <w:ind w:left="60" w:right="799" w:firstLine="270"/>
        <w:spacing w:after="0" w:line="264" w:lineRule="auto"/>
        <w:rPr>
          <w:sz w:val="20"/>
          <w:szCs w:val="20"/>
          <w:color w:val="auto"/>
        </w:rPr>
      </w:pPr>
      <w:r>
        <w:rPr>
          <w:rFonts w:ascii="Arial" w:cs="Arial" w:eastAsia="Arial" w:hAnsi="Arial"/>
          <w:sz w:val="18"/>
          <w:szCs w:val="18"/>
          <w:color w:val="auto"/>
        </w:rPr>
        <w:t>The portfolio companies in which the Company invests periodically offer their shares in IPOs, which are typically subject to lock-up agreements for 180 days following the IPO. Refer to “Note 1 — Nature of Operations and Significant Accounting Policies — Summary of Significant Accounting Policies — Levelling Policy” for further detail.</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7" w:name="page38"/>
    <w:bookmarkEnd w:id="3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EQUITY OFFERINGS AND RELATED EXPENSES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 new shares of the Company’s common stock were issued during each of the six months ended June 30, 2016 and 2015.</w:t>
      </w:r>
    </w:p>
    <w:p>
      <w:pPr>
        <w:spacing w:after="0" w:line="177" w:lineRule="exact"/>
        <w:rPr>
          <w:sz w:val="20"/>
          <w:szCs w:val="20"/>
          <w:color w:val="auto"/>
        </w:rPr>
      </w:pPr>
    </w:p>
    <w:p>
      <w:pPr>
        <w:ind w:left="60" w:right="1019"/>
        <w:spacing w:after="0" w:line="282" w:lineRule="auto"/>
        <w:rPr>
          <w:sz w:val="20"/>
          <w:szCs w:val="20"/>
          <w:color w:val="auto"/>
        </w:rPr>
      </w:pPr>
      <w:r>
        <w:rPr>
          <w:rFonts w:ascii="Arial" w:cs="Arial" w:eastAsia="Arial" w:hAnsi="Arial"/>
          <w:sz w:val="18"/>
          <w:szCs w:val="18"/>
          <w:b w:val="1"/>
          <w:bCs w:val="1"/>
          <w:color w:val="auto"/>
        </w:rPr>
        <w:t>NOTE 5 — NET INCREASE/(DECREASE) IN NET ASSETS RESULTING FROM OPERATIONS PER COMMON SHARE — BASIC AND DILUTED</w:t>
      </w:r>
    </w:p>
    <w:p>
      <w:pPr>
        <w:spacing w:after="0" w:line="58" w:lineRule="exact"/>
        <w:rPr>
          <w:sz w:val="20"/>
          <w:szCs w:val="20"/>
          <w:color w:val="auto"/>
        </w:rPr>
      </w:pPr>
    </w:p>
    <w:p>
      <w:pPr>
        <w:ind w:left="60" w:right="579" w:firstLine="270"/>
        <w:spacing w:after="0" w:line="310" w:lineRule="auto"/>
        <w:rPr>
          <w:sz w:val="20"/>
          <w:szCs w:val="20"/>
          <w:color w:val="auto"/>
        </w:rPr>
      </w:pPr>
      <w:r>
        <w:rPr>
          <w:rFonts w:ascii="Arial" w:cs="Arial" w:eastAsia="Arial" w:hAnsi="Arial"/>
          <w:sz w:val="15"/>
          <w:szCs w:val="15"/>
          <w:color w:val="auto"/>
        </w:rPr>
        <w:t>The following information sets forth the computation of basic and diluted net increase/(decrease) in net assets resulting from operations per common share for the three and six months ended June 30, 2016 and 2015. The use of the if-converted method as promulgated under ASC 260 considers all potentially dilutive securities in a company’s capital structure when calculating diluted earnings per share, regardless of whether it would be economically beneficial for a holder of such potentially dilutive security to exercise its conversion option (such as out of the money warrants.) In scenarios where diluted net increase in net assets resulting from operations per share is higher than basic net increase in net assets resulting from operations per share, ASC 260 prohibits the separate presentation of the diluted net increase in net assets resulting from operations per share figure. In scenarios where diluted net decrease in net assets resulting from operations per share is lower than basic net decrease in net assets resulting from operations per share, ASC 260 prohibits the separate presentation of the net decrease in net assets resulting from operations per share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wp:posOffset>
            </wp:positionV>
            <wp:extent cx="52139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33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9"/>
              </w:rPr>
              <w:t>Earnings/(loss) per common share – basic:</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8"/>
              </w:rPr>
              <w:t>Net increase/(decrease) in net assets resulting</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(16,281,566)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1,081,501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(41,230,630)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17,746,123</w:t>
            </w:r>
          </w:p>
        </w:tc>
        <w:tc>
          <w:tcPr>
            <w:tcW w:w="0" w:type="dxa"/>
            <w:vAlign w:val="bottom"/>
          </w:tcPr>
          <w:p>
            <w:pPr>
              <w:spacing w:after="0"/>
              <w:rPr>
                <w:sz w:val="1"/>
                <w:szCs w:val="1"/>
                <w:color w:val="auto"/>
              </w:rPr>
            </w:pPr>
          </w:p>
        </w:tc>
      </w:tr>
      <w:tr>
        <w:trPr>
          <w:trHeight w:val="193"/>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Weighted-average common</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ind w:left="180"/>
              <w:spacing w:after="0"/>
              <w:rPr>
                <w:sz w:val="20"/>
                <w:szCs w:val="20"/>
                <w:color w:val="auto"/>
              </w:rPr>
            </w:pPr>
            <w:r>
              <w:rPr>
                <w:rFonts w:ascii="Arial" w:cs="Arial" w:eastAsia="Arial" w:hAnsi="Arial"/>
                <w:sz w:val="16"/>
                <w:szCs w:val="16"/>
                <w:color w:val="auto"/>
              </w:rPr>
              <w:t>shares – basic</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22,181,003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19,320,100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22,181,003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19,320,100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9"/>
              </w:rPr>
              <w:t>Earnings/(loss) per common share – basic: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0.92</w:t>
            </w:r>
          </w:p>
        </w:tc>
        <w:tc>
          <w:tcPr>
            <w:tcW w:w="0" w:type="dxa"/>
            <w:vAlign w:val="bottom"/>
          </w:tcPr>
          <w:p>
            <w:pPr>
              <w:spacing w:after="0"/>
              <w:rPr>
                <w:sz w:val="1"/>
                <w:szCs w:val="1"/>
                <w:color w:val="auto"/>
              </w:rPr>
            </w:pPr>
          </w:p>
        </w:tc>
      </w:tr>
      <w:tr>
        <w:trPr>
          <w:trHeight w:val="203"/>
        </w:trPr>
        <w:tc>
          <w:tcPr>
            <w:tcW w:w="330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Earnings/(loss) per common share – diluted:</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8"/>
              </w:rPr>
              <w:t>Net increase/(decrease) in net assets resulting</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from operations, before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(16,281,566)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1,081,501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(41,230,630)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17,746,123</w:t>
            </w:r>
          </w:p>
        </w:tc>
        <w:tc>
          <w:tcPr>
            <w:tcW w:w="0" w:type="dxa"/>
            <w:vAlign w:val="bottom"/>
          </w:tcPr>
          <w:p>
            <w:pPr>
              <w:spacing w:after="0"/>
              <w:rPr>
                <w:sz w:val="1"/>
                <w:szCs w:val="1"/>
                <w:color w:val="auto"/>
              </w:rPr>
            </w:pPr>
          </w:p>
        </w:tc>
      </w:tr>
      <w:tr>
        <w:trPr>
          <w:trHeight w:val="193"/>
        </w:trPr>
        <w:tc>
          <w:tcPr>
            <w:tcW w:w="3300" w:type="dxa"/>
            <w:vAlign w:val="bottom"/>
            <w:gridSpan w:val="3"/>
          </w:tcPr>
          <w:p>
            <w:pPr>
              <w:ind w:left="20"/>
              <w:spacing w:after="0"/>
              <w:rPr>
                <w:sz w:val="20"/>
                <w:szCs w:val="20"/>
                <w:color w:val="auto"/>
              </w:rPr>
            </w:pPr>
            <w:r>
              <w:rPr>
                <w:rFonts w:ascii="Arial" w:cs="Arial" w:eastAsia="Arial" w:hAnsi="Arial"/>
                <w:sz w:val="16"/>
                <w:szCs w:val="16"/>
                <w:color w:val="auto"/>
                <w:w w:val="99"/>
              </w:rPr>
              <w:t>Adjustments for interest on Convertible Senior</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ind w:left="180"/>
              <w:spacing w:after="0"/>
              <w:rPr>
                <w:sz w:val="20"/>
                <w:szCs w:val="20"/>
                <w:color w:val="auto"/>
              </w:rPr>
            </w:pPr>
            <w:r>
              <w:rPr>
                <w:rFonts w:ascii="Arial" w:cs="Arial" w:eastAsia="Arial" w:hAnsi="Arial"/>
                <w:sz w:val="16"/>
                <w:szCs w:val="16"/>
                <w:color w:val="auto"/>
              </w:rPr>
              <w:t>Notes and deferred debt issuance costs</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1,280,003</w:t>
            </w:r>
          </w:p>
        </w:tc>
        <w:tc>
          <w:tcPr>
            <w:tcW w:w="0" w:type="dxa"/>
            <w:vAlign w:val="bottom"/>
          </w:tcPr>
          <w:p>
            <w:pPr>
              <w:spacing w:after="0"/>
              <w:rPr>
                <w:sz w:val="1"/>
                <w:szCs w:val="1"/>
                <w:color w:val="auto"/>
              </w:rPr>
            </w:pPr>
          </w:p>
        </w:tc>
      </w:tr>
      <w:tr>
        <w:trPr>
          <w:trHeight w:val="189"/>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8"/>
              </w:rPr>
              <w:t>Net increase/(decrease) in net assets resulting</w:t>
            </w: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from operations, as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3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adjusted</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(16,281,566)</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1,081,501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(41,230,630)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19,026,126</w:t>
            </w:r>
          </w:p>
        </w:tc>
        <w:tc>
          <w:tcPr>
            <w:tcW w:w="0" w:type="dxa"/>
            <w:vAlign w:val="bottom"/>
          </w:tcPr>
          <w:p>
            <w:pPr>
              <w:spacing w:after="0"/>
              <w:rPr>
                <w:sz w:val="1"/>
                <w:szCs w:val="1"/>
                <w:color w:val="auto"/>
              </w:rPr>
            </w:pPr>
          </w:p>
        </w:tc>
      </w:tr>
      <w:tr>
        <w:trPr>
          <w:trHeight w:val="186"/>
        </w:trPr>
        <w:tc>
          <w:tcPr>
            <w:tcW w:w="3300" w:type="dxa"/>
            <w:vAlign w:val="bottom"/>
            <w:tcBorders>
              <w:top w:val="single" w:sz="8" w:color="CCEEFF"/>
            </w:tcBorders>
            <w:gridSpan w:val="3"/>
          </w:tcPr>
          <w:p>
            <w:pPr>
              <w:ind w:left="20"/>
              <w:spacing w:after="0"/>
              <w:rPr>
                <w:sz w:val="20"/>
                <w:szCs w:val="20"/>
                <w:color w:val="auto"/>
              </w:rPr>
            </w:pPr>
            <w:r>
              <w:rPr>
                <w:rFonts w:ascii="Arial" w:cs="Arial" w:eastAsia="Arial" w:hAnsi="Arial"/>
                <w:sz w:val="16"/>
                <w:szCs w:val="16"/>
                <w:color w:val="auto"/>
              </w:rPr>
              <w:t>Weighted-average common shares</w:t>
            </w: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ind w:left="180"/>
              <w:spacing w:after="0"/>
              <w:rPr>
                <w:sz w:val="20"/>
                <w:szCs w:val="20"/>
                <w:color w:val="auto"/>
              </w:rPr>
            </w:pPr>
            <w:r>
              <w:rPr>
                <w:rFonts w:ascii="Arial" w:cs="Arial" w:eastAsia="Arial" w:hAnsi="Arial"/>
                <w:sz w:val="16"/>
                <w:szCs w:val="16"/>
                <w:color w:val="auto"/>
              </w:rPr>
              <w:t>outstanding – basic</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22,181,003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19,320,100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22,181,003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19,320,100</w:t>
            </w:r>
          </w:p>
        </w:tc>
        <w:tc>
          <w:tcPr>
            <w:tcW w:w="0" w:type="dxa"/>
            <w:vAlign w:val="bottom"/>
          </w:tcPr>
          <w:p>
            <w:pPr>
              <w:spacing w:after="0"/>
              <w:rPr>
                <w:sz w:val="1"/>
                <w:szCs w:val="1"/>
                <w:color w:val="auto"/>
              </w:rPr>
            </w:pPr>
          </w:p>
        </w:tc>
      </w:tr>
      <w:tr>
        <w:trPr>
          <w:trHeight w:val="195"/>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Adjustments for dilutive effect of Convertible</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CEEFF"/>
          </w:tcPr>
          <w:p>
            <w:pPr>
              <w:spacing w:after="0"/>
              <w:rPr>
                <w:sz w:val="22"/>
                <w:szCs w:val="22"/>
                <w:color w:val="auto"/>
              </w:rPr>
            </w:pPr>
          </w:p>
        </w:tc>
        <w:tc>
          <w:tcPr>
            <w:tcW w:w="3280" w:type="dxa"/>
            <w:vAlign w:val="bottom"/>
            <w:gridSpan w:val="2"/>
            <w:shd w:val="clear" w:color="auto" w:fill="CCEEFF"/>
          </w:tcPr>
          <w:p>
            <w:pPr>
              <w:ind w:left="180"/>
              <w:spacing w:after="0" w:line="254" w:lineRule="exact"/>
              <w:rPr>
                <w:sz w:val="20"/>
                <w:szCs w:val="20"/>
                <w:color w:val="auto"/>
              </w:rPr>
            </w:pPr>
            <w:r>
              <w:rPr>
                <w:rFonts w:ascii="Arial" w:cs="Arial" w:eastAsia="Arial" w:hAnsi="Arial"/>
                <w:sz w:val="16"/>
                <w:szCs w:val="16"/>
                <w:color w:val="auto"/>
              </w:rPr>
              <w:t>Senior Notes</w:t>
            </w:r>
            <w:r>
              <w:rPr>
                <w:rFonts w:ascii="Arial" w:cs="Arial" w:eastAsia="Arial" w:hAnsi="Arial"/>
                <w:sz w:val="27"/>
                <w:szCs w:val="27"/>
                <w:color w:val="auto"/>
                <w:vertAlign w:val="superscript"/>
              </w:rPr>
              <w:t>(1)(2)</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4,244,128</w:t>
            </w:r>
          </w:p>
        </w:tc>
        <w:tc>
          <w:tcPr>
            <w:tcW w:w="0" w:type="dxa"/>
            <w:vAlign w:val="bottom"/>
          </w:tcPr>
          <w:p>
            <w:pPr>
              <w:spacing w:after="0"/>
              <w:rPr>
                <w:sz w:val="1"/>
                <w:szCs w:val="1"/>
                <w:color w:val="auto"/>
              </w:rPr>
            </w:pPr>
          </w:p>
        </w:tc>
      </w:tr>
      <w:tr>
        <w:trPr>
          <w:trHeight w:val="193"/>
        </w:trPr>
        <w:tc>
          <w:tcPr>
            <w:tcW w:w="3300" w:type="dxa"/>
            <w:vAlign w:val="bottom"/>
            <w:gridSpan w:val="3"/>
          </w:tcPr>
          <w:p>
            <w:pPr>
              <w:ind w:left="20"/>
              <w:spacing w:after="0"/>
              <w:rPr>
                <w:sz w:val="20"/>
                <w:szCs w:val="20"/>
                <w:color w:val="auto"/>
              </w:rPr>
            </w:pPr>
            <w:r>
              <w:rPr>
                <w:rFonts w:ascii="Arial" w:cs="Arial" w:eastAsia="Arial" w:hAnsi="Arial"/>
                <w:sz w:val="16"/>
                <w:szCs w:val="16"/>
                <w:color w:val="auto"/>
              </w:rPr>
              <w:t>Weighted-average common shares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gridSpan w:val="2"/>
          </w:tcPr>
          <w:p>
            <w:pPr>
              <w:ind w:left="180"/>
              <w:spacing w:after="0"/>
              <w:rPr>
                <w:sz w:val="20"/>
                <w:szCs w:val="20"/>
                <w:color w:val="auto"/>
              </w:rPr>
            </w:pPr>
            <w:r>
              <w:rPr>
                <w:rFonts w:ascii="Arial" w:cs="Arial" w:eastAsia="Arial" w:hAnsi="Arial"/>
                <w:sz w:val="16"/>
                <w:szCs w:val="16"/>
                <w:color w:val="auto"/>
              </w:rPr>
              <w:t>outstanding – diluted</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22,181,003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19,320,100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22,181,003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23,564,228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w w:val="97"/>
              </w:rPr>
              <w:t>Earnings/(loss) per common share –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(0.74)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0.81</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230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-1183005</wp:posOffset>
            </wp:positionV>
            <wp:extent cx="5213985" cy="291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29146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-213995</wp:posOffset>
            </wp:positionV>
            <wp:extent cx="5213985"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4580" w:right="2259" w:hanging="4552"/>
        <w:spacing w:after="0" w:line="935" w:lineRule="auto"/>
        <w:tabs>
          <w:tab w:leader="none" w:pos="2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each of the three and six months ended June 30, 2016, 5,710,212 potentially dilutive common shares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-289560</wp:posOffset>
            </wp:positionV>
            <wp:extent cx="6114415" cy="596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right="1019"/>
        <w:spacing w:after="0" w:line="282" w:lineRule="auto"/>
        <w:rPr>
          <w:sz w:val="20"/>
          <w:szCs w:val="20"/>
          <w:color w:val="auto"/>
        </w:rPr>
      </w:pPr>
      <w:r>
        <w:rPr>
          <w:rFonts w:ascii="Arial" w:cs="Arial" w:eastAsia="Arial" w:hAnsi="Arial"/>
          <w:sz w:val="18"/>
          <w:szCs w:val="18"/>
          <w:b w:val="1"/>
          <w:bCs w:val="1"/>
          <w:color w:val="auto"/>
        </w:rPr>
        <w:t>NOTE 5 — NET INCREASE/(DECREASE) IN NET ASSETS RESULTING FROM OPERATIONS PER COMMON SHARE — BASIC AND DILUTED – (continued)</w:t>
      </w:r>
    </w:p>
    <w:p>
      <w:pPr>
        <w:spacing w:after="0" w:line="58" w:lineRule="exact"/>
        <w:rPr>
          <w:sz w:val="20"/>
          <w:szCs w:val="20"/>
          <w:color w:val="auto"/>
        </w:rPr>
      </w:pPr>
    </w:p>
    <w:p>
      <w:pPr>
        <w:ind w:left="280" w:right="999"/>
        <w:spacing w:after="0" w:line="277" w:lineRule="auto"/>
        <w:rPr>
          <w:sz w:val="20"/>
          <w:szCs w:val="20"/>
          <w:color w:val="auto"/>
        </w:rPr>
      </w:pPr>
      <w:r>
        <w:rPr>
          <w:rFonts w:ascii="Arial" w:cs="Arial" w:eastAsia="Arial" w:hAnsi="Arial"/>
          <w:sz w:val="18"/>
          <w:szCs w:val="18"/>
          <w:color w:val="auto"/>
        </w:rPr>
        <w:t>were excluded from the weighted-average common shares outstanding for diluted net decrease in net assets resulting from operations per common share because the effect of these shares would have been anti-dilutive.</w:t>
      </w:r>
    </w:p>
    <w:p>
      <w:pPr>
        <w:spacing w:after="0" w:line="62" w:lineRule="exact"/>
        <w:rPr>
          <w:sz w:val="20"/>
          <w:szCs w:val="20"/>
          <w:color w:val="auto"/>
        </w:rPr>
      </w:pPr>
    </w:p>
    <w:p>
      <w:pPr>
        <w:ind w:left="280" w:right="719" w:hanging="272"/>
        <w:spacing w:after="0" w:line="264"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the three months ended June 30, 2015, 4,244,128 potentially dilutive common shares were excluded from the weighted-average common shares outstanding for diluted net increase in net assets resulting from operations per common share because the effect of these shares would have been anti-dilutive.</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21" w:lineRule="exact"/>
        <w:rPr>
          <w:sz w:val="20"/>
          <w:szCs w:val="20"/>
          <w:color w:val="auto"/>
        </w:rPr>
      </w:pPr>
    </w:p>
    <w:p>
      <w:pPr>
        <w:ind w:left="40" w:right="699" w:firstLine="270"/>
        <w:spacing w:after="0" w:line="259"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At each of June 30, 2016 and December 31, 2015, the Company had not entered into any investment agreements that required it to make a future investment in a portfolio company.</w:t>
      </w:r>
    </w:p>
    <w:p>
      <w:pPr>
        <w:spacing w:after="0" w:line="79" w:lineRule="exact"/>
        <w:rPr>
          <w:sz w:val="20"/>
          <w:szCs w:val="20"/>
          <w:color w:val="auto"/>
        </w:rPr>
      </w:pPr>
    </w:p>
    <w:p>
      <w:pPr>
        <w:ind w:left="40" w:right="619" w:firstLine="270"/>
        <w:spacing w:after="0" w:line="276" w:lineRule="auto"/>
        <w:rPr>
          <w:sz w:val="20"/>
          <w:szCs w:val="20"/>
          <w:color w:val="auto"/>
        </w:rPr>
      </w:pPr>
      <w:r>
        <w:rPr>
          <w:rFonts w:ascii="Arial" w:cs="Arial" w:eastAsia="Arial" w:hAnsi="Arial"/>
          <w:sz w:val="17"/>
          <w:szCs w:val="17"/>
          <w:color w:val="auto"/>
        </w:rPr>
        <w:t>The Company is currently not subject to any material legal proceedings, nor, to its knowledge, is any material legal proceeding threatened against it.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9" w:name="page40"/>
    <w:bookmarkEnd w:id="39"/>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NOTE 7 —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43180</wp:posOffset>
            </wp:positionV>
            <wp:extent cx="52311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Three months</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Three months</w:t>
            </w:r>
          </w:p>
        </w:tc>
        <w:tc>
          <w:tcPr>
            <w:tcW w:w="1040" w:type="dxa"/>
            <w:vAlign w:val="bottom"/>
          </w:tcPr>
          <w:p>
            <w:pPr>
              <w:spacing w:after="0"/>
              <w:rPr>
                <w:sz w:val="14"/>
                <w:szCs w:val="14"/>
                <w:color w:val="auto"/>
              </w:rPr>
            </w:pPr>
          </w:p>
        </w:tc>
      </w:tr>
      <w:tr>
        <w:trPr>
          <w:trHeight w:val="149"/>
        </w:trPr>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040" w:type="dxa"/>
            <w:vAlign w:val="bottom"/>
          </w:tcPr>
          <w:p>
            <w:pPr>
              <w:spacing w:after="0"/>
              <w:rPr>
                <w:sz w:val="12"/>
                <w:szCs w:val="12"/>
                <w:color w:val="auto"/>
              </w:rPr>
            </w:pPr>
          </w:p>
        </w:tc>
      </w:tr>
      <w:tr>
        <w:trPr>
          <w:trHeight w:val="171"/>
        </w:trPr>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June 30, 2015</w:t>
            </w:r>
          </w:p>
        </w:tc>
        <w:tc>
          <w:tcPr>
            <w:tcW w:w="1040" w:type="dxa"/>
            <w:vAlign w:val="bottom"/>
          </w:tcPr>
          <w:p>
            <w:pPr>
              <w:spacing w:after="0"/>
              <w:rPr>
                <w:sz w:val="14"/>
                <w:szCs w:val="14"/>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Net asset value at beginning of period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15.66</w:t>
            </w:r>
          </w:p>
        </w:tc>
        <w:tc>
          <w:tcPr>
            <w:tcW w:w="1040" w:type="dxa"/>
            <w:vAlign w:val="bottom"/>
          </w:tcPr>
          <w:p>
            <w:pPr>
              <w:spacing w:after="0"/>
              <w:rPr>
                <w:sz w:val="18"/>
                <w:szCs w:val="18"/>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loss</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240"/>
              <w:spacing w:after="0" w:line="256" w:lineRule="exact"/>
              <w:rPr>
                <w:sz w:val="20"/>
                <w:szCs w:val="20"/>
                <w:color w:val="auto"/>
              </w:rPr>
            </w:pPr>
            <w:r>
              <w:rPr>
                <w:rFonts w:ascii="Arial" w:cs="Arial" w:eastAsia="Arial" w:hAnsi="Arial"/>
                <w:sz w:val="18"/>
                <w:szCs w:val="18"/>
                <w:color w:val="auto"/>
              </w:rPr>
              <w:t>(0.07)</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8"/>
                <w:szCs w:val="18"/>
                <w:color w:val="auto"/>
              </w:rPr>
              <w:t>(0.19)</w:t>
            </w:r>
            <w:r>
              <w:rPr>
                <w:rFonts w:ascii="Arial" w:cs="Arial" w:eastAsia="Arial" w:hAnsi="Arial"/>
                <w:sz w:val="29"/>
                <w:szCs w:val="29"/>
                <w:color w:val="auto"/>
                <w:vertAlign w:val="superscript"/>
              </w:rPr>
              <w:t>(1)</w:t>
            </w:r>
          </w:p>
        </w:tc>
        <w:tc>
          <w:tcPr>
            <w:tcW w:w="1040" w:type="dxa"/>
            <w:vAlign w:val="bottom"/>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Realized gain</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300"/>
              <w:spacing w:after="0" w:line="256" w:lineRule="exact"/>
              <w:rPr>
                <w:sz w:val="20"/>
                <w:szCs w:val="20"/>
                <w:color w:val="auto"/>
              </w:rPr>
            </w:pPr>
            <w:r>
              <w:rPr>
                <w:rFonts w:ascii="Arial" w:cs="Arial" w:eastAsia="Arial" w:hAnsi="Arial"/>
                <w:sz w:val="18"/>
                <w:szCs w:val="18"/>
                <w:color w:val="auto"/>
              </w:rPr>
              <w:t xml:space="preserve">0.05 </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28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 xml:space="preserve">0.71 </w:t>
            </w:r>
            <w:r>
              <w:rPr>
                <w:rFonts w:ascii="Arial" w:cs="Arial" w:eastAsia="Arial" w:hAnsi="Arial"/>
                <w:sz w:val="29"/>
                <w:szCs w:val="29"/>
                <w:color w:val="auto"/>
                <w:vertAlign w:val="superscript"/>
              </w:rPr>
              <w:t>(1)</w:t>
            </w:r>
          </w:p>
        </w:tc>
        <w:tc>
          <w:tcPr>
            <w:tcW w:w="1040" w:type="dxa"/>
            <w:vAlign w:val="bottom"/>
          </w:tcPr>
          <w:p>
            <w:pPr>
              <w:spacing w:after="0"/>
              <w:rPr>
                <w:sz w:val="22"/>
                <w:szCs w:val="22"/>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taxes on net realized capital gains</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3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 xml:space="preserve"> (1)</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8"/>
                <w:szCs w:val="18"/>
                <w:color w:val="auto"/>
              </w:rPr>
              <w:t>(0.29)</w:t>
            </w:r>
            <w:r>
              <w:rPr>
                <w:rFonts w:ascii="Arial" w:cs="Arial" w:eastAsia="Arial" w:hAnsi="Arial"/>
                <w:sz w:val="29"/>
                <w:szCs w:val="29"/>
                <w:color w:val="auto"/>
                <w:vertAlign w:val="superscript"/>
              </w:rPr>
              <w:t>(1)</w:t>
            </w:r>
          </w:p>
        </w:tc>
        <w:tc>
          <w:tcPr>
            <w:tcW w:w="1040" w:type="dxa"/>
            <w:vAlign w:val="bottom"/>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Net change in unrealized depreciation</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(0.72)</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280" w:type="dxa"/>
            <w:vAlign w:val="bottom"/>
            <w:gridSpan w:val="2"/>
          </w:tcPr>
          <w:p>
            <w:pPr>
              <w:jc w:val="right"/>
              <w:ind w:right="140"/>
              <w:spacing w:after="0" w:line="256" w:lineRule="exact"/>
              <w:rPr>
                <w:sz w:val="20"/>
                <w:szCs w:val="20"/>
                <w:color w:val="auto"/>
              </w:rPr>
            </w:pPr>
            <w:r>
              <w:rPr>
                <w:rFonts w:ascii="Arial" w:cs="Arial" w:eastAsia="Arial" w:hAnsi="Arial"/>
                <w:sz w:val="18"/>
                <w:szCs w:val="18"/>
                <w:color w:val="auto"/>
              </w:rPr>
              <w:t>(0.29)</w:t>
            </w:r>
            <w:r>
              <w:rPr>
                <w:rFonts w:ascii="Arial" w:cs="Arial" w:eastAsia="Arial" w:hAnsi="Arial"/>
                <w:sz w:val="29"/>
                <w:szCs w:val="29"/>
                <w:color w:val="auto"/>
                <w:vertAlign w:val="superscript"/>
              </w:rPr>
              <w:t>(1)</w:t>
            </w:r>
          </w:p>
        </w:tc>
        <w:tc>
          <w:tcPr>
            <w:tcW w:w="1040" w:type="dxa"/>
            <w:vAlign w:val="bottom"/>
          </w:tcPr>
          <w:p>
            <w:pPr>
              <w:spacing w:after="0"/>
              <w:rPr>
                <w:sz w:val="22"/>
                <w:szCs w:val="22"/>
                <w:color w:val="auto"/>
              </w:rPr>
            </w:pPr>
          </w:p>
        </w:tc>
      </w:tr>
      <w:tr>
        <w:trPr>
          <w:trHeight w:val="277"/>
        </w:trPr>
        <w:tc>
          <w:tcPr>
            <w:tcW w:w="140" w:type="dxa"/>
            <w:vAlign w:val="bottom"/>
            <w:tcBorders>
              <w:right w:val="single" w:sz="8" w:color="CCEEFF"/>
            </w:tcBorders>
          </w:tcPr>
          <w:p>
            <w:pPr>
              <w:spacing w:after="0"/>
              <w:rPr>
                <w:sz w:val="24"/>
                <w:szCs w:val="24"/>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Benefit for taxes on unrealized depreciation of investments</w:t>
            </w: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tcBorders>
              <w:right w:val="single" w:sz="8" w:color="CCEEFF"/>
            </w:tcBorders>
            <w:gridSpan w:val="2"/>
            <w:shd w:val="clear" w:color="auto" w:fill="CCEEFF"/>
          </w:tcPr>
          <w:p>
            <w:pPr>
              <w:jc w:val="right"/>
              <w:ind w:right="3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 xml:space="preserve"> (1)</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8"/>
                <w:szCs w:val="18"/>
                <w:color w:val="auto"/>
              </w:rPr>
              <w:t xml:space="preserve">0.12 </w:t>
            </w:r>
            <w:r>
              <w:rPr>
                <w:rFonts w:ascii="Arial" w:cs="Arial" w:eastAsia="Arial" w:hAnsi="Arial"/>
                <w:sz w:val="29"/>
                <w:szCs w:val="29"/>
                <w:color w:val="auto"/>
                <w:vertAlign w:val="superscript"/>
              </w:rPr>
              <w:t>(1)</w:t>
            </w:r>
          </w:p>
        </w:tc>
        <w:tc>
          <w:tcPr>
            <w:tcW w:w="1040" w:type="dxa"/>
            <w:vAlign w:val="bottom"/>
          </w:tcPr>
          <w:p>
            <w:pPr>
              <w:spacing w:after="0"/>
              <w:rPr>
                <w:sz w:val="24"/>
                <w:szCs w:val="24"/>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Net asset value at end of period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15.72</w:t>
            </w:r>
          </w:p>
        </w:tc>
        <w:tc>
          <w:tcPr>
            <w:tcW w:w="1040" w:type="dxa"/>
            <w:vAlign w:val="bottom"/>
          </w:tcPr>
          <w:p>
            <w:pPr>
              <w:spacing w:after="0"/>
              <w:rPr>
                <w:sz w:val="18"/>
                <w:szCs w:val="18"/>
                <w:color w:val="auto"/>
              </w:rPr>
            </w:pPr>
          </w:p>
        </w:tc>
      </w:tr>
      <w:tr>
        <w:trPr>
          <w:trHeight w:val="21"/>
        </w:trPr>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10.31</w:t>
            </w:r>
          </w:p>
        </w:tc>
        <w:tc>
          <w:tcPr>
            <w:tcW w:w="1040" w:type="dxa"/>
            <w:vAlign w:val="bottom"/>
          </w:tcPr>
          <w:p>
            <w:pPr>
              <w:spacing w:after="0"/>
              <w:rPr>
                <w:sz w:val="18"/>
                <w:szCs w:val="18"/>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return based on market value</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(10.36)%</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5.20%</w:t>
            </w:r>
            <w:r>
              <w:rPr>
                <w:rFonts w:ascii="Arial" w:cs="Arial" w:eastAsia="Arial" w:hAnsi="Arial"/>
                <w:sz w:val="29"/>
                <w:szCs w:val="29"/>
                <w:color w:val="auto"/>
                <w:vertAlign w:val="superscript"/>
              </w:rPr>
              <w:t>(2)</w:t>
            </w:r>
          </w:p>
        </w:tc>
        <w:tc>
          <w:tcPr>
            <w:tcW w:w="1040" w:type="dxa"/>
            <w:vAlign w:val="bottom"/>
          </w:tcPr>
          <w:p>
            <w:pPr>
              <w:spacing w:after="0"/>
              <w:rPr>
                <w:sz w:val="22"/>
                <w:szCs w:val="22"/>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return based on net asset value</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100"/>
              <w:spacing w:after="0" w:line="256" w:lineRule="exact"/>
              <w:rPr>
                <w:sz w:val="20"/>
                <w:szCs w:val="20"/>
                <w:color w:val="auto"/>
              </w:rPr>
            </w:pPr>
            <w:r>
              <w:rPr>
                <w:rFonts w:ascii="Arial" w:cs="Arial" w:eastAsia="Arial" w:hAnsi="Arial"/>
                <w:sz w:val="18"/>
                <w:szCs w:val="18"/>
                <w:color w:val="auto"/>
              </w:rPr>
              <w:t>(6.75)%</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8"/>
                <w:szCs w:val="18"/>
                <w:color w:val="auto"/>
              </w:rPr>
              <w:t>0.38%</w:t>
            </w:r>
            <w:r>
              <w:rPr>
                <w:rFonts w:ascii="Arial" w:cs="Arial" w:eastAsia="Arial" w:hAnsi="Arial"/>
                <w:sz w:val="29"/>
                <w:szCs w:val="29"/>
                <w:color w:val="auto"/>
                <w:vertAlign w:val="superscript"/>
              </w:rPr>
              <w:t>(2)</w:t>
            </w:r>
          </w:p>
        </w:tc>
        <w:tc>
          <w:tcPr>
            <w:tcW w:w="1040" w:type="dxa"/>
            <w:vAlign w:val="bottom"/>
          </w:tcPr>
          <w:p>
            <w:pPr>
              <w:spacing w:after="0"/>
              <w:rPr>
                <w:sz w:val="22"/>
                <w:szCs w:val="22"/>
                <w:color w:val="auto"/>
              </w:rPr>
            </w:pPr>
          </w:p>
        </w:tc>
      </w:tr>
      <w:tr>
        <w:trPr>
          <w:trHeight w:val="216"/>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Shares outstanding at end of period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22,181,003</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19,320,100</w:t>
            </w:r>
          </w:p>
        </w:tc>
        <w:tc>
          <w:tcPr>
            <w:tcW w:w="1040" w:type="dxa"/>
            <w:vAlign w:val="bottom"/>
          </w:tcPr>
          <w:p>
            <w:pPr>
              <w:spacing w:after="0"/>
              <w:rPr>
                <w:sz w:val="18"/>
                <w:szCs w:val="18"/>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226,780,315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303,649,796</w:t>
            </w:r>
          </w:p>
        </w:tc>
        <w:tc>
          <w:tcPr>
            <w:tcW w:w="1040" w:type="dxa"/>
            <w:vAlign w:val="bottom"/>
          </w:tcPr>
          <w:p>
            <w:pPr>
              <w:spacing w:after="0"/>
              <w:rPr>
                <w:sz w:val="18"/>
                <w:szCs w:val="18"/>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net assets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240,846,901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295,688,346</w:t>
            </w:r>
          </w:p>
        </w:tc>
        <w:tc>
          <w:tcPr>
            <w:tcW w:w="1040" w:type="dxa"/>
            <w:vAlign w:val="bottom"/>
          </w:tcPr>
          <w:p>
            <w:pPr>
              <w:spacing w:after="0"/>
              <w:rPr>
                <w:sz w:val="18"/>
                <w:szCs w:val="18"/>
                <w:color w:val="auto"/>
              </w:rPr>
            </w:pPr>
          </w:p>
        </w:tc>
      </w:tr>
      <w:tr>
        <w:trPr>
          <w:trHeight w:val="176"/>
        </w:trPr>
        <w:tc>
          <w:tcPr>
            <w:tcW w:w="140" w:type="dxa"/>
            <w:vAlign w:val="bottom"/>
          </w:tcPr>
          <w:p>
            <w:pPr>
              <w:spacing w:after="0"/>
              <w:rPr>
                <w:sz w:val="15"/>
                <w:szCs w:val="15"/>
                <w:color w:val="auto"/>
              </w:rPr>
            </w:pPr>
          </w:p>
        </w:tc>
        <w:tc>
          <w:tcPr>
            <w:tcW w:w="44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Annualized ratios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
        </w:trPr>
        <w:tc>
          <w:tcPr>
            <w:tcW w:w="14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94"/>
              </w:rPr>
              <w:t>Ratio of gross operating expenses to average net assets</w:t>
            </w:r>
            <w:r>
              <w:rPr>
                <w:rFonts w:ascii="Arial" w:cs="Arial" w:eastAsia="Arial" w:hAnsi="Arial"/>
                <w:sz w:val="29"/>
                <w:szCs w:val="29"/>
                <w:color w:val="auto"/>
                <w:w w:val="94"/>
                <w:vertAlign w:val="superscript"/>
              </w:rPr>
              <w:t>(3)</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1040" w:type="dxa"/>
            <w:vAlign w:val="bottom"/>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line="256" w:lineRule="exact"/>
              <w:rPr>
                <w:sz w:val="20"/>
                <w:szCs w:val="20"/>
                <w:color w:val="auto"/>
              </w:rPr>
            </w:pPr>
            <w:r>
              <w:rPr>
                <w:rFonts w:ascii="Arial" w:cs="Arial" w:eastAsia="Arial" w:hAnsi="Arial"/>
                <w:sz w:val="18"/>
                <w:szCs w:val="18"/>
                <w:color w:val="auto"/>
                <w:w w:val="94"/>
              </w:rPr>
              <w:t>Ratio of net income tax provisions to average net assets</w:t>
            </w:r>
            <w:r>
              <w:rPr>
                <w:rFonts w:ascii="Arial" w:cs="Arial" w:eastAsia="Arial" w:hAnsi="Arial"/>
                <w:sz w:val="29"/>
                <w:szCs w:val="29"/>
                <w:color w:val="auto"/>
                <w:w w:val="94"/>
                <w:vertAlign w:val="superscript"/>
              </w:rPr>
              <w:t>(3)</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(0.96)%</w:t>
            </w:r>
          </w:p>
        </w:tc>
        <w:tc>
          <w:tcPr>
            <w:tcW w:w="1040" w:type="dxa"/>
            <w:vAlign w:val="bottom"/>
          </w:tcPr>
          <w:p>
            <w:pPr>
              <w:spacing w:after="0"/>
              <w:rPr>
                <w:sz w:val="22"/>
                <w:szCs w:val="22"/>
                <w:color w:val="auto"/>
              </w:rPr>
            </w:pPr>
          </w:p>
        </w:tc>
      </w:tr>
      <w:tr>
        <w:trPr>
          <w:trHeight w:val="20"/>
        </w:trPr>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40" w:type="dxa"/>
            <w:vAlign w:val="bottom"/>
            <w:tcBorders>
              <w:right w:val="single" w:sz="8" w:color="CCEEFF"/>
            </w:tcBorders>
          </w:tcPr>
          <w:p>
            <w:pPr>
              <w:spacing w:after="0"/>
              <w:rPr>
                <w:sz w:val="21"/>
                <w:szCs w:val="21"/>
                <w:color w:val="auto"/>
              </w:rPr>
            </w:pPr>
          </w:p>
        </w:tc>
        <w:tc>
          <w:tcPr>
            <w:tcW w:w="448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Ratio of net operating expenses to average net assets</w:t>
            </w:r>
            <w:r>
              <w:rPr>
                <w:rFonts w:ascii="Arial" w:cs="Arial" w:eastAsia="Arial" w:hAnsi="Arial"/>
                <w:sz w:val="28"/>
                <w:szCs w:val="28"/>
                <w:color w:val="auto"/>
                <w:vertAlign w:val="superscript"/>
              </w:rPr>
              <w:t>(3)</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w:t>
            </w:r>
          </w:p>
        </w:tc>
        <w:tc>
          <w:tcPr>
            <w:tcW w:w="1040" w:type="dxa"/>
            <w:vAlign w:val="bottom"/>
          </w:tcPr>
          <w:p>
            <w:pPr>
              <w:spacing w:after="0"/>
              <w:rPr>
                <w:sz w:val="21"/>
                <w:szCs w:val="21"/>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line="256" w:lineRule="exact"/>
              <w:rPr>
                <w:sz w:val="20"/>
                <w:szCs w:val="20"/>
                <w:color w:val="auto"/>
              </w:rPr>
            </w:pPr>
            <w:r>
              <w:rPr>
                <w:rFonts w:ascii="Arial" w:cs="Arial" w:eastAsia="Arial" w:hAnsi="Arial"/>
                <w:sz w:val="18"/>
                <w:szCs w:val="18"/>
                <w:color w:val="auto"/>
              </w:rPr>
              <w:t>Ratio of net investment loss to average net assets</w:t>
            </w:r>
            <w:r>
              <w:rPr>
                <w:rFonts w:ascii="Arial" w:cs="Arial" w:eastAsia="Arial" w:hAnsi="Arial"/>
                <w:sz w:val="29"/>
                <w:szCs w:val="29"/>
                <w:color w:val="auto"/>
                <w:vertAlign w:val="superscript"/>
              </w:rPr>
              <w:t>(3)</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(4.96)%</w:t>
            </w:r>
          </w:p>
        </w:tc>
        <w:tc>
          <w:tcPr>
            <w:tcW w:w="1040" w:type="dxa"/>
            <w:vAlign w:val="bottom"/>
          </w:tcPr>
          <w:p>
            <w:pPr>
              <w:spacing w:after="0"/>
              <w:rPr>
                <w:sz w:val="22"/>
                <w:szCs w:val="22"/>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1040" w:type="dxa"/>
            <w:vAlign w:val="bottom"/>
          </w:tcPr>
          <w:p>
            <w:pPr>
              <w:spacing w:after="0"/>
              <w:rPr>
                <w:sz w:val="18"/>
                <w:szCs w:val="18"/>
                <w:color w:val="auto"/>
              </w:rPr>
            </w:pPr>
          </w:p>
        </w:tc>
      </w:tr>
      <w:tr>
        <w:trPr>
          <w:trHeight w:val="288"/>
        </w:trPr>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Six months</w:t>
            </w:r>
          </w:p>
        </w:tc>
        <w:tc>
          <w:tcPr>
            <w:tcW w:w="100" w:type="dxa"/>
            <w:vAlign w:val="bottom"/>
          </w:tcPr>
          <w:p>
            <w:pPr>
              <w:spacing w:after="0"/>
              <w:rPr>
                <w:sz w:val="24"/>
                <w:szCs w:val="2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Six months</w:t>
            </w:r>
          </w:p>
        </w:tc>
        <w:tc>
          <w:tcPr>
            <w:tcW w:w="1040" w:type="dxa"/>
            <w:vAlign w:val="bottom"/>
          </w:tcPr>
          <w:p>
            <w:pPr>
              <w:spacing w:after="0"/>
              <w:rPr>
                <w:sz w:val="24"/>
                <w:szCs w:val="24"/>
                <w:color w:val="auto"/>
              </w:rPr>
            </w:pPr>
          </w:p>
        </w:tc>
      </w:tr>
      <w:tr>
        <w:trPr>
          <w:trHeight w:val="149"/>
        </w:trPr>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ended</w:t>
            </w:r>
          </w:p>
        </w:tc>
        <w:tc>
          <w:tcPr>
            <w:tcW w:w="1040" w:type="dxa"/>
            <w:vAlign w:val="bottom"/>
          </w:tcPr>
          <w:p>
            <w:pPr>
              <w:spacing w:after="0"/>
              <w:rPr>
                <w:sz w:val="12"/>
                <w:szCs w:val="12"/>
                <w:color w:val="auto"/>
              </w:rPr>
            </w:pPr>
          </w:p>
        </w:tc>
      </w:tr>
      <w:tr>
        <w:trPr>
          <w:trHeight w:val="171"/>
        </w:trPr>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June 30, 2015</w:t>
            </w:r>
          </w:p>
        </w:tc>
        <w:tc>
          <w:tcPr>
            <w:tcW w:w="1040" w:type="dxa"/>
            <w:vAlign w:val="bottom"/>
          </w:tcPr>
          <w:p>
            <w:pPr>
              <w:spacing w:after="0"/>
              <w:rPr>
                <w:sz w:val="14"/>
                <w:szCs w:val="14"/>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Net asset value at beginning of period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line="256" w:lineRule="exact"/>
              <w:rPr>
                <w:sz w:val="20"/>
                <w:szCs w:val="20"/>
                <w:color w:val="auto"/>
              </w:rPr>
            </w:pPr>
            <w:r>
              <w:rPr>
                <w:rFonts w:ascii="Arial" w:cs="Arial" w:eastAsia="Arial" w:hAnsi="Arial"/>
                <w:sz w:val="18"/>
                <w:szCs w:val="18"/>
                <w:color w:val="auto"/>
              </w:rPr>
              <w:t xml:space="preserve">12.08 </w:t>
            </w:r>
            <w:r>
              <w:rPr>
                <w:rFonts w:ascii="Arial" w:cs="Arial" w:eastAsia="Arial" w:hAnsi="Arial"/>
                <w:sz w:val="29"/>
                <w:szCs w:val="29"/>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 xml:space="preserve">14.80 </w:t>
            </w:r>
            <w:r>
              <w:rPr>
                <w:rFonts w:ascii="Arial" w:cs="Arial" w:eastAsia="Arial" w:hAnsi="Arial"/>
                <w:sz w:val="29"/>
                <w:szCs w:val="29"/>
                <w:color w:val="auto"/>
                <w:vertAlign w:val="superscript"/>
              </w:rPr>
              <w:t>(1)</w:t>
            </w:r>
          </w:p>
        </w:tc>
        <w:tc>
          <w:tcPr>
            <w:tcW w:w="1040" w:type="dxa"/>
            <w:vAlign w:val="bottom"/>
          </w:tcPr>
          <w:p>
            <w:pPr>
              <w:spacing w:after="0"/>
              <w:rPr>
                <w:sz w:val="22"/>
                <w:szCs w:val="22"/>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loss</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240"/>
              <w:spacing w:after="0" w:line="256" w:lineRule="exact"/>
              <w:rPr>
                <w:sz w:val="20"/>
                <w:szCs w:val="20"/>
                <w:color w:val="auto"/>
              </w:rPr>
            </w:pPr>
            <w:r>
              <w:rPr>
                <w:rFonts w:ascii="Arial" w:cs="Arial" w:eastAsia="Arial" w:hAnsi="Arial"/>
                <w:sz w:val="18"/>
                <w:szCs w:val="18"/>
                <w:color w:val="auto"/>
              </w:rPr>
              <w:t>(0.04)</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8"/>
                <w:szCs w:val="18"/>
                <w:color w:val="auto"/>
              </w:rPr>
              <w:t>(0.58)</w:t>
            </w:r>
            <w:r>
              <w:rPr>
                <w:rFonts w:ascii="Arial" w:cs="Arial" w:eastAsia="Arial" w:hAnsi="Arial"/>
                <w:sz w:val="29"/>
                <w:szCs w:val="29"/>
                <w:color w:val="auto"/>
                <w:vertAlign w:val="superscript"/>
              </w:rPr>
              <w:t>(1)</w:t>
            </w:r>
          </w:p>
        </w:tc>
        <w:tc>
          <w:tcPr>
            <w:tcW w:w="1040" w:type="dxa"/>
            <w:vAlign w:val="bottom"/>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Realized gain/(loss)</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(0.22)</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28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 xml:space="preserve">1.39 </w:t>
            </w:r>
            <w:r>
              <w:rPr>
                <w:rFonts w:ascii="Arial" w:cs="Arial" w:eastAsia="Arial" w:hAnsi="Arial"/>
                <w:sz w:val="29"/>
                <w:szCs w:val="29"/>
                <w:color w:val="auto"/>
                <w:vertAlign w:val="superscript"/>
              </w:rPr>
              <w:t>(1)</w:t>
            </w:r>
          </w:p>
        </w:tc>
        <w:tc>
          <w:tcPr>
            <w:tcW w:w="1040" w:type="dxa"/>
            <w:vAlign w:val="bottom"/>
          </w:tcPr>
          <w:p>
            <w:pPr>
              <w:spacing w:after="0"/>
              <w:rPr>
                <w:sz w:val="22"/>
                <w:szCs w:val="22"/>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taxes on net realized capital gains</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3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3"/>
                <w:szCs w:val="13"/>
                <w:color w:val="auto"/>
              </w:rPr>
              <w:t xml:space="preserve"> (1)</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8"/>
                <w:szCs w:val="18"/>
                <w:color w:val="auto"/>
              </w:rPr>
              <w:t>(0.57)</w:t>
            </w:r>
            <w:r>
              <w:rPr>
                <w:rFonts w:ascii="Arial" w:cs="Arial" w:eastAsia="Arial" w:hAnsi="Arial"/>
                <w:sz w:val="29"/>
                <w:szCs w:val="29"/>
                <w:color w:val="auto"/>
                <w:vertAlign w:val="superscript"/>
              </w:rPr>
              <w:t>(1)</w:t>
            </w:r>
          </w:p>
        </w:tc>
        <w:tc>
          <w:tcPr>
            <w:tcW w:w="1040" w:type="dxa"/>
            <w:vAlign w:val="bottom"/>
          </w:tcPr>
          <w:p>
            <w:pPr>
              <w:spacing w:after="0"/>
              <w:rPr>
                <w:sz w:val="22"/>
                <w:szCs w:val="22"/>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Net change in unrealized appreciation/(depreciation)</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240"/>
              <w:spacing w:after="0" w:line="256" w:lineRule="exact"/>
              <w:rPr>
                <w:sz w:val="20"/>
                <w:szCs w:val="20"/>
                <w:color w:val="auto"/>
              </w:rPr>
            </w:pPr>
            <w:r>
              <w:rPr>
                <w:rFonts w:ascii="Arial" w:cs="Arial" w:eastAsia="Arial" w:hAnsi="Arial"/>
                <w:sz w:val="18"/>
                <w:szCs w:val="18"/>
                <w:color w:val="auto"/>
              </w:rPr>
              <w:t>(1.59)</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1280" w:type="dxa"/>
            <w:vAlign w:val="bottom"/>
            <w:gridSpan w:val="2"/>
          </w:tcPr>
          <w:p>
            <w:pPr>
              <w:jc w:val="right"/>
              <w:ind w:right="200"/>
              <w:spacing w:after="0" w:line="256" w:lineRule="exact"/>
              <w:rPr>
                <w:sz w:val="20"/>
                <w:szCs w:val="20"/>
                <w:color w:val="auto"/>
              </w:rPr>
            </w:pPr>
            <w:r>
              <w:rPr>
                <w:rFonts w:ascii="Arial" w:cs="Arial" w:eastAsia="Arial" w:hAnsi="Arial"/>
                <w:sz w:val="18"/>
                <w:szCs w:val="18"/>
                <w:color w:val="auto"/>
              </w:rPr>
              <w:t xml:space="preserve">1.15 </w:t>
            </w:r>
            <w:r>
              <w:rPr>
                <w:rFonts w:ascii="Arial" w:cs="Arial" w:eastAsia="Arial" w:hAnsi="Arial"/>
                <w:sz w:val="29"/>
                <w:szCs w:val="29"/>
                <w:color w:val="auto"/>
                <w:vertAlign w:val="superscript"/>
              </w:rPr>
              <w:t>(1)</w:t>
            </w:r>
          </w:p>
        </w:tc>
        <w:tc>
          <w:tcPr>
            <w:tcW w:w="1040" w:type="dxa"/>
            <w:vAlign w:val="bottom"/>
          </w:tcPr>
          <w:p>
            <w:pPr>
              <w:spacing w:after="0"/>
              <w:rPr>
                <w:sz w:val="22"/>
                <w:szCs w:val="22"/>
                <w:color w:val="auto"/>
              </w:rPr>
            </w:pPr>
          </w:p>
        </w:tc>
      </w:tr>
      <w:tr>
        <w:trPr>
          <w:trHeight w:val="237"/>
        </w:trPr>
        <w:tc>
          <w:tcPr>
            <w:tcW w:w="140" w:type="dxa"/>
            <w:vAlign w:val="bottom"/>
            <w:tcBorders>
              <w:right w:val="single" w:sz="8" w:color="CCEEFF"/>
            </w:tcBorders>
          </w:tcPr>
          <w:p>
            <w:pPr>
              <w:spacing w:after="0"/>
              <w:rPr>
                <w:sz w:val="20"/>
                <w:szCs w:val="20"/>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Provision for taxes on unrealized appreciation of investments</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(0.47)</w:t>
            </w:r>
          </w:p>
        </w:tc>
        <w:tc>
          <w:tcPr>
            <w:tcW w:w="1040" w:type="dxa"/>
            <w:vAlign w:val="bottom"/>
          </w:tcPr>
          <w:p>
            <w:pPr>
              <w:spacing w:after="0"/>
              <w:rPr>
                <w:sz w:val="20"/>
                <w:szCs w:val="20"/>
                <w:color w:val="auto"/>
              </w:rPr>
            </w:pPr>
          </w:p>
        </w:tc>
      </w:tr>
      <w:tr>
        <w:trPr>
          <w:trHeight w:val="20"/>
        </w:trPr>
        <w:tc>
          <w:tcPr>
            <w:tcW w:w="140" w:type="dxa"/>
            <w:vAlign w:val="bottom"/>
            <w:tcBorders>
              <w:right w:val="single" w:sz="8" w:color="CCEEFF"/>
            </w:tcBorders>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Net asset value at end of period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10.22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15.72</w:t>
            </w:r>
          </w:p>
        </w:tc>
        <w:tc>
          <w:tcPr>
            <w:tcW w:w="1040" w:type="dxa"/>
            <w:vAlign w:val="bottom"/>
          </w:tcPr>
          <w:p>
            <w:pPr>
              <w:spacing w:after="0"/>
              <w:rPr>
                <w:sz w:val="18"/>
                <w:szCs w:val="18"/>
                <w:color w:val="auto"/>
              </w:rPr>
            </w:pPr>
          </w:p>
        </w:tc>
      </w:tr>
      <w:tr>
        <w:trPr>
          <w:trHeight w:val="21"/>
        </w:trPr>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10.31</w:t>
            </w:r>
          </w:p>
        </w:tc>
        <w:tc>
          <w:tcPr>
            <w:tcW w:w="1040" w:type="dxa"/>
            <w:vAlign w:val="bottom"/>
          </w:tcPr>
          <w:p>
            <w:pPr>
              <w:spacing w:after="0"/>
              <w:rPr>
                <w:sz w:val="18"/>
                <w:szCs w:val="18"/>
                <w:color w:val="auto"/>
              </w:rPr>
            </w:pPr>
          </w:p>
        </w:tc>
      </w:tr>
      <w:tr>
        <w:trPr>
          <w:trHeight w:val="257"/>
        </w:trPr>
        <w:tc>
          <w:tcPr>
            <w:tcW w:w="140" w:type="dxa"/>
            <w:vAlign w:val="bottom"/>
          </w:tcPr>
          <w:p>
            <w:pPr>
              <w:spacing w:after="0"/>
              <w:rPr>
                <w:sz w:val="22"/>
                <w:szCs w:val="22"/>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Total return based on market value</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100"/>
              <w:spacing w:after="0" w:line="256" w:lineRule="exact"/>
              <w:rPr>
                <w:sz w:val="20"/>
                <w:szCs w:val="20"/>
                <w:color w:val="auto"/>
              </w:rPr>
            </w:pPr>
            <w:r>
              <w:rPr>
                <w:rFonts w:ascii="Arial" w:cs="Arial" w:eastAsia="Arial" w:hAnsi="Arial"/>
                <w:sz w:val="18"/>
                <w:szCs w:val="18"/>
                <w:color w:val="auto"/>
              </w:rPr>
              <w:t>(24.05)%</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128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19.47%</w:t>
            </w:r>
            <w:r>
              <w:rPr>
                <w:rFonts w:ascii="Arial" w:cs="Arial" w:eastAsia="Arial" w:hAnsi="Arial"/>
                <w:sz w:val="29"/>
                <w:szCs w:val="29"/>
                <w:color w:val="auto"/>
                <w:vertAlign w:val="superscript"/>
              </w:rPr>
              <w:t>(2)</w:t>
            </w:r>
          </w:p>
        </w:tc>
        <w:tc>
          <w:tcPr>
            <w:tcW w:w="1040" w:type="dxa"/>
            <w:vAlign w:val="bottom"/>
          </w:tcPr>
          <w:p>
            <w:pPr>
              <w:spacing w:after="0"/>
              <w:rPr>
                <w:sz w:val="22"/>
                <w:szCs w:val="22"/>
                <w:color w:val="auto"/>
              </w:rPr>
            </w:pPr>
          </w:p>
        </w:tc>
      </w:tr>
      <w:tr>
        <w:trPr>
          <w:trHeight w:val="257"/>
        </w:trPr>
        <w:tc>
          <w:tcPr>
            <w:tcW w:w="140" w:type="dxa"/>
            <w:vAlign w:val="bottom"/>
            <w:tcBorders>
              <w:right w:val="single" w:sz="8" w:color="CCEEFF"/>
            </w:tcBorders>
          </w:tcPr>
          <w:p>
            <w:pPr>
              <w:spacing w:after="0"/>
              <w:rPr>
                <w:sz w:val="22"/>
                <w:szCs w:val="22"/>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return based on net asset value</w:t>
            </w: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tcBorders>
              <w:right w:val="single" w:sz="8" w:color="CCEEFF"/>
            </w:tcBorders>
            <w:gridSpan w:val="2"/>
            <w:shd w:val="clear" w:color="auto" w:fill="CCEEFF"/>
          </w:tcPr>
          <w:p>
            <w:pPr>
              <w:jc w:val="right"/>
              <w:ind w:right="100"/>
              <w:spacing w:after="0" w:line="256" w:lineRule="exact"/>
              <w:rPr>
                <w:sz w:val="20"/>
                <w:szCs w:val="20"/>
                <w:color w:val="auto"/>
              </w:rPr>
            </w:pPr>
            <w:r>
              <w:rPr>
                <w:rFonts w:ascii="Arial" w:cs="Arial" w:eastAsia="Arial" w:hAnsi="Arial"/>
                <w:sz w:val="18"/>
                <w:szCs w:val="18"/>
                <w:color w:val="auto"/>
              </w:rPr>
              <w:t>(15.31)%</w:t>
            </w:r>
            <w:r>
              <w:rPr>
                <w:rFonts w:ascii="Arial" w:cs="Arial" w:eastAsia="Arial" w:hAnsi="Arial"/>
                <w:sz w:val="29"/>
                <w:szCs w:val="29"/>
                <w:color w:val="auto"/>
                <w:vertAlign w:val="superscript"/>
              </w:rPr>
              <w:t>(2)</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60"/>
              <w:spacing w:after="0" w:line="256" w:lineRule="exact"/>
              <w:rPr>
                <w:sz w:val="20"/>
                <w:szCs w:val="20"/>
                <w:color w:val="auto"/>
              </w:rPr>
            </w:pPr>
            <w:r>
              <w:rPr>
                <w:rFonts w:ascii="Arial" w:cs="Arial" w:eastAsia="Arial" w:hAnsi="Arial"/>
                <w:sz w:val="18"/>
                <w:szCs w:val="18"/>
                <w:color w:val="auto"/>
              </w:rPr>
              <w:t>6.22%</w:t>
            </w:r>
            <w:r>
              <w:rPr>
                <w:rFonts w:ascii="Arial" w:cs="Arial" w:eastAsia="Arial" w:hAnsi="Arial"/>
                <w:sz w:val="29"/>
                <w:szCs w:val="29"/>
                <w:color w:val="auto"/>
                <w:vertAlign w:val="superscript"/>
              </w:rPr>
              <w:t>(2)</w:t>
            </w:r>
          </w:p>
        </w:tc>
        <w:tc>
          <w:tcPr>
            <w:tcW w:w="1040" w:type="dxa"/>
            <w:vAlign w:val="bottom"/>
          </w:tcPr>
          <w:p>
            <w:pPr>
              <w:spacing w:after="0"/>
              <w:rPr>
                <w:sz w:val="22"/>
                <w:szCs w:val="22"/>
                <w:color w:val="auto"/>
              </w:rPr>
            </w:pPr>
          </w:p>
        </w:tc>
      </w:tr>
      <w:tr>
        <w:trPr>
          <w:trHeight w:val="216"/>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Shares outstanding at end of period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22,181,003</w:t>
            </w:r>
          </w:p>
        </w:tc>
        <w:tc>
          <w:tcPr>
            <w:tcW w:w="10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19,320,100</w:t>
            </w:r>
          </w:p>
        </w:tc>
        <w:tc>
          <w:tcPr>
            <w:tcW w:w="1040" w:type="dxa"/>
            <w:vAlign w:val="bottom"/>
          </w:tcPr>
          <w:p>
            <w:pPr>
              <w:spacing w:after="0"/>
              <w:rPr>
                <w:sz w:val="18"/>
                <w:szCs w:val="18"/>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226,780,315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303,649,796</w:t>
            </w:r>
          </w:p>
        </w:tc>
        <w:tc>
          <w:tcPr>
            <w:tcW w:w="1040" w:type="dxa"/>
            <w:vAlign w:val="bottom"/>
          </w:tcPr>
          <w:p>
            <w:pPr>
              <w:spacing w:after="0"/>
              <w:rPr>
                <w:sz w:val="18"/>
                <w:szCs w:val="18"/>
                <w:color w:val="auto"/>
              </w:rPr>
            </w:pPr>
          </w:p>
        </w:tc>
      </w:tr>
      <w:tr>
        <w:trPr>
          <w:trHeight w:val="216"/>
        </w:trPr>
        <w:tc>
          <w:tcPr>
            <w:tcW w:w="140" w:type="dxa"/>
            <w:vAlign w:val="bottom"/>
            <w:tcBorders>
              <w:right w:val="single" w:sz="8" w:color="CCEEFF"/>
            </w:tcBorders>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net assets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262,765,462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293,486,377</w:t>
            </w:r>
          </w:p>
        </w:tc>
        <w:tc>
          <w:tcPr>
            <w:tcW w:w="1040" w:type="dxa"/>
            <w:vAlign w:val="bottom"/>
          </w:tcPr>
          <w:p>
            <w:pPr>
              <w:spacing w:after="0"/>
              <w:rPr>
                <w:sz w:val="18"/>
                <w:szCs w:val="18"/>
                <w:color w:val="auto"/>
              </w:rPr>
            </w:pPr>
          </w:p>
        </w:tc>
      </w:tr>
      <w:tr>
        <w:trPr>
          <w:trHeight w:val="176"/>
        </w:trPr>
        <w:tc>
          <w:tcPr>
            <w:tcW w:w="140" w:type="dxa"/>
            <w:vAlign w:val="bottom"/>
          </w:tcPr>
          <w:p>
            <w:pPr>
              <w:spacing w:after="0"/>
              <w:rPr>
                <w:sz w:val="15"/>
                <w:szCs w:val="15"/>
                <w:color w:val="auto"/>
              </w:rPr>
            </w:pPr>
          </w:p>
        </w:tc>
        <w:tc>
          <w:tcPr>
            <w:tcW w:w="44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Annualized ratios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804"/>
        </w:trPr>
        <w:tc>
          <w:tcPr>
            <w:tcW w:w="1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120" w:type="dxa"/>
            <w:vAlign w:val="bottom"/>
          </w:tcPr>
          <w:p>
            <w:pPr>
              <w:spacing w:after="0"/>
              <w:rPr>
                <w:sz w:val="24"/>
                <w:szCs w:val="24"/>
                <w:color w:val="auto"/>
              </w:rPr>
            </w:pPr>
          </w:p>
        </w:tc>
        <w:tc>
          <w:tcPr>
            <w:tcW w:w="1080" w:type="dxa"/>
            <w:vAlign w:val="bottom"/>
          </w:tcPr>
          <w:p>
            <w:pPr>
              <w:jc w:val="right"/>
              <w:ind w:right="7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2"/>
        </w:trPr>
        <w:tc>
          <w:tcPr>
            <w:tcW w:w="1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312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r>
      <w:tr>
        <w:trPr>
          <w:trHeight w:val="21"/>
        </w:trPr>
        <w:tc>
          <w:tcPr>
            <w:tcW w:w="14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312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-5624830</wp:posOffset>
            </wp:positionV>
            <wp:extent cx="5351145" cy="205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51145" cy="20574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-1988820</wp:posOffset>
            </wp:positionV>
            <wp:extent cx="5351145" cy="205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51145" cy="205740"/>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-3446780</wp:posOffset>
            </wp:positionV>
            <wp:extent cx="52311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40" w:name="page41"/>
    <w:bookmarkEnd w:id="4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FINANCIAL HIGHLIGHTS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-24765</wp:posOffset>
            </wp:positionV>
            <wp:extent cx="52139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Six months</w:t>
            </w:r>
          </w:p>
        </w:tc>
        <w:tc>
          <w:tcPr>
            <w:tcW w:w="16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160" w:type="dxa"/>
            <w:vAlign w:val="bottom"/>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2015</w:t>
            </w:r>
          </w:p>
        </w:tc>
      </w:tr>
      <w:tr>
        <w:trPr>
          <w:trHeight w:val="250"/>
        </w:trPr>
        <w:tc>
          <w:tcPr>
            <w:tcW w:w="578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Ratio of gross operating expenses to average net assets</w:t>
            </w:r>
            <w:r>
              <w:rPr>
                <w:rFonts w:ascii="Arial" w:cs="Arial" w:eastAsia="Arial" w:hAnsi="Arial"/>
                <w:sz w:val="28"/>
                <w:szCs w:val="28"/>
                <w:color w:val="auto"/>
                <w:vertAlign w:val="superscript"/>
              </w:rPr>
              <w:t>(3)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0.73%</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13.11%</w:t>
            </w:r>
          </w:p>
        </w:tc>
      </w:tr>
      <w:tr>
        <w:trPr>
          <w:trHeight w:val="257"/>
        </w:trPr>
        <w:tc>
          <w:tcPr>
            <w:tcW w:w="57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Ratio of net income tax provisions to average net assets</w:t>
            </w:r>
            <w:r>
              <w:rPr>
                <w:rFonts w:ascii="Arial" w:cs="Arial" w:eastAsia="Arial" w:hAnsi="Arial"/>
                <w:sz w:val="29"/>
                <w:szCs w:val="29"/>
                <w:color w:val="auto"/>
                <w:vertAlign w:val="superscript"/>
              </w:rPr>
              <w:t>(3)</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(8.41)%</w:t>
            </w: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50"/>
        </w:trPr>
        <w:tc>
          <w:tcPr>
            <w:tcW w:w="578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Ratio of net operating expenses to average net assets</w:t>
            </w:r>
            <w:r>
              <w:rPr>
                <w:rFonts w:ascii="Arial" w:cs="Arial" w:eastAsia="Arial" w:hAnsi="Arial"/>
                <w:sz w:val="28"/>
                <w:szCs w:val="28"/>
                <w:color w:val="auto"/>
                <w:vertAlign w:val="superscript"/>
              </w:rPr>
              <w:t>(3)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0.73%</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4.70%</w:t>
            </w:r>
          </w:p>
        </w:tc>
      </w:tr>
      <w:tr>
        <w:trPr>
          <w:trHeight w:val="257"/>
        </w:trPr>
        <w:tc>
          <w:tcPr>
            <w:tcW w:w="578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Ratio of net investment loss to average net assets</w:t>
            </w:r>
            <w:r>
              <w:rPr>
                <w:rFonts w:ascii="Arial" w:cs="Arial" w:eastAsia="Arial" w:hAnsi="Arial"/>
                <w:sz w:val="29"/>
                <w:szCs w:val="29"/>
                <w:color w:val="auto"/>
                <w:vertAlign w:val="superscript"/>
              </w:rPr>
              <w:t>(3)</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(0.69)%</w:t>
            </w:r>
          </w:p>
        </w:tc>
        <w:tc>
          <w:tcPr>
            <w:tcW w:w="1340" w:type="dxa"/>
            <w:vAlign w:val="bottom"/>
            <w:gridSpan w:val="3"/>
          </w:tcPr>
          <w:p>
            <w:pPr>
              <w:jc w:val="right"/>
              <w:ind w:right="240"/>
              <w:spacing w:after="0"/>
              <w:rPr>
                <w:sz w:val="20"/>
                <w:szCs w:val="20"/>
                <w:color w:val="auto"/>
              </w:rPr>
            </w:pPr>
            <w:r>
              <w:rPr>
                <w:rFonts w:ascii="Arial" w:cs="Arial" w:eastAsia="Arial" w:hAnsi="Arial"/>
                <w:sz w:val="18"/>
                <w:szCs w:val="18"/>
                <w:color w:val="auto"/>
              </w:rPr>
              <w:t>(7.69)%</w:t>
            </w:r>
          </w:p>
        </w:tc>
      </w:tr>
      <w:tr>
        <w:trPr>
          <w:trHeight w:val="216"/>
        </w:trPr>
        <w:tc>
          <w:tcPr>
            <w:tcW w:w="5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Portfolio Turnover Ratio</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56" w:lineRule="exact"/>
        <w:rPr>
          <w:sz w:val="20"/>
          <w:szCs w:val="20"/>
          <w:color w:val="auto"/>
        </w:rPr>
      </w:pPr>
    </w:p>
    <w:p>
      <w:pPr>
        <w:ind w:left="300" w:hanging="272"/>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weighted-average number of shares outstanding for the period.</w:t>
      </w:r>
    </w:p>
    <w:p>
      <w:pPr>
        <w:spacing w:after="0" w:line="117" w:lineRule="exact"/>
        <w:rPr>
          <w:rFonts w:ascii="Arial" w:cs="Arial" w:eastAsia="Arial" w:hAnsi="Arial"/>
          <w:sz w:val="18"/>
          <w:szCs w:val="18"/>
          <w:color w:val="auto"/>
        </w:rPr>
      </w:pPr>
    </w:p>
    <w:p>
      <w:pPr>
        <w:ind w:left="300" w:right="879" w:hanging="272"/>
        <w:spacing w:after="0" w:line="264"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return based on market value is based on the change in market price per share between the opening and ending market values per share in the period. Total return based on net asset value is based upon the change in net asset value per share between the opening and ending net asset values per share.</w:t>
      </w:r>
    </w:p>
    <w:p>
      <w:pPr>
        <w:spacing w:after="0" w:line="73" w:lineRule="exact"/>
        <w:rPr>
          <w:rFonts w:ascii="Arial" w:cs="Arial" w:eastAsia="Arial" w:hAnsi="Arial"/>
          <w:sz w:val="18"/>
          <w:szCs w:val="18"/>
          <w:color w:val="auto"/>
        </w:rPr>
      </w:pPr>
    </w:p>
    <w:p>
      <w:pPr>
        <w:ind w:left="300" w:right="719" w:hanging="272"/>
        <w:spacing w:after="0" w:line="257" w:lineRule="auto"/>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Highlights for periods of less than one year are annualized and the ratios of operating expenses to average net assets and net investment loss to average net assets are adjusted accordingly. Non-recurring expenses are not annualized. For each of the three and six months ended June 30, 2016 and 2015, the Company did not incur any non-recurring expenses. Because the ratios are calculated for the Company’s common stock taken as a whole, an individual investor’s ratios may vary from these ratios.</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ind w:left="60" w:right="579" w:firstLine="270"/>
        <w:spacing w:after="0" w:line="273" w:lineRule="auto"/>
        <w:rPr>
          <w:sz w:val="20"/>
          <w:szCs w:val="20"/>
          <w:color w:val="auto"/>
        </w:rPr>
      </w:pPr>
      <w:r>
        <w:rPr>
          <w:rFonts w:ascii="Arial" w:cs="Arial" w:eastAsia="Arial" w:hAnsi="Arial"/>
          <w:sz w:val="17"/>
          <w:szCs w:val="17"/>
          <w:color w:val="auto"/>
        </w:rPr>
        <w:t>The Company has elected to be treated as a RIC under Subchapter M of the Code and operates in a manner so as to qualify for the tax treatment applicable to RICs. Accordingly, the Company must generally distribute at least 90% of its ICTI to qualify for the treatment accorded to a RIC and to maintain its RIC status. As part of maintaining RIC status,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federal income tax return for that fiscal year.</w:t>
      </w:r>
    </w:p>
    <w:p>
      <w:pPr>
        <w:spacing w:after="0" w:line="70" w:lineRule="exact"/>
        <w:rPr>
          <w:sz w:val="20"/>
          <w:szCs w:val="20"/>
          <w:color w:val="auto"/>
        </w:rPr>
      </w:pPr>
    </w:p>
    <w:p>
      <w:pPr>
        <w:ind w:left="60" w:right="599" w:firstLine="270"/>
        <w:spacing w:after="0" w:line="273" w:lineRule="auto"/>
        <w:rPr>
          <w:sz w:val="20"/>
          <w:szCs w:val="20"/>
          <w:color w:val="auto"/>
        </w:rPr>
      </w:pPr>
      <w:r>
        <w:rPr>
          <w:rFonts w:ascii="Arial" w:cs="Arial" w:eastAsia="Arial" w:hAnsi="Arial"/>
          <w:sz w:val="17"/>
          <w:szCs w:val="17"/>
          <w:color w:val="auto"/>
        </w:rPr>
        <w:t>As a result of the Company electing to be treated as a RIC in September 2015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w:t>
      </w:r>
      <w:r>
        <w:rPr>
          <w:rFonts w:ascii="Arial" w:cs="Arial" w:eastAsia="Arial" w:hAnsi="Arial"/>
          <w:sz w:val="17"/>
          <w:szCs w:val="17"/>
          <w:i w:val="1"/>
          <w:iCs w:val="1"/>
          <w:color w:val="auto"/>
        </w:rPr>
        <w:t>i.e.</w:t>
      </w:r>
      <w:r>
        <w:rPr>
          <w:rFonts w:ascii="Arial" w:cs="Arial" w:eastAsia="Arial" w:hAnsi="Arial"/>
          <w:sz w:val="17"/>
          <w:szCs w:val="17"/>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70" w:lineRule="exact"/>
        <w:rPr>
          <w:sz w:val="20"/>
          <w:szCs w:val="20"/>
          <w:color w:val="auto"/>
        </w:rPr>
      </w:pPr>
    </w:p>
    <w:p>
      <w:pPr>
        <w:ind w:left="60" w:right="619" w:firstLine="270"/>
        <w:spacing w:after="0" w:line="291" w:lineRule="auto"/>
        <w:rPr>
          <w:sz w:val="20"/>
          <w:szCs w:val="20"/>
          <w:color w:val="auto"/>
        </w:rPr>
      </w:pPr>
      <w:r>
        <w:rPr>
          <w:rFonts w:ascii="Arial" w:cs="Arial" w:eastAsia="Arial" w:hAnsi="Arial"/>
          <w:sz w:val="16"/>
          <w:szCs w:val="16"/>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w:t>
      </w:r>
    </w:p>
    <w:p>
      <w:pPr>
        <w:spacing w:after="0" w:line="59" w:lineRule="exact"/>
        <w:rPr>
          <w:sz w:val="20"/>
          <w:szCs w:val="20"/>
          <w:color w:val="auto"/>
        </w:rPr>
      </w:pPr>
    </w:p>
    <w:p>
      <w:pPr>
        <w:ind w:left="60" w:right="639" w:firstLine="270"/>
        <w:spacing w:after="0" w:line="277" w:lineRule="auto"/>
        <w:rPr>
          <w:sz w:val="20"/>
          <w:szCs w:val="20"/>
          <w:color w:val="auto"/>
        </w:rPr>
      </w:pPr>
      <w:r>
        <w:rPr>
          <w:rFonts w:ascii="Arial" w:cs="Arial" w:eastAsia="Arial" w:hAnsi="Arial"/>
          <w:sz w:val="18"/>
          <w:szCs w:val="18"/>
          <w:color w:val="auto"/>
        </w:rPr>
        <w:t>As of January 1, 2014, the Company had net unrealized built-in gains. It did not incur a built-in-gains tax for the 2014 tax year due to the fact that there are sufficient net capital loss carryforwards to completely offset</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INCOME TAXES – (continued)</w:t>
      </w:r>
    </w:p>
    <w:p>
      <w:pPr>
        <w:spacing w:after="0" w:line="121" w:lineRule="exact"/>
        <w:rPr>
          <w:sz w:val="20"/>
          <w:szCs w:val="20"/>
          <w:color w:val="auto"/>
        </w:rPr>
      </w:pPr>
    </w:p>
    <w:p>
      <w:pPr>
        <w:jc w:val="both"/>
        <w:ind w:left="40" w:right="599"/>
        <w:spacing w:after="0" w:line="264" w:lineRule="auto"/>
        <w:rPr>
          <w:sz w:val="20"/>
          <w:szCs w:val="20"/>
          <w:color w:val="auto"/>
        </w:rPr>
      </w:pPr>
      <w:r>
        <w:rPr>
          <w:rFonts w:ascii="Arial" w:cs="Arial" w:eastAsia="Arial" w:hAnsi="Arial"/>
          <w:sz w:val="18"/>
          <w:szCs w:val="18"/>
          <w:color w:val="auto"/>
        </w:rPr>
        <w:t>recognized built-in gains as well as available net operating losses. The Company has recorded a $12.5 million deferred tax liability as of June 30, 2016, of which approximately $10.2 million has been recorded in the event such gains are recognized by December 31, 2019.</w:t>
      </w:r>
    </w:p>
    <w:p>
      <w:pPr>
        <w:spacing w:after="0" w:line="73" w:lineRule="exact"/>
        <w:rPr>
          <w:sz w:val="20"/>
          <w:szCs w:val="20"/>
          <w:color w:val="auto"/>
        </w:rPr>
      </w:pPr>
    </w:p>
    <w:p>
      <w:pPr>
        <w:ind w:left="40" w:right="559" w:firstLine="270"/>
        <w:spacing w:after="0" w:line="290" w:lineRule="auto"/>
        <w:rPr>
          <w:sz w:val="20"/>
          <w:szCs w:val="20"/>
          <w:color w:val="auto"/>
        </w:rPr>
      </w:pPr>
      <w:r>
        <w:rPr>
          <w:rFonts w:ascii="Arial" w:cs="Arial" w:eastAsia="Arial" w:hAnsi="Arial"/>
          <w:sz w:val="16"/>
          <w:szCs w:val="16"/>
          <w:color w:val="auto"/>
        </w:rPr>
        <w:t>The GSVC Holdings are C corporations for U.S. federal and state income tax purposes. The Company uses the asset and liability method to account for the GSVC Holdings’ income taxes. Using this method, the Company recognizes deferred tax assets and liabilities for the estimated future tax effects attributable to temporary differences between the financial reporting and tax bases of assets and liabilities. In addition, the Company recognizes deferred tax benefits associated with net operating loss carryforwards that it may use to offset future tax obligations. The Company measures deferred tax assets and liabilities using the enacted tax rates expected to apply to taxable income in the years in which it expects to recover or settle those temporary differences. The Company has recorded a $12.5 million deferred tax liability as of June 30, 2016, of which approximately $2.3 million relates to the difference in the book and tax basis of certain equity investments and tax net operating losses held by the GSVC Holdings.</w:t>
      </w:r>
    </w:p>
    <w:p>
      <w:pPr>
        <w:spacing w:after="0" w:line="58"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For U.S. federal and state income tax purposes, a portion of the GSVC Holdings’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63"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The Company and the GSVC Holdings identified their major tax jurisdictions as U.S. federal and California and may be subject to the taxing authorities’ examination for the tax years 2013 – 2016 and 2012 – 2016, respectively.</w:t>
      </w:r>
    </w:p>
    <w:p>
      <w:pPr>
        <w:spacing w:after="0" w:line="62" w:lineRule="exact"/>
        <w:rPr>
          <w:sz w:val="20"/>
          <w:szCs w:val="20"/>
          <w:color w:val="auto"/>
        </w:rPr>
      </w:pPr>
    </w:p>
    <w:p>
      <w:pPr>
        <w:ind w:left="40" w:right="539" w:firstLine="270"/>
        <w:spacing w:after="0" w:line="277" w:lineRule="auto"/>
        <w:rPr>
          <w:sz w:val="20"/>
          <w:szCs w:val="20"/>
          <w:color w:val="auto"/>
        </w:rPr>
      </w:pPr>
      <w:r>
        <w:rPr>
          <w:rFonts w:ascii="Arial" w:cs="Arial" w:eastAsia="Arial" w:hAnsi="Arial"/>
          <w:sz w:val="18"/>
          <w:szCs w:val="18"/>
          <w:color w:val="auto"/>
        </w:rPr>
        <w:t>The Company and the GSVC Holdings accrue all interest and penalties related to uncertain tax positions as incurred. As of June 30, 2016, there were no interest or penalties incurred related to uncertain tax positions.</w:t>
      </w:r>
    </w:p>
    <w:p>
      <w:pPr>
        <w:spacing w:after="0" w:line="9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LONG-TERM LIABILITIES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40" w:right="579" w:firstLine="270"/>
        <w:spacing w:after="0" w:line="287" w:lineRule="auto"/>
        <w:rPr>
          <w:sz w:val="20"/>
          <w:szCs w:val="20"/>
          <w:color w:val="auto"/>
        </w:rPr>
      </w:pPr>
      <w:r>
        <w:rPr>
          <w:rFonts w:ascii="Arial" w:cs="Arial" w:eastAsia="Arial" w:hAnsi="Arial"/>
          <w:sz w:val="16"/>
          <w:szCs w:val="16"/>
          <w:color w:val="auto"/>
        </w:rPr>
        <w:t>On September 17, 2013, the Company issued $69 million aggregate principal amount of the Convertible Senior Notes (including $9 million aggregate principal amount issued pursuant to the exercise of the initial purchasers’ option to purchase additional Convertible Senior Notes). The Convertible Senior Notes bear interest at a fixed rate of 5.25% per year, payable semi-annually in arrears on March 15 and September 15 of each year, commencing on March 15, 2014. The Convertible Senior Notes mature on September 15, 2018, unless previously repurchased or converted in accordance with their terms. The Company does not have the right to redeem the Convertible Senior Notes prior to maturity. The Convertible Senior Notes were convertible into shares of the Company’s common stock based on an initial conversion rate of 61.5091 shares of the Company’s common stock per $1,000 of principal amount of the Convertible Senior Notes, which was equivalent to an initial conversion price of approximately $16.26 per share of common stock. As a result of the Company’s dividend paid on December 31, 2015 to stockholders of record on November 16, 2015, the conversion rate was increased to 82.7567 shares of common stock per $1,000 principal amount of the Convertible Senior Notes, which is equivalent to a conversion price of approximately $12.08 per share of common stock.</w:t>
      </w:r>
    </w:p>
    <w:p>
      <w:pPr>
        <w:spacing w:after="0" w:line="65" w:lineRule="exact"/>
        <w:rPr>
          <w:sz w:val="20"/>
          <w:szCs w:val="20"/>
          <w:color w:val="auto"/>
        </w:rPr>
      </w:pPr>
    </w:p>
    <w:p>
      <w:pPr>
        <w:ind w:left="40" w:right="599" w:firstLine="270"/>
        <w:spacing w:after="0" w:line="257" w:lineRule="auto"/>
        <w:rPr>
          <w:sz w:val="20"/>
          <w:szCs w:val="20"/>
          <w:color w:val="auto"/>
        </w:rPr>
      </w:pPr>
      <w:r>
        <w:rPr>
          <w:rFonts w:ascii="Arial" w:cs="Arial" w:eastAsia="Arial" w:hAnsi="Arial"/>
          <w:sz w:val="18"/>
          <w:szCs w:val="18"/>
          <w:color w:val="auto"/>
        </w:rPr>
        <w:t>The terms of the offering required the Company to place $10,867,500 from the offering in an escrow account (the “Interest Escrow”) with U.S. Bank National Association (the “Trustee”) under the indenture pursuant to which the Convertible Senior Notes were issued. Funds in the Interest Escrow were used to purchase six U.S. Treasury Strips (“Government Securities”) with an original cost of $10,845,236. The Government Securities have been, and will continue to be, used to make the first six scheduled interest</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2" w:name="page43"/>
    <w:bookmarkEnd w:id="4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LONG-TERM LIABILITIES – (continued)</w:t>
      </w:r>
    </w:p>
    <w:p>
      <w:pPr>
        <w:spacing w:after="0" w:line="121" w:lineRule="exact"/>
        <w:rPr>
          <w:sz w:val="20"/>
          <w:szCs w:val="20"/>
          <w:color w:val="auto"/>
        </w:rPr>
      </w:pPr>
    </w:p>
    <w:p>
      <w:pPr>
        <w:ind w:left="60" w:right="519"/>
        <w:spacing w:after="0" w:line="297" w:lineRule="auto"/>
        <w:rPr>
          <w:sz w:val="20"/>
          <w:szCs w:val="20"/>
          <w:color w:val="auto"/>
        </w:rPr>
      </w:pPr>
      <w:r>
        <w:rPr>
          <w:rFonts w:ascii="Arial" w:cs="Arial" w:eastAsia="Arial" w:hAnsi="Arial"/>
          <w:sz w:val="16"/>
          <w:szCs w:val="16"/>
          <w:color w:val="auto"/>
        </w:rPr>
        <w:t>payments on the Convertible Senior Notes, unless the Company elects to make the interest payments from the Company’s available funds. The interest payments on the Convertible Senior Notes are secured by a pledge of the Company’s interest in the Interest Escrow. At June 30, 2016, the remaining Government Securities are shown on the Condensed Consolidated Schedule of Investments and have an amortized cost of $1,849,291. The table below shows a reconciliation from the aggregate principal amount of Convertible Senior Notes to the balance shown on the Condensed Consolidated Statement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wp:posOffset>
            </wp:positionV>
            <wp:extent cx="52057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760" w:type="dxa"/>
            <w:vAlign w:val="bottom"/>
          </w:tcPr>
          <w:p>
            <w:pPr>
              <w:spacing w:after="0"/>
              <w:rPr>
                <w:sz w:val="14"/>
                <w:szCs w:val="14"/>
                <w:color w:val="auto"/>
              </w:rPr>
            </w:pPr>
          </w:p>
        </w:tc>
        <w:tc>
          <w:tcPr>
            <w:tcW w:w="9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4"/>
                <w:szCs w:val="14"/>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principal amount of convertible senior notes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$ 69,000,000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69,000,000</w:t>
            </w: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Amortization of embedded derivative discount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(333,610)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(403,381)</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deduction of deferred debt issuance costs</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(1,588,808)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(1,947,572)</w:t>
            </w:r>
          </w:p>
        </w:tc>
      </w:tr>
      <w:tr>
        <w:trPr>
          <w:trHeight w:val="210"/>
        </w:trPr>
        <w:tc>
          <w:tcPr>
            <w:tcW w:w="57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Convertible Senior Notes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$ 67,077,582</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66,649,047</w:t>
            </w:r>
          </w:p>
        </w:tc>
        <w:tc>
          <w:tcPr>
            <w:tcW w:w="140" w:type="dxa"/>
            <w:vAlign w:val="bottom"/>
            <w:tcBorders>
              <w:top w:val="single" w:sz="8" w:color="CCEE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-153670</wp:posOffset>
            </wp:positionV>
            <wp:extent cx="5213985"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3985" cy="154305"/>
                    </a:xfrm>
                    <a:prstGeom prst="rect">
                      <a:avLst/>
                    </a:prstGeom>
                    <a:noFill/>
                  </pic:spPr>
                </pic:pic>
              </a:graphicData>
            </a:graphic>
          </wp:anchor>
        </w:drawing>
      </w:r>
    </w:p>
    <w:p>
      <w:pPr>
        <w:spacing w:after="0" w:line="74" w:lineRule="exact"/>
        <w:rPr>
          <w:sz w:val="20"/>
          <w:szCs w:val="20"/>
          <w:color w:val="auto"/>
        </w:rPr>
      </w:pPr>
    </w:p>
    <w:p>
      <w:pPr>
        <w:ind w:left="60" w:right="759" w:firstLine="270"/>
        <w:spacing w:after="0" w:line="277" w:lineRule="auto"/>
        <w:rPr>
          <w:sz w:val="20"/>
          <w:szCs w:val="20"/>
          <w:color w:val="auto"/>
        </w:rPr>
      </w:pPr>
      <w:r>
        <w:rPr>
          <w:rFonts w:ascii="Arial" w:cs="Arial" w:eastAsia="Arial" w:hAnsi="Arial"/>
          <w:sz w:val="18"/>
          <w:szCs w:val="18"/>
          <w:color w:val="auto"/>
        </w:rPr>
        <w:t>As of June 30, 2016 and December 31, 2015, the principal amount of the Convertible Senior Notes exceeded the value of the underlying shares multiplied by the per share closing price of the Company’s common stock.</w:t>
      </w:r>
    </w:p>
    <w:p>
      <w:pPr>
        <w:spacing w:after="0" w:line="62" w:lineRule="exact"/>
        <w:rPr>
          <w:sz w:val="20"/>
          <w:szCs w:val="20"/>
          <w:color w:val="auto"/>
        </w:rPr>
      </w:pPr>
    </w:p>
    <w:p>
      <w:pPr>
        <w:ind w:left="60" w:right="539" w:firstLine="270"/>
        <w:spacing w:after="0" w:line="297" w:lineRule="auto"/>
        <w:rPr>
          <w:sz w:val="20"/>
          <w:szCs w:val="20"/>
          <w:color w:val="auto"/>
        </w:rPr>
      </w:pPr>
      <w:r>
        <w:rPr>
          <w:rFonts w:ascii="Arial" w:cs="Arial" w:eastAsia="Arial" w:hAnsi="Arial"/>
          <w:sz w:val="16"/>
          <w:szCs w:val="16"/>
          <w:color w:val="auto"/>
        </w:rPr>
        <w:t>The Convertible Senior Notes are the Company’s senior, unsecured obligations and rank senior in right of payment to any future indebtedness that is expressly subordinated in right of payment to the Convertible Senior Notes, equal in right of payment to any future unsecured indebtedness that is not so subordinated to the Convertible Senior Notes, junior (other than to the extent of the Interest Escrow) to any future secured indebtedness to the extent of the value of the assets securing such indebtedness, and structurally junior to all future indebtedness (including trade payables) incurred by the Company’s subsidiaries.</w:t>
      </w:r>
    </w:p>
    <w:p>
      <w:pPr>
        <w:spacing w:after="0" w:line="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ind w:left="60" w:right="539" w:firstLine="270"/>
        <w:spacing w:after="0" w:line="293" w:lineRule="auto"/>
        <w:rPr>
          <w:sz w:val="20"/>
          <w:szCs w:val="20"/>
          <w:color w:val="auto"/>
        </w:rPr>
      </w:pPr>
      <w:r>
        <w:rPr>
          <w:rFonts w:ascii="Arial" w:cs="Arial" w:eastAsia="Arial" w:hAnsi="Arial"/>
          <w:sz w:val="16"/>
          <w:szCs w:val="16"/>
          <w:color w:val="auto"/>
        </w:rPr>
        <w:t>The Convertible Senior Notes contain an interest make-whole payment provision pursuant to which holders who convert their notes prior to September 15, 2016, will receive, in addition to a number of shares of the Company’s common stock calculated at the applicable conversion rate for the principal amount of notes being converted, the cash proceeds from the sale by the escrow agent of the portion of the Government Securities in the escrow account that are remaining with respect to any of the first six interest payments that have not been made on the notes being converted. Under ASC 815-10-15-74(a), the interest make-whole payment is considered an embedded derivative and is separated from the host contract, the Convertible Senior Notes, and carried at fair value.</w:t>
      </w:r>
    </w:p>
    <w:p>
      <w:pPr>
        <w:spacing w:after="0" w:line="57"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The Company used a binomial lattice model to estimate the fair value of the embedded derivative in the Convertible Senior Notes. A binomial lattice model generates potential outcomes at various points in time, starting from the date of valuation until the expiration date of the embedded derivative.</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60" w:right="779" w:firstLine="270"/>
        <w:spacing w:after="0" w:line="264" w:lineRule="auto"/>
        <w:rPr>
          <w:sz w:val="20"/>
          <w:szCs w:val="20"/>
          <w:color w:val="auto"/>
        </w:rPr>
      </w:pPr>
      <w:r>
        <w:rPr>
          <w:rFonts w:ascii="Arial" w:cs="Arial" w:eastAsia="Arial" w:hAnsi="Arial"/>
          <w:sz w:val="18"/>
          <w:szCs w:val="18"/>
          <w:color w:val="auto"/>
        </w:rPr>
        <w:t>The Company entered into the Loan Agreement, effective December 31, 2013, with Silicon Valley Bank to provide the Company with an $18 million Credit Facility. Under the Credit Facility, the Company is permitted to borrow an amount equal to the lesser of $18 million or 20% of the Company’s then-current net asset value.</w:t>
      </w:r>
    </w:p>
    <w:p>
      <w:pPr>
        <w:spacing w:after="0" w:line="73" w:lineRule="exact"/>
        <w:rPr>
          <w:sz w:val="20"/>
          <w:szCs w:val="20"/>
          <w:color w:val="auto"/>
        </w:rPr>
      </w:pPr>
    </w:p>
    <w:p>
      <w:pPr>
        <w:ind w:left="60" w:right="559" w:firstLine="270"/>
        <w:spacing w:after="0" w:line="297" w:lineRule="auto"/>
        <w:rPr>
          <w:sz w:val="20"/>
          <w:szCs w:val="20"/>
          <w:color w:val="auto"/>
        </w:rPr>
      </w:pPr>
      <w:r>
        <w:rPr>
          <w:rFonts w:ascii="Arial" w:cs="Arial" w:eastAsia="Arial" w:hAnsi="Arial"/>
          <w:sz w:val="16"/>
          <w:szCs w:val="16"/>
          <w:color w:val="auto"/>
        </w:rPr>
        <w:t>The Credit Facility matures on December 31, 2016, and bears interest at a per annum rate equal to the greater of (i) the prime rate plus 4.75% or (ii) 8.0% on amounts drawn under the Credit Facility based on a 360-day year. In addition, a fee of $180,000 per annum (1.0% of the $18 million revolving line of credit) is charged under the Loan Agreement. Under the terms of the Credit Facility, the Company must repay all outstanding borrowings so that there is at least one 30-day period every 12 months during which the Company has no balance outstanding. Under the Loan Agreement, the Company has made certain customary</w:t>
      </w:r>
    </w:p>
    <w:p>
      <w:pPr>
        <w:spacing w:after="0" w:line="200" w:lineRule="exact"/>
        <w:rPr>
          <w:sz w:val="20"/>
          <w:szCs w:val="20"/>
          <w:color w:val="auto"/>
        </w:rPr>
      </w:pPr>
    </w:p>
    <w:p>
      <w:pPr>
        <w:spacing w:after="0" w:line="29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3" w:name="page44"/>
    <w:bookmarkEnd w:id="4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LONG-TERM LIABILITIES – (continued)</w:t>
      </w:r>
    </w:p>
    <w:p>
      <w:pPr>
        <w:spacing w:after="0" w:line="121" w:lineRule="exact"/>
        <w:rPr>
          <w:sz w:val="20"/>
          <w:szCs w:val="20"/>
          <w:color w:val="auto"/>
        </w:rPr>
      </w:pPr>
    </w:p>
    <w:p>
      <w:pPr>
        <w:ind w:left="60" w:right="559"/>
        <w:spacing w:after="0" w:line="257" w:lineRule="auto"/>
        <w:rPr>
          <w:sz w:val="20"/>
          <w:szCs w:val="20"/>
          <w:color w:val="auto"/>
        </w:rPr>
      </w:pPr>
      <w:r>
        <w:rPr>
          <w:rFonts w:ascii="Arial" w:cs="Arial" w:eastAsia="Arial" w:hAnsi="Arial"/>
          <w:sz w:val="18"/>
          <w:szCs w:val="18"/>
          <w:color w:val="auto"/>
        </w:rPr>
        <w:t>representations and warranties and is required to comply with various covenants, reporting requirements, and other customary requirements for similar credit facilities. The Loan Agreement includes usual and customary events of default for credit facilities of this nature, including, without limitation, nonpayment, misrepresentation of representations and warranties in a material respect, breach of covenant, cross-default to certain other indebtedness, bankruptcy, change of control, and the occurrence of a material adverse effect.</w:t>
      </w:r>
    </w:p>
    <w:p>
      <w:pPr>
        <w:spacing w:after="0" w:line="80" w:lineRule="exact"/>
        <w:rPr>
          <w:sz w:val="20"/>
          <w:szCs w:val="20"/>
          <w:color w:val="auto"/>
        </w:rPr>
      </w:pPr>
    </w:p>
    <w:p>
      <w:pPr>
        <w:ind w:left="60" w:right="519" w:firstLine="270"/>
        <w:spacing w:after="0" w:line="272" w:lineRule="auto"/>
        <w:rPr>
          <w:sz w:val="20"/>
          <w:szCs w:val="20"/>
          <w:color w:val="auto"/>
        </w:rPr>
      </w:pPr>
      <w:r>
        <w:rPr>
          <w:rFonts w:ascii="Arial" w:cs="Arial" w:eastAsia="Arial" w:hAnsi="Arial"/>
          <w:sz w:val="17"/>
          <w:szCs w:val="17"/>
          <w:color w:val="auto"/>
        </w:rPr>
        <w:t>The Credit Facility is secured by all of the Company’s property and assets, except for the Company’s assets pledged to secure certain obligations in connection with the Company’s issuance of the Convertible Senior Notes and, as provided for in the Loan Agreement, as may be pledged in connection with any future issuance by the Company of Convertible Senior Notes on substantially similar terms. As of June 30, 2016, the Company had $3,500,000 in borrowings under the Credit Facility. For the three and six months ended June 30, 2016, the Company had average borrowings outstanding under the Credit Facility of $153,846 and $76,923, respectively. For the three and six months ended June 30, 2015, the Company had average borrowings outstanding under the Credit Facility of $2,373,626 and $7,486,188, respectively.</w:t>
      </w:r>
    </w:p>
    <w:p>
      <w:pPr>
        <w:spacing w:after="0" w:line="70" w:lineRule="exact"/>
        <w:rPr>
          <w:sz w:val="20"/>
          <w:szCs w:val="20"/>
          <w:color w:val="auto"/>
        </w:rPr>
      </w:pPr>
    </w:p>
    <w:p>
      <w:pPr>
        <w:ind w:left="60" w:right="539" w:firstLine="270"/>
        <w:spacing w:after="0" w:line="264" w:lineRule="auto"/>
        <w:rPr>
          <w:sz w:val="20"/>
          <w:szCs w:val="20"/>
          <w:color w:val="auto"/>
        </w:rPr>
      </w:pPr>
      <w:r>
        <w:rPr>
          <w:rFonts w:ascii="Arial" w:cs="Arial" w:eastAsia="Arial" w:hAnsi="Arial"/>
          <w:sz w:val="18"/>
          <w:szCs w:val="18"/>
          <w:color w:val="auto"/>
        </w:rPr>
        <w:t>Borrowing under the Credit Facility is subject to the leverage restrictions contained in the 1940 Act. In addition, under the Loan Agreement, and as provided for therein, the Company has agreed not to incur certain additional permitted indebtedness in an aggregate amount exceeding 50% of the Company’s then-applicable net asset value.</w:t>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June 30, 2016 through August 9, 2016, the Company did not purchase any investments.</w:t>
      </w:r>
    </w:p>
    <w:p>
      <w:pPr>
        <w:spacing w:after="0" w:line="117" w:lineRule="exact"/>
        <w:rPr>
          <w:sz w:val="20"/>
          <w:szCs w:val="20"/>
          <w:color w:val="auto"/>
        </w:rPr>
      </w:pPr>
    </w:p>
    <w:p>
      <w:pPr>
        <w:ind w:left="60" w:right="519" w:firstLine="270"/>
        <w:spacing w:after="0" w:line="277" w:lineRule="auto"/>
        <w:rPr>
          <w:sz w:val="20"/>
          <w:szCs w:val="20"/>
          <w:color w:val="auto"/>
        </w:rPr>
      </w:pPr>
      <w:r>
        <w:rPr>
          <w:rFonts w:ascii="Arial" w:cs="Arial" w:eastAsia="Arial" w:hAnsi="Arial"/>
          <w:sz w:val="18"/>
          <w:szCs w:val="18"/>
          <w:color w:val="auto"/>
        </w:rPr>
        <w:t>From June 30, 2016 through August 9, 2016, the Company sold investments of $16,978,469 net of transaction costs as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714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6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Shares Sold</w:t>
            </w:r>
          </w:p>
        </w:tc>
        <w:tc>
          <w:tcPr>
            <w:tcW w:w="1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Net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Net Proceeds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6"/>
        </w:trPr>
        <w:tc>
          <w:tcPr>
            <w:tcW w:w="244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line="176" w:lineRule="exact"/>
              <w:rPr>
                <w:sz w:val="20"/>
                <w:szCs w:val="20"/>
                <w:color w:val="auto"/>
              </w:rPr>
            </w:pPr>
            <w:r>
              <w:rPr>
                <w:rFonts w:ascii="Arial" w:cs="Arial" w:eastAsia="Arial" w:hAnsi="Arial"/>
                <w:sz w:val="13"/>
                <w:szCs w:val="13"/>
                <w:b w:val="1"/>
                <w:bCs w:val="1"/>
                <w:color w:val="auto"/>
              </w:rPr>
              <w:t>Share Price</w:t>
            </w:r>
            <w:r>
              <w:rPr>
                <w:rFonts w:ascii="Arial" w:cs="Arial" w:eastAsia="Arial" w:hAnsi="Arial"/>
                <w:sz w:val="20"/>
                <w:szCs w:val="20"/>
                <w:b w:val="1"/>
                <w:bCs w:val="1"/>
                <w:color w:val="auto"/>
                <w:vertAlign w:val="superscript"/>
              </w:rPr>
              <w:t>(1)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210"/>
        </w:trPr>
        <w:tc>
          <w:tcPr>
            <w:tcW w:w="24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8, 2016</w:t>
            </w:r>
          </w:p>
        </w:tc>
        <w:tc>
          <w:tcPr>
            <w:tcW w:w="11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500,000</w:t>
            </w:r>
          </w:p>
        </w:tc>
        <w:tc>
          <w:tcPr>
            <w:tcW w:w="4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9,019,053</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259,477</w:t>
            </w:r>
          </w:p>
        </w:tc>
        <w:tc>
          <w:tcPr>
            <w:tcW w:w="0" w:type="dxa"/>
            <w:vAlign w:val="bottom"/>
          </w:tcPr>
          <w:p>
            <w:pPr>
              <w:spacing w:after="0"/>
              <w:rPr>
                <w:sz w:val="1"/>
                <w:szCs w:val="1"/>
                <w:color w:val="auto"/>
              </w:rPr>
            </w:pPr>
          </w:p>
        </w:tc>
      </w:tr>
      <w:tr>
        <w:trPr>
          <w:trHeight w:val="216"/>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July 25, 2016</w:t>
            </w: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300,600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18.49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5,559,416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47,126</w:t>
            </w:r>
          </w:p>
        </w:tc>
        <w:tc>
          <w:tcPr>
            <w:tcW w:w="0" w:type="dxa"/>
            <w:vAlign w:val="bottom"/>
          </w:tcPr>
          <w:p>
            <w:pPr>
              <w:spacing w:after="0"/>
              <w:rPr>
                <w:sz w:val="1"/>
                <w:szCs w:val="1"/>
                <w:color w:val="auto"/>
              </w:rPr>
            </w:pPr>
          </w:p>
        </w:tc>
      </w:tr>
      <w:tr>
        <w:trPr>
          <w:trHeight w:val="216"/>
        </w:trPr>
        <w:tc>
          <w:tcPr>
            <w:tcW w:w="2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29, 2016</w:t>
            </w:r>
          </w:p>
        </w:tc>
        <w:tc>
          <w:tcPr>
            <w:tcW w:w="1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100,000</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1,383,880</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gridSpan w:val="3"/>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16,978,469</w:t>
            </w:r>
          </w:p>
        </w:tc>
        <w:tc>
          <w:tcPr>
            <w:tcW w:w="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1,690,483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-359410</wp:posOffset>
            </wp:positionV>
            <wp:extent cx="5213985" cy="1803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4580" w:right="1659" w:hanging="4552"/>
        <w:spacing w:after="0" w:line="935" w:lineRule="auto"/>
        <w:tabs>
          <w:tab w:leader="none" w:pos="29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average net share price is the net share price realized after deducting all commissions and fees on the sale(s).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-289560</wp:posOffset>
            </wp:positionV>
            <wp:extent cx="611441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GSV CAPITAL CORP. AND SUBSIDIARIES</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June 30, 2016</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 SUBSEQUENT EVENTS – (continued)</w:t>
      </w:r>
    </w:p>
    <w:p>
      <w:pPr>
        <w:spacing w:after="0" w:line="121" w:lineRule="exact"/>
        <w:rPr>
          <w:sz w:val="20"/>
          <w:szCs w:val="20"/>
          <w:color w:val="auto"/>
        </w:rPr>
      </w:pPr>
    </w:p>
    <w:p>
      <w:pPr>
        <w:ind w:left="40" w:right="679" w:firstLine="270"/>
        <w:spacing w:after="0" w:line="272"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 From June 30, 2016 through August 9, 2016, the Company made no such escrow deposits.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Dividends</w:t>
      </w:r>
    </w:p>
    <w:p>
      <w:pPr>
        <w:spacing w:after="0" w:line="117" w:lineRule="exact"/>
        <w:rPr>
          <w:sz w:val="20"/>
          <w:szCs w:val="20"/>
          <w:color w:val="auto"/>
        </w:rPr>
      </w:pPr>
    </w:p>
    <w:p>
      <w:pPr>
        <w:ind w:left="40" w:right="839" w:firstLine="270"/>
        <w:spacing w:after="0" w:line="277" w:lineRule="auto"/>
        <w:rPr>
          <w:sz w:val="20"/>
          <w:szCs w:val="20"/>
          <w:color w:val="auto"/>
        </w:rPr>
      </w:pPr>
      <w:r>
        <w:rPr>
          <w:rFonts w:ascii="Arial" w:cs="Arial" w:eastAsia="Arial" w:hAnsi="Arial"/>
          <w:sz w:val="18"/>
          <w:szCs w:val="18"/>
          <w:color w:val="auto"/>
        </w:rPr>
        <w:t>On August 3, 2016, the Company’s board of directors declared a dividend of $0.04 per share payable on August 24, 2016 to stockholders of record at the close of business on August 16, 2016.</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right="2619"/>
        <w:spacing w:after="0" w:line="40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left="40" w:right="579" w:firstLine="270"/>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50" w:lineRule="exact"/>
        <w:rPr>
          <w:sz w:val="20"/>
          <w:szCs w:val="20"/>
          <w:color w:val="auto"/>
        </w:rPr>
      </w:pPr>
    </w:p>
    <w:p>
      <w:pPr>
        <w:ind w:left="40" w:right="959" w:firstLine="270"/>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statements as to:</w:t>
      </w:r>
    </w:p>
    <w:p>
      <w:pPr>
        <w:spacing w:after="0" w:line="62" w:lineRule="exact"/>
        <w:rPr>
          <w:sz w:val="20"/>
          <w:szCs w:val="20"/>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dependence of our future success on the general economy and its impact on the industries in which we invest;</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17" w:lineRule="exact"/>
        <w:rPr>
          <w:sz w:val="20"/>
          <w:szCs w:val="20"/>
          <w:color w:val="auto"/>
        </w:rPr>
      </w:pPr>
    </w:p>
    <w:p>
      <w:pPr>
        <w:jc w:val="both"/>
        <w:ind w:left="40" w:right="879" w:firstLine="270"/>
        <w:spacing w:after="0" w:line="264"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3" w:lineRule="exact"/>
        <w:rPr>
          <w:sz w:val="20"/>
          <w:szCs w:val="20"/>
          <w:color w:val="auto"/>
        </w:rPr>
      </w:pPr>
    </w:p>
    <w:p>
      <w:pPr>
        <w:ind w:left="600" w:right="63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equity investments in such portfolio companies;</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investment activities;</w:t>
      </w:r>
    </w:p>
    <w:p>
      <w:pPr>
        <w:spacing w:after="0" w:line="117" w:lineRule="exact"/>
        <w:rPr>
          <w:rFonts w:ascii="Arial" w:cs="Arial" w:eastAsia="Arial" w:hAnsi="Arial"/>
          <w:sz w:val="18"/>
          <w:szCs w:val="18"/>
          <w:color w:val="auto"/>
        </w:rPr>
      </w:pPr>
    </w:p>
    <w:p>
      <w:pPr>
        <w:ind w:left="600" w:right="93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“Risk Factors” in our annual report on Form 10-K and in our filings with the SEC.</w:t>
      </w:r>
    </w:p>
    <w:p>
      <w:pPr>
        <w:spacing w:after="0" w:line="62"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annual report on Form 10-K, in the “Risk Factors” section. You should not place undue reliance on these forward-looking statements, which apply only as of the date of this quarterly report on Form 10-Q.</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799" w:firstLine="270"/>
        <w:spacing w:after="0" w:line="342" w:lineRule="auto"/>
        <w:rPr>
          <w:sz w:val="20"/>
          <w:szCs w:val="20"/>
          <w:color w:val="auto"/>
        </w:rPr>
      </w:pPr>
      <w:r>
        <w:rPr>
          <w:rFonts w:ascii="Arial" w:cs="Arial" w:eastAsia="Arial" w:hAnsi="Arial"/>
          <w:sz w:val="16"/>
          <w:szCs w:val="16"/>
          <w:color w:val="auto"/>
        </w:rPr>
        <w:t>The following analysis of our financial condition and results of operations should be read in conjunction with our condensed consolidated financial statements and the related notes thereto contained elsewhere in this quarterly report on Form 10-Q.</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39" w:firstLine="270"/>
        <w:spacing w:after="0" w:line="286" w:lineRule="auto"/>
        <w:rPr>
          <w:sz w:val="20"/>
          <w:szCs w:val="20"/>
          <w:color w:val="auto"/>
        </w:rPr>
      </w:pPr>
      <w:r>
        <w:rPr>
          <w:rFonts w:ascii="Arial" w:cs="Arial" w:eastAsia="Arial" w:hAnsi="Arial"/>
          <w:sz w:val="16"/>
          <w:szCs w:val="16"/>
          <w:color w:val="auto"/>
        </w:rPr>
        <w:t>We are an externally managed, non-diversified closed-end management investment company that has elected to be regulated as a business development company under the 1940 Act. 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have also invested, on an opportunistic basis, in select publicly traded equity securities of rapidly growing companies that otherwise meet our investment criteria, and may continue to do so in the future. In addition, while we invest primarily in U.S. companies, we may invest on an opportunistic basis in certain non-U.S. companies that otherwise meet our investment criteria. In regards to the regulatory requirements for business development companies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64" w:lineRule="exact"/>
        <w:rPr>
          <w:sz w:val="20"/>
          <w:szCs w:val="20"/>
          <w:color w:val="auto"/>
        </w:rPr>
      </w:pPr>
    </w:p>
    <w:p>
      <w:pPr>
        <w:ind w:left="40" w:right="599" w:firstLine="270"/>
        <w:spacing w:after="0" w:line="312" w:lineRule="auto"/>
        <w:rPr>
          <w:sz w:val="20"/>
          <w:szCs w:val="20"/>
          <w:color w:val="auto"/>
        </w:rPr>
      </w:pPr>
      <w:r>
        <w:rPr>
          <w:rFonts w:ascii="Arial" w:cs="Arial" w:eastAsia="Arial" w:hAnsi="Arial"/>
          <w:sz w:val="16"/>
          <w:szCs w:val="16"/>
          <w:color w:val="auto"/>
        </w:rPr>
        <w:t>We acquire our investments in portfolio companies through: offerings of the prospective portfolio companies, transactions on secondary marketplaces for private companies, or negotiations with selling stockholders. Our investment activities are managed by GSV Asset Management. GSV Capital Service Company provides the administrative services necessary for us to operate.</w:t>
      </w:r>
    </w:p>
    <w:p>
      <w:pPr>
        <w:spacing w:after="0" w:line="39" w:lineRule="exact"/>
        <w:rPr>
          <w:sz w:val="20"/>
          <w:szCs w:val="20"/>
          <w:color w:val="auto"/>
        </w:rPr>
      </w:pPr>
    </w:p>
    <w:p>
      <w:pPr>
        <w:ind w:left="40" w:right="579" w:firstLine="270"/>
        <w:spacing w:after="0" w:line="272" w:lineRule="auto"/>
        <w:rPr>
          <w:sz w:val="20"/>
          <w:szCs w:val="20"/>
          <w:color w:val="auto"/>
        </w:rPr>
      </w:pPr>
      <w:r>
        <w:rPr>
          <w:rFonts w:ascii="Arial" w:cs="Arial" w:eastAsia="Arial" w:hAnsi="Arial"/>
          <w:sz w:val="17"/>
          <w:szCs w:val="17"/>
          <w:color w:val="auto"/>
        </w:rPr>
        <w:t>Our investment philosophy is premised on a disciplined approach of identifying high-growth emerging companies across several key industry themes which may include, among others, social mobile, cloud computing and big data, internet commerce, sustainability and education technology. GSV Asset Management’s investment decisions are based on a disciplined analysis of available information regarding each potential portfolio company’s business operations, focusing on the company’s growth potential, the quality of recurring revenues and cash flow and cost structures, as well as an understanding of key market fundamentals. Many of the companies that our investment adviser, GSV Asset Management, evaluates have financial backing from top-tier venture capital funds or other financial or strategic sponsors.</w:t>
      </w:r>
    </w:p>
    <w:p>
      <w:pPr>
        <w:spacing w:after="0" w:line="70" w:lineRule="exact"/>
        <w:rPr>
          <w:sz w:val="20"/>
          <w:szCs w:val="20"/>
          <w:color w:val="auto"/>
        </w:rPr>
      </w:pPr>
    </w:p>
    <w:p>
      <w:pPr>
        <w:ind w:left="40" w:right="519" w:firstLine="270"/>
        <w:spacing w:after="0" w:line="273" w:lineRule="auto"/>
        <w:rPr>
          <w:sz w:val="20"/>
          <w:szCs w:val="20"/>
          <w:color w:val="auto"/>
        </w:rPr>
      </w:pPr>
      <w:r>
        <w:rPr>
          <w:rFonts w:ascii="Arial" w:cs="Arial" w:eastAsia="Arial" w:hAnsi="Arial"/>
          <w:sz w:val="17"/>
          <w:szCs w:val="17"/>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common stock and are generally convertible into common stock at our discretion. Our investments generally do not produce current income and therefore we may be dependent on future capital raising to meet our operating needs if no other source of liquidity is available.</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7" w:name="page48"/>
    <w:bookmarkEnd w:id="4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 — (Portfolio Activity)</w:t>
      </w:r>
    </w:p>
    <w:p>
      <w:pPr>
        <w:spacing w:after="0" w:line="117" w:lineRule="exact"/>
        <w:rPr>
          <w:sz w:val="20"/>
          <w:szCs w:val="20"/>
          <w:color w:val="auto"/>
        </w:rPr>
      </w:pPr>
    </w:p>
    <w:p>
      <w:pPr>
        <w:ind w:left="60" w:right="599" w:firstLine="270"/>
        <w:spacing w:after="0" w:line="291" w:lineRule="auto"/>
        <w:rPr>
          <w:sz w:val="20"/>
          <w:szCs w:val="20"/>
          <w:color w:val="auto"/>
        </w:rPr>
      </w:pPr>
      <w:r>
        <w:rPr>
          <w:rFonts w:ascii="Arial" w:cs="Arial" w:eastAsia="Arial" w:hAnsi="Arial"/>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June 30, 2016, of all of our portfolio investments, excluding U.S. Treasury Bills and Strips, was $313,024,918. The following table summarizes the investment purchases we funded during the six months ended June 30, 2016. “Total Gross Payments” include both the actual cost of an investment as well as capitalized costs (such as legal and other fees) associated with entering into a portfolio company investment. Refer to “Note 1 — Nature of Operations and Significant Accounting Policies” to our condensed consolidated financial statements as of June 30, 2016 for further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518858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2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Quarter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Fundings by Portfolio Company (Industry)</w:t>
            </w: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0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Curious.com Inc. (Online Education)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$ 2,000,003</w:t>
            </w:r>
          </w:p>
        </w:tc>
        <w:tc>
          <w:tcPr>
            <w:tcW w:w="3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2,000,003</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Fullbridge, Inc. (Business Education)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Lytro, Inc. (Light Field Imaging Platform)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2,500,001</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2,500,001</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NestGSV, Inc. (d/b/a GSV Labs, Inc.) (Incubator)</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Snapchat, Inc. (Social Communication)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3,999,990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3,999,990</w:t>
            </w:r>
          </w:p>
        </w:tc>
        <w:tc>
          <w:tcPr>
            <w:tcW w:w="0" w:type="dxa"/>
            <w:vAlign w:val="bottom"/>
          </w:tcPr>
          <w:p>
            <w:pPr>
              <w:spacing w:after="0"/>
              <w:rPr>
                <w:sz w:val="1"/>
                <w:szCs w:val="1"/>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Capitalized Fees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8,160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Payments</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$ 6,005,951</w:t>
            </w:r>
          </w:p>
        </w:tc>
        <w:tc>
          <w:tcPr>
            <w:tcW w:w="22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4,508,150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10,514,101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-33655</wp:posOffset>
            </wp:positionV>
            <wp:extent cx="5213985"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74" w:lineRule="exact"/>
        <w:rPr>
          <w:sz w:val="20"/>
          <w:szCs w:val="20"/>
          <w:color w:val="auto"/>
        </w:rPr>
      </w:pPr>
    </w:p>
    <w:p>
      <w:pPr>
        <w:ind w:left="60" w:right="1359" w:firstLine="270"/>
        <w:spacing w:after="0" w:line="277" w:lineRule="auto"/>
        <w:rPr>
          <w:sz w:val="20"/>
          <w:szCs w:val="20"/>
          <w:color w:val="auto"/>
        </w:rPr>
      </w:pPr>
      <w:r>
        <w:rPr>
          <w:rFonts w:ascii="Arial" w:cs="Arial" w:eastAsia="Arial" w:hAnsi="Arial"/>
          <w:sz w:val="18"/>
          <w:szCs w:val="18"/>
          <w:color w:val="auto"/>
        </w:rPr>
        <w:t>The tables below summarize the portfolio investments we sold during the six months ended June 30,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7144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0"/>
          </w:tcPr>
          <w:p>
            <w:pPr>
              <w:jc w:val="right"/>
              <w:ind w:right="542"/>
              <w:spacing w:after="0"/>
              <w:rPr>
                <w:sz w:val="20"/>
                <w:szCs w:val="20"/>
                <w:color w:val="auto"/>
              </w:rPr>
            </w:pPr>
            <w:r>
              <w:rPr>
                <w:rFonts w:ascii="Arial" w:cs="Arial" w:eastAsia="Arial" w:hAnsi="Arial"/>
                <w:sz w:val="14"/>
                <w:szCs w:val="14"/>
                <w:b w:val="1"/>
                <w:bCs w:val="1"/>
                <w:color w:val="auto"/>
              </w:rPr>
              <w:t>Six months ended June 30, 2016</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Realized</w:t>
            </w:r>
          </w:p>
        </w:tc>
      </w:tr>
      <w:tr>
        <w:trPr>
          <w:trHeight w:val="172"/>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Average Net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8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Gains/</w:t>
            </w:r>
          </w:p>
        </w:tc>
      </w:tr>
      <w:tr>
        <w:trPr>
          <w:trHeight w:val="188"/>
        </w:trPr>
        <w:tc>
          <w:tcPr>
            <w:tcW w:w="2640" w:type="dxa"/>
            <w:vAlign w:val="bottom"/>
            <w:gridSpan w:val="6"/>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Shares Sold</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3"/>
          </w:tcPr>
          <w:p>
            <w:pPr>
              <w:ind w:left="20"/>
              <w:spacing w:after="0" w:line="188" w:lineRule="exact"/>
              <w:rPr>
                <w:sz w:val="20"/>
                <w:szCs w:val="20"/>
                <w:color w:val="auto"/>
              </w:rPr>
            </w:pPr>
            <w:r>
              <w:rPr>
                <w:rFonts w:ascii="Arial" w:cs="Arial" w:eastAsia="Arial" w:hAnsi="Arial"/>
                <w:sz w:val="13"/>
                <w:szCs w:val="13"/>
                <w:b w:val="1"/>
                <w:bCs w:val="1"/>
                <w:color w:val="auto"/>
                <w:w w:val="94"/>
              </w:rPr>
              <w:t>Share Price</w:t>
            </w:r>
            <w:r>
              <w:rPr>
                <w:rFonts w:ascii="Arial" w:cs="Arial" w:eastAsia="Arial" w:hAnsi="Arial"/>
                <w:sz w:val="21"/>
                <w:szCs w:val="21"/>
                <w:b w:val="1"/>
                <w:bCs w:val="1"/>
                <w:color w:val="auto"/>
                <w:w w:val="94"/>
                <w:vertAlign w:val="superscript"/>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22"/>
              <w:spacing w:after="0"/>
              <w:rPr>
                <w:sz w:val="20"/>
                <w:szCs w:val="20"/>
                <w:color w:val="auto"/>
              </w:rPr>
            </w:pPr>
            <w:r>
              <w:rPr>
                <w:rFonts w:ascii="Arial" w:cs="Arial" w:eastAsia="Arial" w:hAnsi="Arial"/>
                <w:sz w:val="14"/>
                <w:szCs w:val="14"/>
                <w:b w:val="1"/>
                <w:bCs w:val="1"/>
                <w:color w:val="auto"/>
              </w:rPr>
              <w:t>Proceeds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20"/>
              <w:spacing w:after="0" w:line="188" w:lineRule="exact"/>
              <w:rPr>
                <w:sz w:val="20"/>
                <w:szCs w:val="20"/>
                <w:color w:val="auto"/>
              </w:rPr>
            </w:pPr>
            <w:r>
              <w:rPr>
                <w:rFonts w:ascii="Arial" w:cs="Arial" w:eastAsia="Arial" w:hAnsi="Arial"/>
                <w:sz w:val="13"/>
                <w:szCs w:val="13"/>
                <w:b w:val="1"/>
                <w:bCs w:val="1"/>
                <w:color w:val="auto"/>
                <w:w w:val="90"/>
              </w:rPr>
              <w:t>(Losses)</w:t>
            </w:r>
            <w:r>
              <w:rPr>
                <w:rFonts w:ascii="Arial" w:cs="Arial" w:eastAsia="Arial" w:hAnsi="Arial"/>
                <w:sz w:val="21"/>
                <w:szCs w:val="21"/>
                <w:b w:val="1"/>
                <w:bCs w:val="1"/>
                <w:color w:val="auto"/>
                <w:w w:val="90"/>
                <w:vertAlign w:val="superscript"/>
              </w:rPr>
              <w:t>(2)</w:t>
            </w:r>
          </w:p>
        </w:tc>
      </w:tr>
      <w:tr>
        <w:trPr>
          <w:trHeight w:val="210"/>
        </w:trPr>
        <w:tc>
          <w:tcPr>
            <w:tcW w:w="24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Bloom Energy Corporation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March 31, 2016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201,589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ind w:right="2"/>
              <w:spacing w:after="0"/>
              <w:rPr>
                <w:sz w:val="20"/>
                <w:szCs w:val="20"/>
                <w:color w:val="auto"/>
              </w:rPr>
            </w:pPr>
            <w:r>
              <w:rPr>
                <w:rFonts w:ascii="Arial" w:cs="Arial" w:eastAsia="Arial" w:hAnsi="Arial"/>
                <w:sz w:val="18"/>
                <w:szCs w:val="18"/>
                <w:color w:val="auto"/>
                <w:w w:val="86"/>
              </w:rPr>
              <w:t>$ 2,973,438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(882,162)</w:t>
            </w:r>
          </w:p>
        </w:tc>
      </w:tr>
      <w:tr>
        <w:trPr>
          <w:trHeight w:val="257"/>
        </w:trPr>
        <w:tc>
          <w:tcPr>
            <w:tcW w:w="2640" w:type="dxa"/>
            <w:vAlign w:val="bottom"/>
            <w:gridSpan w:val="6"/>
            <w:shd w:val="clear" w:color="auto" w:fill="CCEEFF"/>
          </w:tcPr>
          <w:p>
            <w:pPr>
              <w:ind w:left="20"/>
              <w:spacing w:after="0" w:line="256" w:lineRule="exact"/>
              <w:rPr>
                <w:sz w:val="20"/>
                <w:szCs w:val="20"/>
                <w:color w:val="auto"/>
              </w:rPr>
            </w:pPr>
            <w:r>
              <w:rPr>
                <w:rFonts w:ascii="Arial" w:cs="Arial" w:eastAsia="Arial" w:hAnsi="Arial"/>
                <w:sz w:val="18"/>
                <w:szCs w:val="18"/>
                <w:color w:val="auto"/>
              </w:rPr>
              <w:t>Gilt Groupe Holdings, Inc.</w:t>
            </w:r>
            <w:r>
              <w:rPr>
                <w:rFonts w:ascii="Arial" w:cs="Arial" w:eastAsia="Arial" w:hAnsi="Arial"/>
                <w:sz w:val="29"/>
                <w:szCs w:val="29"/>
                <w:color w:val="auto"/>
                <w:vertAlign w:val="superscript"/>
              </w:rPr>
              <w:t>(3)</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31, 2016</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248,600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3"/>
            <w:shd w:val="clear" w:color="auto" w:fill="CCEEFF"/>
          </w:tcPr>
          <w:p>
            <w:pPr>
              <w:jc w:val="right"/>
              <w:ind w:right="2"/>
              <w:spacing w:after="0"/>
              <w:rPr>
                <w:sz w:val="20"/>
                <w:szCs w:val="20"/>
                <w:color w:val="auto"/>
              </w:rPr>
            </w:pPr>
            <w:r>
              <w:rPr>
                <w:rFonts w:ascii="Arial" w:cs="Arial" w:eastAsia="Arial" w:hAnsi="Arial"/>
                <w:sz w:val="18"/>
                <w:szCs w:val="18"/>
                <w:color w:val="auto"/>
              </w:rPr>
              <w:t>427,270</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(6,167,164)</w:t>
            </w:r>
          </w:p>
        </w:tc>
      </w:tr>
      <w:tr>
        <w:trPr>
          <w:trHeight w:val="216"/>
        </w:trPr>
        <w:tc>
          <w:tcPr>
            <w:tcW w:w="2640" w:type="dxa"/>
            <w:vAlign w:val="bottom"/>
            <w:gridSpan w:val="6"/>
          </w:tcPr>
          <w:p>
            <w:pPr>
              <w:ind w:left="20"/>
              <w:spacing w:after="0"/>
              <w:rPr>
                <w:sz w:val="20"/>
                <w:szCs w:val="20"/>
                <w:color w:val="auto"/>
              </w:rPr>
            </w:pPr>
            <w:r>
              <w:rPr>
                <w:rFonts w:ascii="Arial" w:cs="Arial" w:eastAsia="Arial" w:hAnsi="Arial"/>
                <w:sz w:val="18"/>
                <w:szCs w:val="18"/>
                <w:color w:val="auto"/>
              </w:rPr>
              <w:t>Lyft, Inc.</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1"/>
              </w:rPr>
              <w:t>March 31, 2016</w:t>
            </w:r>
          </w:p>
        </w:tc>
        <w:tc>
          <w:tcPr>
            <w:tcW w:w="940" w:type="dxa"/>
            <w:vAlign w:val="bottom"/>
            <w:gridSpan w:val="4"/>
          </w:tcPr>
          <w:p>
            <w:pPr>
              <w:jc w:val="right"/>
              <w:ind w:right="60"/>
              <w:spacing w:after="0"/>
              <w:rPr>
                <w:sz w:val="20"/>
                <w:szCs w:val="20"/>
                <w:color w:val="auto"/>
              </w:rPr>
            </w:pPr>
            <w:r>
              <w:rPr>
                <w:rFonts w:ascii="Arial" w:cs="Arial" w:eastAsia="Arial" w:hAnsi="Arial"/>
                <w:sz w:val="18"/>
                <w:szCs w:val="18"/>
                <w:color w:val="auto"/>
              </w:rPr>
              <w:t>65,557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1080" w:type="dxa"/>
            <w:vAlign w:val="bottom"/>
            <w:gridSpan w:val="3"/>
          </w:tcPr>
          <w:p>
            <w:pPr>
              <w:jc w:val="right"/>
              <w:ind w:right="2"/>
              <w:spacing w:after="0"/>
              <w:rPr>
                <w:sz w:val="20"/>
                <w:szCs w:val="20"/>
                <w:color w:val="auto"/>
              </w:rPr>
            </w:pPr>
            <w:r>
              <w:rPr>
                <w:rFonts w:ascii="Arial" w:cs="Arial" w:eastAsia="Arial" w:hAnsi="Arial"/>
                <w:sz w:val="18"/>
                <w:szCs w:val="18"/>
                <w:color w:val="auto"/>
              </w:rPr>
              <w:t>1,638,925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974,224</w:t>
            </w:r>
          </w:p>
        </w:tc>
        <w:tc>
          <w:tcPr>
            <w:tcW w:w="80" w:type="dxa"/>
            <w:vAlign w:val="bottom"/>
          </w:tcPr>
          <w:p>
            <w:pPr>
              <w:spacing w:after="0"/>
              <w:rPr>
                <w:sz w:val="18"/>
                <w:szCs w:val="18"/>
                <w:color w:val="auto"/>
              </w:rPr>
            </w:pPr>
          </w:p>
        </w:tc>
      </w:tr>
      <w:tr>
        <w:trPr>
          <w:trHeight w:val="216"/>
        </w:trPr>
        <w:tc>
          <w:tcPr>
            <w:tcW w:w="26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June 30, 2016</w:t>
            </w: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81,667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1,932,965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1,104,244</w:t>
            </w:r>
          </w:p>
        </w:tc>
        <w:tc>
          <w:tcPr>
            <w:tcW w:w="80" w:type="dxa"/>
            <w:vAlign w:val="bottom"/>
            <w:shd w:val="clear" w:color="auto" w:fill="CCEEFF"/>
          </w:tcPr>
          <w:p>
            <w:pPr>
              <w:spacing w:after="0"/>
              <w:rPr>
                <w:sz w:val="18"/>
                <w:szCs w:val="18"/>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640" w:type="dxa"/>
            <w:vAlign w:val="bottom"/>
            <w:gridSpan w:val="6"/>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2"/>
              <w:spacing w:after="0"/>
              <w:rPr>
                <w:sz w:val="20"/>
                <w:szCs w:val="20"/>
                <w:color w:val="auto"/>
              </w:rPr>
            </w:pPr>
            <w:r>
              <w:rPr>
                <w:rFonts w:ascii="Arial" w:cs="Arial" w:eastAsia="Arial" w:hAnsi="Arial"/>
                <w:sz w:val="18"/>
                <w:szCs w:val="18"/>
                <w:color w:val="auto"/>
              </w:rPr>
              <w:t>$ 6,972,598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(4,970,858)</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right"/>
              <w:ind w:right="582"/>
              <w:spacing w:after="0"/>
              <w:rPr>
                <w:sz w:val="20"/>
                <w:szCs w:val="20"/>
                <w:color w:val="auto"/>
              </w:rPr>
            </w:pPr>
            <w:r>
              <w:rPr>
                <w:rFonts w:ascii="Arial" w:cs="Arial" w:eastAsia="Arial" w:hAnsi="Arial"/>
                <w:sz w:val="14"/>
                <w:szCs w:val="14"/>
                <w:b w:val="1"/>
                <w:bCs w:val="1"/>
                <w:color w:val="auto"/>
              </w:rPr>
              <w:t>Six months ended June 30, 2015</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43"/>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ind w:left="60"/>
              <w:spacing w:after="0" w:line="143" w:lineRule="exact"/>
              <w:rPr>
                <w:sz w:val="20"/>
                <w:szCs w:val="20"/>
                <w:color w:val="auto"/>
              </w:rPr>
            </w:pPr>
            <w:r>
              <w:rPr>
                <w:rFonts w:ascii="Arial" w:cs="Arial" w:eastAsia="Arial" w:hAnsi="Arial"/>
                <w:sz w:val="14"/>
                <w:szCs w:val="14"/>
                <w:b w:val="1"/>
                <w:bCs w:val="1"/>
                <w:color w:val="auto"/>
              </w:rPr>
              <w:t>Average Net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302"/>
              <w:spacing w:after="0" w:line="143" w:lineRule="exact"/>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4"/>
              </w:rPr>
              <w:t>Realized</w:t>
            </w:r>
          </w:p>
        </w:tc>
      </w:tr>
      <w:tr>
        <w:trPr>
          <w:trHeight w:val="188"/>
        </w:trPr>
        <w:tc>
          <w:tcPr>
            <w:tcW w:w="2640" w:type="dxa"/>
            <w:vAlign w:val="bottom"/>
            <w:gridSpan w:val="6"/>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16"/>
                <w:szCs w:val="16"/>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1"/>
              </w:rPr>
              <w:t>Shares Sold</w:t>
            </w:r>
          </w:p>
        </w:tc>
        <w:tc>
          <w:tcPr>
            <w:tcW w:w="100" w:type="dxa"/>
            <w:vAlign w:val="bottom"/>
          </w:tcPr>
          <w:p>
            <w:pPr>
              <w:spacing w:after="0"/>
              <w:rPr>
                <w:sz w:val="16"/>
                <w:szCs w:val="16"/>
                <w:color w:val="auto"/>
              </w:rPr>
            </w:pPr>
          </w:p>
        </w:tc>
        <w:tc>
          <w:tcPr>
            <w:tcW w:w="940" w:type="dxa"/>
            <w:vAlign w:val="bottom"/>
            <w:gridSpan w:val="4"/>
          </w:tcPr>
          <w:p>
            <w:pPr>
              <w:ind w:left="20"/>
              <w:spacing w:after="0" w:line="188" w:lineRule="exact"/>
              <w:rPr>
                <w:sz w:val="20"/>
                <w:szCs w:val="20"/>
                <w:color w:val="auto"/>
              </w:rPr>
            </w:pPr>
            <w:r>
              <w:rPr>
                <w:rFonts w:ascii="Arial" w:cs="Arial" w:eastAsia="Arial" w:hAnsi="Arial"/>
                <w:sz w:val="13"/>
                <w:szCs w:val="13"/>
                <w:b w:val="1"/>
                <w:bCs w:val="1"/>
                <w:color w:val="auto"/>
              </w:rPr>
              <w:t>Share Price</w:t>
            </w:r>
            <w:r>
              <w:rPr>
                <w:rFonts w:ascii="Arial" w:cs="Arial" w:eastAsia="Arial" w:hAnsi="Arial"/>
                <w:sz w:val="21"/>
                <w:szCs w:val="21"/>
                <w:b w:val="1"/>
                <w:bCs w:val="1"/>
                <w:color w:val="auto"/>
                <w:vertAlign w:val="superscript"/>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42"/>
              <w:spacing w:after="0"/>
              <w:rPr>
                <w:sz w:val="20"/>
                <w:szCs w:val="20"/>
                <w:color w:val="auto"/>
              </w:rPr>
            </w:pPr>
            <w:r>
              <w:rPr>
                <w:rFonts w:ascii="Arial" w:cs="Arial" w:eastAsia="Arial" w:hAnsi="Arial"/>
                <w:sz w:val="14"/>
                <w:szCs w:val="14"/>
                <w:b w:val="1"/>
                <w:bCs w:val="1"/>
                <w:color w:val="auto"/>
              </w:rPr>
              <w:t>Proceeds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100"/>
              <w:spacing w:after="0" w:line="188" w:lineRule="exact"/>
              <w:rPr>
                <w:sz w:val="20"/>
                <w:szCs w:val="20"/>
                <w:color w:val="auto"/>
              </w:rPr>
            </w:pPr>
            <w:r>
              <w:rPr>
                <w:rFonts w:ascii="Arial" w:cs="Arial" w:eastAsia="Arial" w:hAnsi="Arial"/>
                <w:sz w:val="13"/>
                <w:szCs w:val="13"/>
                <w:b w:val="1"/>
                <w:bCs w:val="1"/>
                <w:color w:val="auto"/>
                <w:w w:val="93"/>
              </w:rPr>
              <w:t>Gains</w:t>
            </w:r>
            <w:r>
              <w:rPr>
                <w:rFonts w:ascii="Arial" w:cs="Arial" w:eastAsia="Arial" w:hAnsi="Arial"/>
                <w:sz w:val="21"/>
                <w:szCs w:val="21"/>
                <w:b w:val="1"/>
                <w:bCs w:val="1"/>
                <w:color w:val="auto"/>
                <w:w w:val="93"/>
                <w:vertAlign w:val="superscript"/>
              </w:rPr>
              <w:t>(2)</w:t>
            </w:r>
          </w:p>
        </w:tc>
      </w:tr>
      <w:tr>
        <w:trPr>
          <w:trHeight w:val="210"/>
        </w:trPr>
        <w:tc>
          <w:tcPr>
            <w:tcW w:w="242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gridSpan w:val="2"/>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March 31, 2015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$ 19,558,200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0"/>
              </w:rPr>
              <w:t>13,220,095</w:t>
            </w:r>
          </w:p>
        </w:tc>
      </w:tr>
      <w:tr>
        <w:trPr>
          <w:trHeight w:val="216"/>
        </w:trPr>
        <w:tc>
          <w:tcPr>
            <w:tcW w:w="264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Twitter, Inc.</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30, 2015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20,608,011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13,666,419</w:t>
            </w: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640" w:type="dxa"/>
            <w:vAlign w:val="bottom"/>
            <w:gridSpan w:val="6"/>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87"/>
              </w:rPr>
              <w:t>$ 40,166,211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26,886,514</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-1285875</wp:posOffset>
            </wp:positionV>
            <wp:extent cx="5213985" cy="1803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-1080135</wp:posOffset>
            </wp:positionV>
            <wp:extent cx="51796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236" w:lineRule="exact"/>
        <w:rPr>
          <w:sz w:val="20"/>
          <w:szCs w:val="20"/>
          <w:color w:val="auto"/>
        </w:rPr>
      </w:pPr>
    </w:p>
    <w:p>
      <w:pPr>
        <w:ind w:left="300" w:hanging="27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average net share price is the net share price realized after deducting all commissions and fees on the sale(s).</w:t>
      </w:r>
    </w:p>
    <w:p>
      <w:pPr>
        <w:spacing w:after="0" w:line="117" w:lineRule="exact"/>
        <w:rPr>
          <w:rFonts w:ascii="Arial" w:cs="Arial" w:eastAsia="Arial" w:hAnsi="Arial"/>
          <w:sz w:val="18"/>
          <w:szCs w:val="18"/>
          <w:color w:val="auto"/>
        </w:rPr>
      </w:pPr>
    </w:p>
    <w:p>
      <w:pPr>
        <w:ind w:left="300" w:hanging="272"/>
        <w:spacing w:after="0"/>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Realized gains/(losses) exclude any realized gains/(losses) incurred on the maturity of our treasury investments.</w:t>
      </w:r>
    </w:p>
    <w:p>
      <w:pPr>
        <w:spacing w:after="0" w:line="117" w:lineRule="exact"/>
        <w:rPr>
          <w:rFonts w:ascii="Arial" w:cs="Arial" w:eastAsia="Arial" w:hAnsi="Arial"/>
          <w:sz w:val="18"/>
          <w:szCs w:val="18"/>
          <w:color w:val="auto"/>
        </w:rPr>
      </w:pPr>
    </w:p>
    <w:p>
      <w:pPr>
        <w:ind w:left="300" w:right="1019" w:hanging="272"/>
        <w:spacing w:after="0" w:line="277"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January 2016, Gilt Groupe Holdings, Inc. sold for $250 million to Hudson’s Bay Co., the parent company of Saks Fifth Avenue.</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 the three months ended June 30,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43567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5673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118110</wp:posOffset>
            </wp:positionV>
            <wp:extent cx="43567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3"/>
                <w:szCs w:val="13"/>
                <w:b w:val="1"/>
                <w:bCs w:val="1"/>
                <w:color w:val="auto"/>
              </w:rPr>
              <w:t>June 30, 2016</w:t>
            </w: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June 30, 2015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2"/>
              <w:spacing w:after="0" w:line="118" w:lineRule="exact"/>
              <w:rPr>
                <w:sz w:val="20"/>
                <w:szCs w:val="20"/>
                <w:color w:val="auto"/>
              </w:rPr>
            </w:pPr>
            <w:r>
              <w:rPr>
                <w:rFonts w:ascii="Arial" w:cs="Arial" w:eastAsia="Arial" w:hAnsi="Arial"/>
                <w:sz w:val="13"/>
                <w:szCs w:val="13"/>
                <w:b w:val="1"/>
                <w:bCs w:val="1"/>
                <w:color w:val="auto"/>
                <w:w w:val="84"/>
              </w:rPr>
              <w:t>Per Basic</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right"/>
              <w:ind w:right="17"/>
              <w:spacing w:after="0" w:line="118" w:lineRule="exact"/>
              <w:rPr>
                <w:sz w:val="20"/>
                <w:szCs w:val="20"/>
                <w:color w:val="auto"/>
              </w:rPr>
            </w:pPr>
            <w:r>
              <w:rPr>
                <w:rFonts w:ascii="Arial" w:cs="Arial" w:eastAsia="Arial" w:hAnsi="Arial"/>
                <w:sz w:val="13"/>
                <w:szCs w:val="13"/>
                <w:b w:val="1"/>
                <w:bCs w:val="1"/>
                <w:color w:val="auto"/>
                <w:w w:val="94"/>
              </w:rPr>
              <w:t>Per Basic</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Total Investment Income</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2"/>
              <w:spacing w:after="0" w:line="186" w:lineRule="exact"/>
              <w:rPr>
                <w:sz w:val="20"/>
                <w:szCs w:val="20"/>
                <w:color w:val="auto"/>
              </w:rPr>
            </w:pPr>
            <w:r>
              <w:rPr>
                <w:rFonts w:ascii="Arial" w:cs="Arial" w:eastAsia="Arial" w:hAnsi="Arial"/>
                <w:sz w:val="13"/>
                <w:szCs w:val="13"/>
                <w:b w:val="1"/>
                <w:bCs w:val="1"/>
                <w:color w:val="auto"/>
                <w:w w:val="87"/>
              </w:rPr>
              <w:t>Share</w:t>
            </w:r>
            <w:r>
              <w:rPr>
                <w:rFonts w:ascii="Arial" w:cs="Arial" w:eastAsia="Arial" w:hAnsi="Arial"/>
                <w:sz w:val="20"/>
                <w:szCs w:val="20"/>
                <w:b w:val="1"/>
                <w:bCs w:val="1"/>
                <w:color w:val="auto"/>
                <w:w w:val="87"/>
                <w:vertAlign w:val="superscript"/>
              </w:rPr>
              <w:t>(1)</w:t>
            </w: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660" w:type="dxa"/>
            <w:vAlign w:val="bottom"/>
            <w:tcBorders>
              <w:bottom w:val="single" w:sz="8" w:color="auto"/>
            </w:tcBorders>
          </w:tcPr>
          <w:p>
            <w:pPr>
              <w:jc w:val="right"/>
              <w:ind w:right="37"/>
              <w:spacing w:after="0" w:line="186" w:lineRule="exact"/>
              <w:rPr>
                <w:sz w:val="20"/>
                <w:szCs w:val="20"/>
                <w:color w:val="auto"/>
              </w:rPr>
            </w:pPr>
            <w:r>
              <w:rPr>
                <w:rFonts w:ascii="Arial" w:cs="Arial" w:eastAsia="Arial" w:hAnsi="Arial"/>
                <w:sz w:val="13"/>
                <w:szCs w:val="13"/>
                <w:b w:val="1"/>
                <w:bCs w:val="1"/>
                <w:color w:val="auto"/>
              </w:rPr>
              <w:t>Share</w:t>
            </w:r>
            <w:r>
              <w:rPr>
                <w:rFonts w:ascii="Arial" w:cs="Arial" w:eastAsia="Arial" w:hAnsi="Arial"/>
                <w:sz w:val="20"/>
                <w:szCs w:val="20"/>
                <w:b w:val="1"/>
                <w:bCs w:val="1"/>
                <w:color w:val="auto"/>
                <w:vertAlign w:val="superscript"/>
              </w:rPr>
              <w:t>(1)</w:t>
            </w: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50"/>
        </w:trPr>
        <w:tc>
          <w:tcPr>
            <w:tcW w:w="2720" w:type="dxa"/>
            <w:vAlign w:val="bottom"/>
            <w:vMerge w:val="continue"/>
          </w:tcPr>
          <w:p>
            <w:pPr>
              <w:spacing w:after="0"/>
              <w:rPr>
                <w:sz w:val="13"/>
                <w:szCs w:val="13"/>
                <w:color w:val="auto"/>
              </w:rPr>
            </w:pPr>
          </w:p>
        </w:tc>
        <w:tc>
          <w:tcPr>
            <w:tcW w:w="200" w:type="dxa"/>
            <w:vAlign w:val="bottom"/>
          </w:tcPr>
          <w:p>
            <w:pPr>
              <w:jc w:val="right"/>
              <w:ind w:right="48"/>
              <w:spacing w:after="0" w:line="151" w:lineRule="exact"/>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(54,119)</w:t>
            </w:r>
          </w:p>
        </w:tc>
        <w:tc>
          <w:tcPr>
            <w:tcW w:w="12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12"/>
              <w:spacing w:after="0" w:line="151" w:lineRule="exact"/>
              <w:rPr>
                <w:sz w:val="20"/>
                <w:szCs w:val="20"/>
                <w:color w:val="auto"/>
              </w:rPr>
            </w:pPr>
            <w:r>
              <w:rPr>
                <w:rFonts w:ascii="Arial" w:cs="Arial" w:eastAsia="Arial" w:hAnsi="Arial"/>
                <w:sz w:val="14"/>
                <w:szCs w:val="14"/>
                <w:b w:val="1"/>
                <w:bCs w:val="1"/>
                <w:color w:val="auto"/>
              </w:rPr>
              <w:t>(0.00)</w:t>
            </w:r>
          </w:p>
        </w:tc>
        <w:tc>
          <w:tcPr>
            <w:tcW w:w="220" w:type="dxa"/>
            <w:vAlign w:val="bottom"/>
            <w:gridSpan w:val="2"/>
          </w:tcPr>
          <w:p>
            <w:pPr>
              <w:jc w:val="right"/>
              <w:ind w:right="100"/>
              <w:spacing w:after="0" w:line="151"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2"/>
              <w:spacing w:after="0" w:line="151" w:lineRule="exact"/>
              <w:rPr>
                <w:sz w:val="20"/>
                <w:szCs w:val="20"/>
                <w:color w:val="auto"/>
              </w:rPr>
            </w:pPr>
            <w:r>
              <w:rPr>
                <w:rFonts w:ascii="Arial" w:cs="Arial" w:eastAsia="Arial" w:hAnsi="Arial"/>
                <w:sz w:val="14"/>
                <w:szCs w:val="14"/>
                <w:b w:val="1"/>
                <w:bCs w:val="1"/>
                <w:color w:val="auto"/>
              </w:rPr>
              <w:t>123,891</w:t>
            </w:r>
          </w:p>
        </w:tc>
        <w:tc>
          <w:tcPr>
            <w:tcW w:w="700" w:type="dxa"/>
            <w:vAlign w:val="bottom"/>
            <w:gridSpan w:val="2"/>
          </w:tcPr>
          <w:p>
            <w:pPr>
              <w:jc w:val="right"/>
              <w:ind w:right="97"/>
              <w:spacing w:after="0" w:line="151" w:lineRule="exact"/>
              <w:rPr>
                <w:sz w:val="20"/>
                <w:szCs w:val="20"/>
                <w:color w:val="auto"/>
              </w:rPr>
            </w:pPr>
            <w:r>
              <w:rPr>
                <w:rFonts w:ascii="Arial" w:cs="Arial" w:eastAsia="Arial" w:hAnsi="Arial"/>
                <w:sz w:val="14"/>
                <w:szCs w:val="14"/>
                <w:b w:val="1"/>
                <w:bCs w:val="1"/>
                <w:color w:val="auto"/>
              </w:rPr>
              <w:t>$  0.01</w:t>
            </w:r>
          </w:p>
        </w:tc>
        <w:tc>
          <w:tcPr>
            <w:tcW w:w="200" w:type="dxa"/>
            <w:vAlign w:val="bottom"/>
            <w:gridSpan w:val="2"/>
          </w:tcPr>
          <w:p>
            <w:pPr>
              <w:jc w:val="right"/>
              <w:ind w:right="100"/>
              <w:spacing w:after="0" w:line="151"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(178,010)</w:t>
            </w:r>
          </w:p>
        </w:tc>
        <w:tc>
          <w:tcPr>
            <w:tcW w:w="0" w:type="dxa"/>
            <w:vAlign w:val="bottom"/>
          </w:tcPr>
          <w:p>
            <w:pPr>
              <w:spacing w:after="0"/>
              <w:rPr>
                <w:sz w:val="1"/>
                <w:szCs w:val="1"/>
                <w:color w:val="auto"/>
              </w:rPr>
            </w:pPr>
          </w:p>
        </w:tc>
      </w:tr>
      <w:tr>
        <w:trPr>
          <w:trHeight w:val="149"/>
        </w:trPr>
        <w:tc>
          <w:tcPr>
            <w:tcW w:w="2720" w:type="dxa"/>
            <w:vAlign w:val="bottom"/>
          </w:tcPr>
          <w:p>
            <w:pPr>
              <w:ind w:left="180"/>
              <w:spacing w:after="0" w:line="149" w:lineRule="exact"/>
              <w:rPr>
                <w:sz w:val="20"/>
                <w:szCs w:val="20"/>
                <w:color w:val="auto"/>
              </w:rPr>
            </w:pPr>
            <w:r>
              <w:rPr>
                <w:rFonts w:ascii="Arial" w:cs="Arial" w:eastAsia="Arial" w:hAnsi="Arial"/>
                <w:sz w:val="14"/>
                <w:szCs w:val="14"/>
                <w:color w:val="auto"/>
              </w:rPr>
              <w:t>Interest income/(reversal of interest</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20" w:type="dxa"/>
            <w:vAlign w:val="bottom"/>
          </w:tcPr>
          <w:p>
            <w:pPr>
              <w:ind w:left="360"/>
              <w:spacing w:after="0"/>
              <w:rPr>
                <w:sz w:val="20"/>
                <w:szCs w:val="20"/>
                <w:color w:val="auto"/>
              </w:rPr>
            </w:pPr>
            <w:r>
              <w:rPr>
                <w:rFonts w:ascii="Arial" w:cs="Arial" w:eastAsia="Arial" w:hAnsi="Arial"/>
                <w:sz w:val="14"/>
                <w:szCs w:val="14"/>
                <w:color w:val="auto"/>
              </w:rPr>
              <w:t>accrual)</w:t>
            </w:r>
          </w:p>
        </w:tc>
        <w:tc>
          <w:tcPr>
            <w:tcW w:w="20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(54,119)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12"/>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4"/>
                <w:szCs w:val="14"/>
                <w:color w:val="auto"/>
              </w:rPr>
              <w:t>77,110</w:t>
            </w:r>
          </w:p>
        </w:tc>
        <w:tc>
          <w:tcPr>
            <w:tcW w:w="700" w:type="dxa"/>
            <w:vAlign w:val="bottom"/>
            <w:gridSpan w:val="2"/>
            <w:vMerge w:val="restart"/>
          </w:tcPr>
          <w:p>
            <w:pPr>
              <w:jc w:val="right"/>
              <w:ind w:right="97"/>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(131,229)</w:t>
            </w:r>
          </w:p>
        </w:tc>
        <w:tc>
          <w:tcPr>
            <w:tcW w:w="0" w:type="dxa"/>
            <w:vAlign w:val="bottom"/>
          </w:tcPr>
          <w:p>
            <w:pPr>
              <w:spacing w:after="0"/>
              <w:rPr>
                <w:sz w:val="1"/>
                <w:szCs w:val="1"/>
                <w:color w:val="auto"/>
              </w:rPr>
            </w:pPr>
          </w:p>
        </w:tc>
      </w:tr>
      <w:tr>
        <w:trPr>
          <w:trHeight w:val="81"/>
        </w:trPr>
        <w:tc>
          <w:tcPr>
            <w:tcW w:w="2720" w:type="dxa"/>
            <w:vAlign w:val="bottom"/>
            <w:vMerge w:val="restart"/>
          </w:tcPr>
          <w:p>
            <w:pPr>
              <w:ind w:left="180"/>
              <w:spacing w:after="0"/>
              <w:rPr>
                <w:sz w:val="20"/>
                <w:szCs w:val="20"/>
                <w:color w:val="auto"/>
              </w:rPr>
            </w:pPr>
            <w:r>
              <w:rPr>
                <w:rFonts w:ascii="Arial" w:cs="Arial" w:eastAsia="Arial" w:hAnsi="Arial"/>
                <w:sz w:val="14"/>
                <w:szCs w:val="14"/>
                <w:color w:val="auto"/>
              </w:rPr>
              <w:t>Dividend income</w:t>
            </w: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46,781</w:t>
            </w:r>
          </w:p>
        </w:tc>
        <w:tc>
          <w:tcPr>
            <w:tcW w:w="700" w:type="dxa"/>
            <w:vAlign w:val="bottom"/>
            <w:gridSpan w:val="2"/>
          </w:tcPr>
          <w:p>
            <w:pPr>
              <w:jc w:val="right"/>
              <w:ind w:right="97"/>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2540</wp:posOffset>
            </wp:positionV>
            <wp:extent cx="16979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-434340</wp:posOffset>
            </wp:positionV>
            <wp:extent cx="16979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-339725</wp:posOffset>
            </wp:positionV>
            <wp:extent cx="16979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ind w:right="459"/>
        <w:spacing w:after="0" w:line="221" w:lineRule="auto"/>
        <w:rPr>
          <w:sz w:val="20"/>
          <w:szCs w:val="20"/>
          <w:color w:val="auto"/>
        </w:rPr>
      </w:pPr>
      <w:r>
        <w:rPr>
          <w:rFonts w:ascii="Arial" w:cs="Arial" w:eastAsia="Arial" w:hAnsi="Arial"/>
          <w:sz w:val="14"/>
          <w:szCs w:val="14"/>
          <w:color w:val="auto"/>
        </w:rPr>
        <w:t>Total investment income decreased between periods. Interest income decreased for the three months ended June 30, 2016, as compared to the three months ended June 30, 2015, primarily due to the reversal of previously accrued interest from loans to Fullbridge, Inc. Dividend income decreased because there were no dividends earned during the three months ended June 30, 2016.</w:t>
      </w:r>
    </w:p>
    <w:p>
      <w:pPr>
        <w:spacing w:after="0" w:line="3" w:lineRule="exact"/>
        <w:rPr>
          <w:sz w:val="20"/>
          <w:szCs w:val="20"/>
          <w:color w:val="auto"/>
        </w:rPr>
      </w:pPr>
    </w:p>
    <w:p>
      <w:pPr>
        <w:sectPr>
          <w:pgSz w:w="11900" w:h="16838" w:orient="portrait"/>
          <w:cols w:equalWidth="0" w:num="2">
            <w:col w:w="6960" w:space="120"/>
            <w:col w:w="2999"/>
          </w:cols>
          <w:pgMar w:left="380" w:top="792" w:right="1440" w:bottom="1440" w:gutter="0" w:footer="0" w:header="0"/>
        </w:sectPr>
      </w:pPr>
    </w:p>
    <w:p>
      <w:pPr>
        <w:spacing w:after="0"/>
        <w:rPr>
          <w:sz w:val="20"/>
          <w:szCs w:val="20"/>
          <w:color w:val="auto"/>
        </w:rPr>
      </w:pPr>
      <w:r>
        <w:rPr>
          <w:rFonts w:ascii="Arial" w:cs="Arial" w:eastAsia="Arial" w:hAnsi="Arial"/>
          <w:sz w:val="14"/>
          <w:szCs w:val="14"/>
          <w:b w:val="1"/>
          <w:bCs w:val="1"/>
          <w:color w:val="auto"/>
        </w:rPr>
        <w:t>Total Operating Expenses</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Management fees</w:t>
      </w:r>
    </w:p>
    <w:p>
      <w:pPr>
        <w:spacing w:after="0" w:line="42" w:lineRule="exact"/>
        <w:rPr>
          <w:sz w:val="20"/>
          <w:szCs w:val="20"/>
          <w:color w:val="auto"/>
        </w:rPr>
      </w:pPr>
    </w:p>
    <w:p>
      <w:pPr>
        <w:jc w:val="right"/>
        <w:ind w:left="180" w:right="800"/>
        <w:spacing w:after="0" w:line="291" w:lineRule="auto"/>
        <w:rPr>
          <w:sz w:val="20"/>
          <w:szCs w:val="20"/>
          <w:color w:val="auto"/>
        </w:rPr>
      </w:pPr>
      <w:r>
        <w:rPr>
          <w:rFonts w:ascii="Arial" w:cs="Arial" w:eastAsia="Arial" w:hAnsi="Arial"/>
          <w:sz w:val="13"/>
          <w:szCs w:val="13"/>
          <w:color w:val="auto"/>
        </w:rPr>
        <w:t>(Reversal of incentive fee accrual)/Incentive fees</w:t>
      </w:r>
    </w:p>
    <w:p>
      <w:pPr>
        <w:spacing w:after="0" w:line="43" w:lineRule="exact"/>
        <w:rPr>
          <w:sz w:val="20"/>
          <w:szCs w:val="20"/>
          <w:color w:val="auto"/>
        </w:rPr>
      </w:pPr>
    </w:p>
    <w:p>
      <w:pPr>
        <w:ind w:left="360" w:right="180" w:hanging="179"/>
        <w:spacing w:after="0" w:line="253" w:lineRule="auto"/>
        <w:rPr>
          <w:sz w:val="20"/>
          <w:szCs w:val="20"/>
          <w:color w:val="auto"/>
        </w:rPr>
      </w:pPr>
      <w:r>
        <w:rPr>
          <w:rFonts w:ascii="Arial" w:cs="Arial" w:eastAsia="Arial" w:hAnsi="Arial"/>
          <w:sz w:val="14"/>
          <w:szCs w:val="14"/>
          <w:color w:val="auto"/>
        </w:rPr>
        <w:t>Costs incurred under Administration Agreement</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Directors’ fees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Professional fees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expense</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expenses</w:t>
      </w:r>
    </w:p>
    <w:p>
      <w:pPr>
        <w:spacing w:after="0" w:line="42" w:lineRule="exact"/>
        <w:rPr>
          <w:sz w:val="20"/>
          <w:szCs w:val="20"/>
          <w:color w:val="auto"/>
        </w:rPr>
      </w:pPr>
    </w:p>
    <w:p>
      <w:pPr>
        <w:ind w:left="360" w:right="380" w:hanging="179"/>
        <w:spacing w:after="0" w:line="253" w:lineRule="auto"/>
        <w:rPr>
          <w:sz w:val="20"/>
          <w:szCs w:val="20"/>
          <w:color w:val="auto"/>
        </w:rPr>
      </w:pPr>
      <w:r>
        <w:rPr>
          <w:rFonts w:ascii="Arial" w:cs="Arial" w:eastAsia="Arial" w:hAnsi="Arial"/>
          <w:sz w:val="14"/>
          <w:szCs w:val="14"/>
          <w:color w:val="auto"/>
        </w:rPr>
        <w:t>Gain on fair value adjustment for embedded derivative</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Benefit for taxes on net investment loss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w w:val="99"/>
              </w:rPr>
              <w:t>1,397,922</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0.06</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6,233,424</w:t>
            </w:r>
          </w:p>
        </w:tc>
        <w:tc>
          <w:tcPr>
            <w:tcW w:w="680" w:type="dxa"/>
            <w:vAlign w:val="bottom"/>
          </w:tcPr>
          <w:p>
            <w:pPr>
              <w:jc w:val="right"/>
              <w:ind w:right="168"/>
              <w:spacing w:after="0"/>
              <w:rPr>
                <w:sz w:val="20"/>
                <w:szCs w:val="20"/>
                <w:color w:val="auto"/>
              </w:rPr>
            </w:pPr>
            <w:r>
              <w:rPr>
                <w:rFonts w:ascii="Arial" w:cs="Arial" w:eastAsia="Arial" w:hAnsi="Arial"/>
                <w:sz w:val="14"/>
                <w:szCs w:val="14"/>
                <w:b w:val="1"/>
                <w:bCs w:val="1"/>
                <w:color w:val="auto"/>
              </w:rPr>
              <w:t>0.32</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(4,835,502)</w:t>
            </w:r>
          </w:p>
        </w:tc>
      </w:tr>
      <w:tr>
        <w:trPr>
          <w:trHeight w:val="203"/>
        </w:trPr>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1,740,223</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0.08</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2,010,385</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0.10</w:t>
            </w:r>
          </w:p>
        </w:tc>
        <w:tc>
          <w:tcPr>
            <w:tcW w:w="860" w:type="dxa"/>
            <w:vAlign w:val="bottom"/>
          </w:tcPr>
          <w:p>
            <w:pPr>
              <w:jc w:val="right"/>
              <w:spacing w:after="0"/>
              <w:rPr>
                <w:sz w:val="20"/>
                <w:szCs w:val="20"/>
                <w:color w:val="auto"/>
              </w:rPr>
            </w:pPr>
            <w:r>
              <w:rPr>
                <w:rFonts w:ascii="Arial" w:cs="Arial" w:eastAsia="Arial" w:hAnsi="Arial"/>
                <w:sz w:val="14"/>
                <w:szCs w:val="14"/>
                <w:color w:val="auto"/>
              </w:rPr>
              <w:t>(270,162)</w:t>
            </w:r>
          </w:p>
        </w:tc>
      </w:tr>
      <w:tr>
        <w:trPr>
          <w:trHeight w:val="405"/>
        </w:trPr>
        <w:tc>
          <w:tcPr>
            <w:tcW w:w="860" w:type="dxa"/>
            <w:vAlign w:val="bottom"/>
          </w:tcPr>
          <w:p>
            <w:pPr>
              <w:jc w:val="right"/>
              <w:ind w:right="108"/>
              <w:spacing w:after="0"/>
              <w:rPr>
                <w:sz w:val="20"/>
                <w:szCs w:val="20"/>
                <w:color w:val="auto"/>
              </w:rPr>
            </w:pPr>
            <w:r>
              <w:rPr>
                <w:rFonts w:ascii="Arial" w:cs="Arial" w:eastAsia="Arial" w:hAnsi="Arial"/>
                <w:sz w:val="14"/>
                <w:szCs w:val="14"/>
                <w:color w:val="auto"/>
                <w:w w:val="92"/>
              </w:rPr>
              <w:t>(2,907,224)</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(0.13)</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1,565,339</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0.08</w:t>
            </w:r>
          </w:p>
        </w:tc>
        <w:tc>
          <w:tcPr>
            <w:tcW w:w="860" w:type="dxa"/>
            <w:vAlign w:val="bottom"/>
          </w:tcPr>
          <w:p>
            <w:pPr>
              <w:jc w:val="right"/>
              <w:spacing w:after="0"/>
              <w:rPr>
                <w:sz w:val="20"/>
                <w:szCs w:val="20"/>
                <w:color w:val="auto"/>
              </w:rPr>
            </w:pPr>
            <w:r>
              <w:rPr>
                <w:rFonts w:ascii="Arial" w:cs="Arial" w:eastAsia="Arial" w:hAnsi="Arial"/>
                <w:sz w:val="14"/>
                <w:szCs w:val="14"/>
                <w:color w:val="auto"/>
              </w:rPr>
              <w:t>(4,472,563)</w:t>
            </w:r>
          </w:p>
        </w:tc>
      </w:tr>
      <w:tr>
        <w:trPr>
          <w:trHeight w:val="419"/>
        </w:trPr>
        <w:tc>
          <w:tcPr>
            <w:tcW w:w="860" w:type="dxa"/>
            <w:vAlign w:val="bottom"/>
          </w:tcPr>
          <w:p>
            <w:pPr>
              <w:jc w:val="right"/>
              <w:ind w:right="148"/>
              <w:spacing w:after="0"/>
              <w:rPr>
                <w:sz w:val="20"/>
                <w:szCs w:val="20"/>
                <w:color w:val="auto"/>
              </w:rPr>
            </w:pPr>
            <w:r>
              <w:rPr>
                <w:rFonts w:ascii="Arial" w:cs="Arial" w:eastAsia="Arial" w:hAnsi="Arial"/>
                <w:sz w:val="14"/>
                <w:szCs w:val="14"/>
                <w:color w:val="auto"/>
              </w:rPr>
              <w:t>698,692</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0.03</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785,036</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0.04</w:t>
            </w:r>
          </w:p>
        </w:tc>
        <w:tc>
          <w:tcPr>
            <w:tcW w:w="860" w:type="dxa"/>
            <w:vAlign w:val="bottom"/>
          </w:tcPr>
          <w:p>
            <w:pPr>
              <w:jc w:val="right"/>
              <w:spacing w:after="0"/>
              <w:rPr>
                <w:sz w:val="20"/>
                <w:szCs w:val="20"/>
                <w:color w:val="auto"/>
              </w:rPr>
            </w:pPr>
            <w:r>
              <w:rPr>
                <w:rFonts w:ascii="Arial" w:cs="Arial" w:eastAsia="Arial" w:hAnsi="Arial"/>
                <w:sz w:val="14"/>
                <w:szCs w:val="14"/>
                <w:color w:val="auto"/>
              </w:rPr>
              <w:t>(86,344)</w:t>
            </w:r>
          </w:p>
        </w:tc>
      </w:tr>
      <w:tr>
        <w:trPr>
          <w:trHeight w:val="203"/>
        </w:trPr>
        <w:tc>
          <w:tcPr>
            <w:tcW w:w="860" w:type="dxa"/>
            <w:vAlign w:val="bottom"/>
          </w:tcPr>
          <w:p>
            <w:pPr>
              <w:jc w:val="right"/>
              <w:ind w:right="148"/>
              <w:spacing w:after="0"/>
              <w:rPr>
                <w:sz w:val="20"/>
                <w:szCs w:val="20"/>
                <w:color w:val="auto"/>
              </w:rPr>
            </w:pPr>
            <w:r>
              <w:rPr>
                <w:rFonts w:ascii="Arial" w:cs="Arial" w:eastAsia="Arial" w:hAnsi="Arial"/>
                <w:sz w:val="14"/>
                <w:szCs w:val="14"/>
                <w:color w:val="auto"/>
              </w:rPr>
              <w:t>86,250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0.00</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107,500</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0.01</w:t>
            </w:r>
          </w:p>
        </w:tc>
        <w:tc>
          <w:tcPr>
            <w:tcW w:w="860" w:type="dxa"/>
            <w:vAlign w:val="bottom"/>
          </w:tcPr>
          <w:p>
            <w:pPr>
              <w:jc w:val="right"/>
              <w:spacing w:after="0"/>
              <w:rPr>
                <w:sz w:val="20"/>
                <w:szCs w:val="20"/>
                <w:color w:val="auto"/>
              </w:rPr>
            </w:pPr>
            <w:r>
              <w:rPr>
                <w:rFonts w:ascii="Arial" w:cs="Arial" w:eastAsia="Arial" w:hAnsi="Arial"/>
                <w:sz w:val="14"/>
                <w:szCs w:val="14"/>
                <w:color w:val="auto"/>
              </w:rPr>
              <w:t>(21,250)</w:t>
            </w:r>
          </w:p>
        </w:tc>
      </w:tr>
      <w:tr>
        <w:trPr>
          <w:trHeight w:val="203"/>
        </w:trPr>
        <w:tc>
          <w:tcPr>
            <w:tcW w:w="860" w:type="dxa"/>
            <w:vAlign w:val="bottom"/>
          </w:tcPr>
          <w:p>
            <w:pPr>
              <w:jc w:val="right"/>
              <w:ind w:right="148"/>
              <w:spacing w:after="0"/>
              <w:rPr>
                <w:sz w:val="20"/>
                <w:szCs w:val="20"/>
                <w:color w:val="auto"/>
              </w:rPr>
            </w:pPr>
            <w:r>
              <w:rPr>
                <w:rFonts w:ascii="Arial" w:cs="Arial" w:eastAsia="Arial" w:hAnsi="Arial"/>
                <w:sz w:val="14"/>
                <w:szCs w:val="14"/>
                <w:color w:val="auto"/>
              </w:rPr>
              <w:t>388,375</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0.02</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394,228</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0.02</w:t>
            </w:r>
          </w:p>
        </w:tc>
        <w:tc>
          <w:tcPr>
            <w:tcW w:w="860" w:type="dxa"/>
            <w:vAlign w:val="bottom"/>
          </w:tcPr>
          <w:p>
            <w:pPr>
              <w:jc w:val="right"/>
              <w:spacing w:after="0"/>
              <w:rPr>
                <w:sz w:val="20"/>
                <w:szCs w:val="20"/>
                <w:color w:val="auto"/>
              </w:rPr>
            </w:pPr>
            <w:r>
              <w:rPr>
                <w:rFonts w:ascii="Arial" w:cs="Arial" w:eastAsia="Arial" w:hAnsi="Arial"/>
                <w:sz w:val="14"/>
                <w:szCs w:val="14"/>
                <w:color w:val="auto"/>
              </w:rPr>
              <w:t>(5,853)</w:t>
            </w:r>
          </w:p>
        </w:tc>
      </w:tr>
      <w:tr>
        <w:trPr>
          <w:trHeight w:val="216"/>
        </w:trPr>
        <w:tc>
          <w:tcPr>
            <w:tcW w:w="860" w:type="dxa"/>
            <w:vAlign w:val="bottom"/>
          </w:tcPr>
          <w:p>
            <w:pPr>
              <w:jc w:val="right"/>
              <w:ind w:right="148"/>
              <w:spacing w:after="0"/>
              <w:rPr>
                <w:sz w:val="20"/>
                <w:szCs w:val="20"/>
                <w:color w:val="auto"/>
              </w:rPr>
            </w:pPr>
            <w:r>
              <w:rPr>
                <w:rFonts w:ascii="Arial" w:cs="Arial" w:eastAsia="Arial" w:hAnsi="Arial"/>
                <w:sz w:val="14"/>
                <w:szCs w:val="14"/>
                <w:color w:val="auto"/>
                <w:w w:val="99"/>
              </w:rPr>
              <w:t>1,184,326</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0.05</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1,228,783</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0.06</w:t>
            </w:r>
          </w:p>
        </w:tc>
        <w:tc>
          <w:tcPr>
            <w:tcW w:w="860" w:type="dxa"/>
            <w:vAlign w:val="bottom"/>
          </w:tcPr>
          <w:p>
            <w:pPr>
              <w:jc w:val="right"/>
              <w:spacing w:after="0"/>
              <w:rPr>
                <w:sz w:val="20"/>
                <w:szCs w:val="20"/>
                <w:color w:val="auto"/>
              </w:rPr>
            </w:pPr>
            <w:r>
              <w:rPr>
                <w:rFonts w:ascii="Arial" w:cs="Arial" w:eastAsia="Arial" w:hAnsi="Arial"/>
                <w:sz w:val="14"/>
                <w:szCs w:val="14"/>
                <w:color w:val="auto"/>
              </w:rPr>
              <w:t>(44,457)</w:t>
            </w:r>
          </w:p>
        </w:tc>
      </w:tr>
      <w:tr>
        <w:trPr>
          <w:trHeight w:val="203"/>
        </w:trPr>
        <w:tc>
          <w:tcPr>
            <w:tcW w:w="860" w:type="dxa"/>
            <w:vAlign w:val="bottom"/>
          </w:tcPr>
          <w:p>
            <w:pPr>
              <w:jc w:val="right"/>
              <w:ind w:right="148"/>
              <w:spacing w:after="0"/>
              <w:rPr>
                <w:sz w:val="20"/>
                <w:szCs w:val="20"/>
                <w:color w:val="auto"/>
              </w:rPr>
            </w:pPr>
            <w:r>
              <w:rPr>
                <w:rFonts w:ascii="Arial" w:cs="Arial" w:eastAsia="Arial" w:hAnsi="Arial"/>
                <w:sz w:val="14"/>
                <w:szCs w:val="14"/>
                <w:color w:val="auto"/>
              </w:rPr>
              <w:t>207,280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0.01</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143,153</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0.01</w:t>
            </w:r>
          </w:p>
        </w:tc>
        <w:tc>
          <w:tcPr>
            <w:tcW w:w="860" w:type="dxa"/>
            <w:vAlign w:val="bottom"/>
          </w:tcPr>
          <w:p>
            <w:pPr>
              <w:jc w:val="right"/>
              <w:spacing w:after="0"/>
              <w:rPr>
                <w:sz w:val="20"/>
                <w:szCs w:val="20"/>
                <w:color w:val="auto"/>
              </w:rPr>
            </w:pPr>
            <w:r>
              <w:rPr>
                <w:rFonts w:ascii="Arial" w:cs="Arial" w:eastAsia="Arial" w:hAnsi="Arial"/>
                <w:sz w:val="14"/>
                <w:szCs w:val="14"/>
                <w:color w:val="auto"/>
              </w:rPr>
              <w:t>64,127</w:t>
            </w:r>
          </w:p>
        </w:tc>
      </w:tr>
      <w:tr>
        <w:trPr>
          <w:trHeight w:val="405"/>
        </w:trPr>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(1,000)</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(0.00)</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432"/>
        </w:trPr>
        <w:tc>
          <w:tcPr>
            <w:tcW w:w="8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2,494,459</w:t>
            </w:r>
          </w:p>
        </w:tc>
        <w:tc>
          <w:tcPr>
            <w:tcW w:w="680" w:type="dxa"/>
            <w:vAlign w:val="bottom"/>
          </w:tcPr>
          <w:p>
            <w:pPr>
              <w:jc w:val="right"/>
              <w:ind w:right="168"/>
              <w:spacing w:after="0"/>
              <w:rPr>
                <w:sz w:val="20"/>
                <w:szCs w:val="20"/>
                <w:color w:val="auto"/>
              </w:rPr>
            </w:pPr>
            <w:r>
              <w:rPr>
                <w:rFonts w:ascii="Arial" w:cs="Arial" w:eastAsia="Arial" w:hAnsi="Arial"/>
                <w:sz w:val="14"/>
                <w:szCs w:val="14"/>
                <w:color w:val="auto"/>
              </w:rPr>
              <w:t>0.13</w:t>
            </w:r>
          </w:p>
        </w:tc>
        <w:tc>
          <w:tcPr>
            <w:tcW w:w="860" w:type="dxa"/>
            <w:vAlign w:val="bottom"/>
          </w:tcPr>
          <w:p>
            <w:pPr>
              <w:jc w:val="right"/>
              <w:spacing w:after="0"/>
              <w:rPr>
                <w:sz w:val="20"/>
                <w:szCs w:val="20"/>
                <w:color w:val="auto"/>
              </w:rPr>
            </w:pPr>
            <w:r>
              <w:rPr>
                <w:rFonts w:ascii="Arial" w:cs="Arial" w:eastAsia="Arial" w:hAnsi="Arial"/>
                <w:sz w:val="14"/>
                <w:szCs w:val="14"/>
                <w:color w:val="auto"/>
              </w:rPr>
              <w:t>(2,494,459)</w:t>
            </w:r>
          </w:p>
        </w:tc>
      </w:tr>
    </w:tbl>
    <w:p>
      <w:pPr>
        <w:spacing w:after="0" w:line="20" w:lineRule="exact"/>
        <w:rPr>
          <w:sz w:val="20"/>
          <w:szCs w:val="20"/>
          <w:color w:val="auto"/>
        </w:rPr>
      </w:pPr>
      <w:r>
        <w:rPr>
          <w:sz w:val="20"/>
          <w:szCs w:val="20"/>
          <w:color w:val="auto"/>
        </w:rPr>
        <w:br w:type="column"/>
      </w:r>
    </w:p>
    <w:p>
      <w:pPr>
        <w:ind w:right="439"/>
        <w:spacing w:after="0"/>
        <w:rPr>
          <w:sz w:val="20"/>
          <w:szCs w:val="20"/>
          <w:color w:val="auto"/>
        </w:rPr>
      </w:pPr>
      <w:r>
        <w:rPr>
          <w:rFonts w:ascii="Arial" w:cs="Arial" w:eastAsia="Arial" w:hAnsi="Arial"/>
          <w:sz w:val="13"/>
          <w:szCs w:val="13"/>
          <w:color w:val="auto"/>
        </w:rPr>
        <w:t>Total operating expenses decreased for the three months ended June 30, 2016, as compared to the three months ended June 30, 2015, primarily due to the reversal of previously accrued incentive fees during the three months ended June 30, 2016, which resulted from lower overall net realized gains as well as the unrealized depreciation of our portfolio investments in the aggregate. Operating expenses decreased, to a lesser extent, because management fees decreased due to lower gross assets outstanding. Costs under the Administration Agreement decreased due to lower travel expenses and overhead allocation expenses for the three months ended June 30, 2016, as compared to the three months ended June 30, 2015.</w:t>
      </w:r>
    </w:p>
    <w:p>
      <w:pPr>
        <w:spacing w:after="0" w:line="120" w:lineRule="exact"/>
        <w:rPr>
          <w:sz w:val="20"/>
          <w:szCs w:val="20"/>
          <w:color w:val="auto"/>
        </w:rPr>
      </w:pPr>
    </w:p>
    <w:p>
      <w:pPr>
        <w:ind w:right="719"/>
        <w:spacing w:after="0" w:line="225" w:lineRule="auto"/>
        <w:rPr>
          <w:sz w:val="20"/>
          <w:szCs w:val="20"/>
          <w:color w:val="auto"/>
        </w:rPr>
      </w:pPr>
      <w:r>
        <w:rPr>
          <w:rFonts w:ascii="Arial" w:cs="Arial" w:eastAsia="Arial" w:hAnsi="Arial"/>
          <w:sz w:val="14"/>
          <w:szCs w:val="14"/>
          <w:color w:val="auto"/>
        </w:rPr>
        <w:t>Benefit for taxes on net investment loss decreased between periods due to our election to be treated as a RIC, which resulted in no new tax benefits being accrued.</w:t>
      </w:r>
    </w:p>
    <w:p>
      <w:pPr>
        <w:spacing w:after="0" w:line="1" w:lineRule="exact"/>
        <w:rPr>
          <w:sz w:val="20"/>
          <w:szCs w:val="20"/>
          <w:color w:val="auto"/>
        </w:rPr>
      </w:pPr>
    </w:p>
    <w:p>
      <w:pPr>
        <w:sectPr>
          <w:pgSz w:w="11900" w:h="16838" w:orient="portrait"/>
          <w:cols w:equalWidth="0" w:num="3">
            <w:col w:w="2460" w:space="480"/>
            <w:col w:w="3980" w:space="160"/>
            <w:col w:w="2999"/>
          </w:cols>
          <w:pgMar w:left="38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2720" w:type="dxa"/>
            <w:vAlign w:val="bottom"/>
            <w:gridSpan w:val="2"/>
          </w:tcPr>
          <w:p>
            <w:pPr>
              <w:ind w:left="180"/>
              <w:spacing w:after="0"/>
              <w:rPr>
                <w:sz w:val="20"/>
                <w:szCs w:val="20"/>
                <w:color w:val="auto"/>
              </w:rPr>
            </w:pPr>
            <w:r>
              <w:rPr>
                <w:rFonts w:ascii="Arial" w:cs="Arial" w:eastAsia="Arial" w:hAnsi="Arial"/>
                <w:sz w:val="14"/>
                <w:szCs w:val="14"/>
                <w:color w:val="auto"/>
              </w:rPr>
              <w:t>Net Investment Loss</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(1,452,041)</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(0.07)</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(3,615,074)</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(0.19)</w:t>
            </w:r>
          </w:p>
        </w:tc>
        <w:tc>
          <w:tcPr>
            <w:tcW w:w="940" w:type="dxa"/>
            <w:vAlign w:val="bottom"/>
          </w:tcPr>
          <w:p>
            <w:pPr>
              <w:jc w:val="right"/>
              <w:spacing w:after="0"/>
              <w:rPr>
                <w:sz w:val="20"/>
                <w:szCs w:val="20"/>
                <w:color w:val="auto"/>
              </w:rPr>
            </w:pPr>
            <w:r>
              <w:rPr>
                <w:rFonts w:ascii="Arial" w:cs="Arial" w:eastAsia="Arial" w:hAnsi="Arial"/>
                <w:sz w:val="14"/>
                <w:szCs w:val="14"/>
                <w:color w:val="auto"/>
              </w:rPr>
              <w:t>2,163,033</w:t>
            </w:r>
          </w:p>
        </w:tc>
        <w:tc>
          <w:tcPr>
            <w:tcW w:w="0" w:type="dxa"/>
            <w:vAlign w:val="bottom"/>
          </w:tcPr>
          <w:p>
            <w:pPr>
              <w:spacing w:after="0"/>
              <w:rPr>
                <w:sz w:val="1"/>
                <w:szCs w:val="1"/>
                <w:color w:val="auto"/>
              </w:rPr>
            </w:pPr>
          </w:p>
        </w:tc>
      </w:tr>
      <w:tr>
        <w:trPr>
          <w:trHeight w:val="716"/>
        </w:trPr>
        <w:tc>
          <w:tcPr>
            <w:tcW w:w="2720" w:type="dxa"/>
            <w:vAlign w:val="bottom"/>
            <w:gridSpan w:val="2"/>
          </w:tcPr>
          <w:p>
            <w:pPr>
              <w:ind w:left="180"/>
              <w:spacing w:after="0"/>
              <w:rPr>
                <w:sz w:val="20"/>
                <w:szCs w:val="20"/>
                <w:color w:val="auto"/>
              </w:rPr>
            </w:pPr>
            <w:r>
              <w:rPr>
                <w:rFonts w:ascii="Arial" w:cs="Arial" w:eastAsia="Arial" w:hAnsi="Arial"/>
                <w:sz w:val="14"/>
                <w:szCs w:val="14"/>
                <w:color w:val="auto"/>
              </w:rPr>
              <w:t>Net Realized Gains on Investments</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1,104,361</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0.05</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13,636,614</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0.71</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(12,532,253)</w:t>
            </w:r>
          </w:p>
        </w:tc>
        <w:tc>
          <w:tcPr>
            <w:tcW w:w="0" w:type="dxa"/>
            <w:vAlign w:val="bottom"/>
          </w:tcPr>
          <w:p>
            <w:pPr>
              <w:spacing w:after="0"/>
              <w:rPr>
                <w:sz w:val="1"/>
                <w:szCs w:val="1"/>
                <w:color w:val="auto"/>
              </w:rPr>
            </w:pPr>
          </w:p>
        </w:tc>
      </w:tr>
      <w:tr>
        <w:trPr>
          <w:trHeight w:val="68"/>
        </w:trPr>
        <w:tc>
          <w:tcPr>
            <w:tcW w:w="9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0"/>
        </w:trPr>
        <w:tc>
          <w:tcPr>
            <w:tcW w:w="2720" w:type="dxa"/>
            <w:vAlign w:val="bottom"/>
            <w:gridSpan w:val="2"/>
          </w:tcPr>
          <w:p>
            <w:pPr>
              <w:ind w:left="180"/>
              <w:spacing w:after="0"/>
              <w:rPr>
                <w:sz w:val="20"/>
                <w:szCs w:val="20"/>
                <w:color w:val="auto"/>
              </w:rPr>
            </w:pPr>
            <w:r>
              <w:rPr>
                <w:rFonts w:ascii="Arial" w:cs="Arial" w:eastAsia="Arial" w:hAnsi="Arial"/>
                <w:sz w:val="14"/>
                <w:szCs w:val="14"/>
                <w:color w:val="auto"/>
                <w:w w:val="99"/>
              </w:rPr>
              <w:t>Provision for taxes on Realized Gains on</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720" w:type="dxa"/>
            <w:vAlign w:val="bottom"/>
            <w:gridSpan w:val="2"/>
          </w:tcPr>
          <w:p>
            <w:pPr>
              <w:ind w:left="360"/>
              <w:spacing w:after="0"/>
              <w:rPr>
                <w:sz w:val="20"/>
                <w:szCs w:val="20"/>
                <w:color w:val="auto"/>
              </w:rPr>
            </w:pPr>
            <w:r>
              <w:rPr>
                <w:rFonts w:ascii="Arial" w:cs="Arial" w:eastAsia="Arial" w:hAnsi="Arial"/>
                <w:sz w:val="14"/>
                <w:szCs w:val="14"/>
                <w:color w:val="auto"/>
              </w:rPr>
              <w:t>Investments</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(5,567,830)</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(0.29)</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5,567,830</w:t>
            </w: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5"/>
        </w:trPr>
        <w:tc>
          <w:tcPr>
            <w:tcW w:w="2720" w:type="dxa"/>
            <w:vAlign w:val="bottom"/>
            <w:gridSpan w:val="2"/>
          </w:tcPr>
          <w:p>
            <w:pPr>
              <w:ind w:left="180"/>
              <w:spacing w:after="0"/>
              <w:rPr>
                <w:sz w:val="20"/>
                <w:szCs w:val="20"/>
                <w:color w:val="auto"/>
              </w:rPr>
            </w:pPr>
            <w:r>
              <w:rPr>
                <w:rFonts w:ascii="Arial" w:cs="Arial" w:eastAsia="Arial" w:hAnsi="Arial"/>
                <w:sz w:val="14"/>
                <w:szCs w:val="14"/>
                <w:color w:val="auto"/>
                <w:w w:val="97"/>
              </w:rPr>
              <w:t>Net Change in Unrealized Depreciation of</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ind w:left="360"/>
              <w:spacing w:after="0"/>
              <w:rPr>
                <w:sz w:val="20"/>
                <w:szCs w:val="20"/>
                <w:color w:val="auto"/>
              </w:rPr>
            </w:pPr>
            <w:r>
              <w:rPr>
                <w:rFonts w:ascii="Arial" w:cs="Arial" w:eastAsia="Arial" w:hAnsi="Arial"/>
                <w:sz w:val="14"/>
                <w:szCs w:val="14"/>
                <w:color w:val="auto"/>
              </w:rPr>
              <w:t>Investments</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(15,933,886)</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(0.72)</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(5,744,399)</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(0.29)</w:t>
            </w:r>
          </w:p>
        </w:tc>
        <w:tc>
          <w:tcPr>
            <w:tcW w:w="940" w:type="dxa"/>
            <w:vAlign w:val="bottom"/>
          </w:tcPr>
          <w:p>
            <w:pPr>
              <w:jc w:val="right"/>
              <w:spacing w:after="0"/>
              <w:rPr>
                <w:sz w:val="20"/>
                <w:szCs w:val="20"/>
                <w:color w:val="auto"/>
              </w:rPr>
            </w:pPr>
            <w:r>
              <w:rPr>
                <w:rFonts w:ascii="Arial" w:cs="Arial" w:eastAsia="Arial" w:hAnsi="Arial"/>
                <w:sz w:val="14"/>
                <w:szCs w:val="14"/>
                <w:color w:val="auto"/>
              </w:rPr>
              <w:t>(10,189,487)</w:t>
            </w:r>
          </w:p>
        </w:tc>
        <w:tc>
          <w:tcPr>
            <w:tcW w:w="0" w:type="dxa"/>
            <w:vAlign w:val="bottom"/>
          </w:tcPr>
          <w:p>
            <w:pPr>
              <w:spacing w:after="0"/>
              <w:rPr>
                <w:sz w:val="1"/>
                <w:szCs w:val="1"/>
                <w:color w:val="auto"/>
              </w:rPr>
            </w:pPr>
          </w:p>
        </w:tc>
      </w:tr>
      <w:tr>
        <w:trPr>
          <w:trHeight w:val="817"/>
        </w:trPr>
        <w:tc>
          <w:tcPr>
            <w:tcW w:w="2720" w:type="dxa"/>
            <w:vAlign w:val="bottom"/>
            <w:gridSpan w:val="2"/>
          </w:tcPr>
          <w:p>
            <w:pPr>
              <w:ind w:left="180"/>
              <w:spacing w:after="0"/>
              <w:rPr>
                <w:sz w:val="20"/>
                <w:szCs w:val="20"/>
                <w:color w:val="auto"/>
              </w:rPr>
            </w:pPr>
            <w:r>
              <w:rPr>
                <w:rFonts w:ascii="Arial" w:cs="Arial" w:eastAsia="Arial" w:hAnsi="Arial"/>
                <w:sz w:val="14"/>
                <w:szCs w:val="14"/>
                <w:color w:val="auto"/>
              </w:rPr>
              <w:t>Provision for taxes on unrealized</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720" w:type="dxa"/>
            <w:vAlign w:val="bottom"/>
            <w:gridSpan w:val="2"/>
          </w:tcPr>
          <w:p>
            <w:pPr>
              <w:ind w:left="360"/>
              <w:spacing w:after="0"/>
              <w:rPr>
                <w:sz w:val="20"/>
                <w:szCs w:val="20"/>
                <w:color w:val="auto"/>
              </w:rPr>
            </w:pPr>
            <w:r>
              <w:rPr>
                <w:rFonts w:ascii="Arial" w:cs="Arial" w:eastAsia="Arial" w:hAnsi="Arial"/>
                <w:sz w:val="14"/>
                <w:szCs w:val="14"/>
                <w:color w:val="auto"/>
              </w:rPr>
              <w:t>depreciation of investments</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2,372,190</w:t>
            </w: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0.12</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(2,372,190)</w:t>
            </w: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5"/>
        </w:trPr>
        <w:tc>
          <w:tcPr>
            <w:tcW w:w="2720" w:type="dxa"/>
            <w:vAlign w:val="bottom"/>
            <w:gridSpan w:val="2"/>
          </w:tcPr>
          <w:p>
            <w:pPr>
              <w:ind w:left="180"/>
              <w:spacing w:after="0"/>
              <w:rPr>
                <w:sz w:val="20"/>
                <w:szCs w:val="20"/>
                <w:color w:val="auto"/>
              </w:rPr>
            </w:pPr>
            <w:r>
              <w:rPr>
                <w:rFonts w:ascii="Arial" w:cs="Arial" w:eastAsia="Arial" w:hAnsi="Arial"/>
                <w:sz w:val="14"/>
                <w:szCs w:val="14"/>
                <w:color w:val="auto"/>
              </w:rPr>
              <w:t>Net Increase/(Decrease) in Net Assets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720" w:type="dxa"/>
            <w:vAlign w:val="bottom"/>
            <w:gridSpan w:val="2"/>
          </w:tcPr>
          <w:p>
            <w:pPr>
              <w:ind w:left="360"/>
              <w:spacing w:after="0"/>
              <w:rPr>
                <w:sz w:val="20"/>
                <w:szCs w:val="20"/>
                <w:color w:val="auto"/>
              </w:rPr>
            </w:pPr>
            <w:r>
              <w:rPr>
                <w:rFonts w:ascii="Arial" w:cs="Arial" w:eastAsia="Arial" w:hAnsi="Arial"/>
                <w:sz w:val="14"/>
                <w:szCs w:val="14"/>
                <w:color w:val="auto"/>
              </w:rPr>
              <w:t>Resulting from Operations</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(16,281,566)</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$(0.74)</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1,081,501</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0.06</w:t>
            </w:r>
          </w:p>
        </w:tc>
        <w:tc>
          <w:tcPr>
            <w:tcW w:w="940" w:type="dxa"/>
            <w:vAlign w:val="bottom"/>
          </w:tcPr>
          <w:p>
            <w:pPr>
              <w:jc w:val="right"/>
              <w:spacing w:after="0"/>
              <w:rPr>
                <w:sz w:val="20"/>
                <w:szCs w:val="20"/>
                <w:color w:val="auto"/>
              </w:rPr>
            </w:pPr>
            <w:r>
              <w:rPr>
                <w:rFonts w:ascii="Arial" w:cs="Arial" w:eastAsia="Arial" w:hAnsi="Arial"/>
                <w:sz w:val="14"/>
                <w:szCs w:val="14"/>
                <w:color w:val="auto"/>
              </w:rPr>
              <w:t>$(17,363,067)</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980" w:type="dxa"/>
            <w:vAlign w:val="bottom"/>
            <w:tcBorders>
              <w:bottom w:val="single" w:sz="8" w:color="auto"/>
            </w:tcBorders>
          </w:tcPr>
          <w:p>
            <w:pPr>
              <w:spacing w:after="0"/>
              <w:rPr>
                <w:sz w:val="22"/>
                <w:szCs w:val="22"/>
                <w:color w:val="auto"/>
              </w:rPr>
            </w:pPr>
          </w:p>
        </w:tc>
        <w:tc>
          <w:tcPr>
            <w:tcW w:w="1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both"/>
        <w:ind w:right="519"/>
        <w:spacing w:after="0" w:line="238" w:lineRule="auto"/>
        <w:rPr>
          <w:sz w:val="20"/>
          <w:szCs w:val="20"/>
          <w:color w:val="auto"/>
        </w:rPr>
      </w:pPr>
      <w:r>
        <w:rPr>
          <w:rFonts w:ascii="Arial" w:cs="Arial" w:eastAsia="Arial" w:hAnsi="Arial"/>
          <w:sz w:val="13"/>
          <w:szCs w:val="13"/>
          <w:color w:val="auto"/>
        </w:rPr>
        <w:t>Our net investment loss decreased between periods primarily due to the large reversal of incentive fees and no accrual of new tax provisions for the three months ended June 30, 2016, as discussed above.</w:t>
      </w:r>
    </w:p>
    <w:p>
      <w:pPr>
        <w:spacing w:after="0" w:line="2" w:lineRule="exact"/>
        <w:rPr>
          <w:sz w:val="20"/>
          <w:szCs w:val="20"/>
          <w:color w:val="auto"/>
        </w:rPr>
      </w:pPr>
    </w:p>
    <w:p>
      <w:pPr>
        <w:ind w:right="479"/>
        <w:spacing w:after="0" w:line="221" w:lineRule="auto"/>
        <w:rPr>
          <w:sz w:val="20"/>
          <w:szCs w:val="20"/>
          <w:color w:val="auto"/>
        </w:rPr>
      </w:pPr>
      <w:r>
        <w:rPr>
          <w:rFonts w:ascii="Arial" w:cs="Arial" w:eastAsia="Arial" w:hAnsi="Arial"/>
          <w:sz w:val="14"/>
          <w:szCs w:val="14"/>
          <w:color w:val="auto"/>
        </w:rPr>
        <w:t>The components of our net realized gains on portfolio investments excluding treasury investments are reflected in the tables above, under</w:t>
      </w:r>
    </w:p>
    <w:p>
      <w:pPr>
        <w:spacing w:after="0" w:line="1" w:lineRule="exact"/>
        <w:rPr>
          <w:sz w:val="20"/>
          <w:szCs w:val="20"/>
          <w:color w:val="auto"/>
        </w:rPr>
      </w:pPr>
    </w:p>
    <w:p>
      <w:pPr>
        <w:ind w:right="459"/>
        <w:spacing w:after="0" w:line="237" w:lineRule="auto"/>
        <w:rPr>
          <w:sz w:val="20"/>
          <w:szCs w:val="20"/>
          <w:color w:val="auto"/>
        </w:rPr>
      </w:pPr>
      <w:r>
        <w:rPr>
          <w:rFonts w:ascii="Arial" w:cs="Arial" w:eastAsia="Arial" w:hAnsi="Arial"/>
          <w:sz w:val="14"/>
          <w:szCs w:val="14"/>
          <w:color w:val="auto"/>
        </w:rPr>
        <w:t>“— Overview — Investments — (Portfolio Activity).”</w:t>
      </w:r>
    </w:p>
    <w:p>
      <w:pPr>
        <w:spacing w:after="0" w:line="116" w:lineRule="exact"/>
        <w:rPr>
          <w:sz w:val="20"/>
          <w:szCs w:val="20"/>
          <w:color w:val="auto"/>
        </w:rPr>
      </w:pPr>
    </w:p>
    <w:p>
      <w:pPr>
        <w:ind w:right="459"/>
        <w:spacing w:after="0" w:line="231" w:lineRule="auto"/>
        <w:rPr>
          <w:sz w:val="20"/>
          <w:szCs w:val="20"/>
          <w:color w:val="auto"/>
        </w:rPr>
      </w:pPr>
      <w:r>
        <w:rPr>
          <w:rFonts w:ascii="Arial" w:cs="Arial" w:eastAsia="Arial" w:hAnsi="Arial"/>
          <w:sz w:val="14"/>
          <w:szCs w:val="14"/>
          <w:color w:val="auto"/>
        </w:rPr>
        <w:t>Our provision for taxes on realized gains on investments decreased between periods due to our election to be treated as a RIC, which resulted in no new tax provisions being accrued.</w:t>
      </w:r>
    </w:p>
    <w:p>
      <w:pPr>
        <w:spacing w:after="0" w:line="117" w:lineRule="exact"/>
        <w:rPr>
          <w:sz w:val="20"/>
          <w:szCs w:val="20"/>
          <w:color w:val="auto"/>
        </w:rPr>
      </w:pPr>
    </w:p>
    <w:p>
      <w:pPr>
        <w:ind w:right="459"/>
        <w:spacing w:after="0" w:line="229" w:lineRule="auto"/>
        <w:rPr>
          <w:sz w:val="20"/>
          <w:szCs w:val="20"/>
          <w:color w:val="auto"/>
        </w:rPr>
      </w:pPr>
      <w:r>
        <w:rPr>
          <w:rFonts w:ascii="Arial" w:cs="Arial" w:eastAsia="Arial" w:hAnsi="Arial"/>
          <w:sz w:val="14"/>
          <w:szCs w:val="14"/>
          <w:color w:val="auto"/>
        </w:rPr>
        <w:t>The components of our net change between periods in unrealized depreciation of investments are reflected in the table below, under “Net Change in Unrealized Appreciation/(Depreciation) of Investments.”</w:t>
      </w:r>
    </w:p>
    <w:p>
      <w:pPr>
        <w:spacing w:after="0" w:line="118" w:lineRule="exact"/>
        <w:rPr>
          <w:sz w:val="20"/>
          <w:szCs w:val="20"/>
          <w:color w:val="auto"/>
        </w:rPr>
      </w:pPr>
    </w:p>
    <w:p>
      <w:pPr>
        <w:ind w:right="539"/>
        <w:spacing w:after="0" w:line="251" w:lineRule="auto"/>
        <w:rPr>
          <w:sz w:val="20"/>
          <w:szCs w:val="20"/>
          <w:color w:val="auto"/>
        </w:rPr>
      </w:pPr>
      <w:r>
        <w:rPr>
          <w:rFonts w:ascii="Arial" w:cs="Arial" w:eastAsia="Arial" w:hAnsi="Arial"/>
          <w:sz w:val="13"/>
          <w:szCs w:val="13"/>
          <w:color w:val="auto"/>
        </w:rPr>
        <w:t>Our provision for taxes on net change in unrealized depreciation of investments decreased between periods due to our election to be treated as a RIC, which resulted in no accruals of new tax benefits.</w:t>
      </w:r>
    </w:p>
    <w:p>
      <w:pPr>
        <w:spacing w:after="0" w:line="814" w:lineRule="exact"/>
        <w:rPr>
          <w:sz w:val="20"/>
          <w:szCs w:val="20"/>
          <w:color w:val="auto"/>
        </w:rPr>
      </w:pPr>
    </w:p>
    <w:p>
      <w:pPr>
        <w:sectPr>
          <w:pgSz w:w="11900" w:h="16838" w:orient="portrait"/>
          <w:cols w:equalWidth="0" w:num="2">
            <w:col w:w="6920" w:space="160"/>
            <w:col w:w="2999"/>
          </w:cols>
          <w:pgMar w:left="380" w:top="792" w:right="1440" w:bottom="1440" w:gutter="0" w:footer="0" w:header="0"/>
          <w:type w:val="continuous"/>
        </w:sectPr>
      </w:pPr>
    </w:p>
    <w:p>
      <w:pPr>
        <w:spacing w:after="0" w:line="56" w:lineRule="exact"/>
        <w:rPr>
          <w:sz w:val="20"/>
          <w:szCs w:val="20"/>
          <w:color w:val="auto"/>
        </w:rPr>
      </w:pPr>
    </w:p>
    <w:p>
      <w:pPr>
        <w:ind w:left="280" w:right="539" w:hanging="272"/>
        <w:spacing w:after="0" w:line="277" w:lineRule="auto"/>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per-share figures are based on weighted averages of 22,181,003 and 19,320,100 shares of common stock outstanding for the three months ended June 30, 2016 and 2015, respectively.</w:t>
      </w:r>
    </w:p>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 the six months ended June 30,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43821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38213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117475</wp:posOffset>
            </wp:positionV>
            <wp:extent cx="43821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3"/>
                <w:szCs w:val="13"/>
                <w:b w:val="1"/>
                <w:bCs w:val="1"/>
                <w:color w:val="auto"/>
              </w:rPr>
              <w:t>June 30, 2016</w:t>
            </w:r>
          </w:p>
        </w:tc>
        <w:tc>
          <w:tcPr>
            <w:tcW w:w="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3"/>
                <w:szCs w:val="13"/>
                <w:b w:val="1"/>
                <w:bCs w:val="1"/>
                <w:color w:val="auto"/>
              </w:rPr>
              <w:t>June 30, 2015</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2"/>
              <w:spacing w:after="0" w:line="118" w:lineRule="exact"/>
              <w:rPr>
                <w:sz w:val="20"/>
                <w:szCs w:val="20"/>
                <w:color w:val="auto"/>
              </w:rPr>
            </w:pPr>
            <w:r>
              <w:rPr>
                <w:rFonts w:ascii="Arial" w:cs="Arial" w:eastAsia="Arial" w:hAnsi="Arial"/>
                <w:sz w:val="13"/>
                <w:szCs w:val="13"/>
                <w:b w:val="1"/>
                <w:bCs w:val="1"/>
                <w:color w:val="auto"/>
                <w:w w:val="84"/>
              </w:rPr>
              <w:t>Per Basic</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right"/>
              <w:ind w:right="17"/>
              <w:spacing w:after="0" w:line="118" w:lineRule="exact"/>
              <w:rPr>
                <w:sz w:val="20"/>
                <w:szCs w:val="20"/>
                <w:color w:val="auto"/>
              </w:rPr>
            </w:pPr>
            <w:r>
              <w:rPr>
                <w:rFonts w:ascii="Arial" w:cs="Arial" w:eastAsia="Arial" w:hAnsi="Arial"/>
                <w:sz w:val="13"/>
                <w:szCs w:val="13"/>
                <w:b w:val="1"/>
                <w:bCs w:val="1"/>
                <w:color w:val="auto"/>
                <w:w w:val="94"/>
              </w:rPr>
              <w:t>Per Basic</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Total Investment Income</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52"/>
              <w:spacing w:after="0" w:line="186" w:lineRule="exact"/>
              <w:rPr>
                <w:sz w:val="20"/>
                <w:szCs w:val="20"/>
                <w:color w:val="auto"/>
              </w:rPr>
            </w:pPr>
            <w:r>
              <w:rPr>
                <w:rFonts w:ascii="Arial" w:cs="Arial" w:eastAsia="Arial" w:hAnsi="Arial"/>
                <w:sz w:val="13"/>
                <w:szCs w:val="13"/>
                <w:b w:val="1"/>
                <w:bCs w:val="1"/>
                <w:color w:val="auto"/>
                <w:w w:val="87"/>
              </w:rPr>
              <w:t>Share</w:t>
            </w:r>
            <w:r>
              <w:rPr>
                <w:rFonts w:ascii="Arial" w:cs="Arial" w:eastAsia="Arial" w:hAnsi="Arial"/>
                <w:sz w:val="20"/>
                <w:szCs w:val="20"/>
                <w:b w:val="1"/>
                <w:bCs w:val="1"/>
                <w:color w:val="auto"/>
                <w:w w:val="87"/>
                <w:vertAlign w:val="superscript"/>
              </w:rPr>
              <w:t>(1)</w:t>
            </w: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660" w:type="dxa"/>
            <w:vAlign w:val="bottom"/>
            <w:tcBorders>
              <w:bottom w:val="single" w:sz="8" w:color="auto"/>
            </w:tcBorders>
          </w:tcPr>
          <w:p>
            <w:pPr>
              <w:jc w:val="right"/>
              <w:ind w:right="37"/>
              <w:spacing w:after="0" w:line="186" w:lineRule="exact"/>
              <w:rPr>
                <w:sz w:val="20"/>
                <w:szCs w:val="20"/>
                <w:color w:val="auto"/>
              </w:rPr>
            </w:pPr>
            <w:r>
              <w:rPr>
                <w:rFonts w:ascii="Arial" w:cs="Arial" w:eastAsia="Arial" w:hAnsi="Arial"/>
                <w:sz w:val="13"/>
                <w:szCs w:val="13"/>
                <w:b w:val="1"/>
                <w:bCs w:val="1"/>
                <w:color w:val="auto"/>
              </w:rPr>
              <w:t>Share</w:t>
            </w:r>
            <w:r>
              <w:rPr>
                <w:rFonts w:ascii="Arial" w:cs="Arial" w:eastAsia="Arial" w:hAnsi="Arial"/>
                <w:sz w:val="20"/>
                <w:szCs w:val="20"/>
                <w:b w:val="1"/>
                <w:bCs w:val="1"/>
                <w:color w:val="auto"/>
                <w:vertAlign w:val="superscript"/>
              </w:rPr>
              <w:t>(1)</w:t>
            </w: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4"/>
        </w:trPr>
        <w:tc>
          <w:tcPr>
            <w:tcW w:w="2720" w:type="dxa"/>
            <w:vAlign w:val="bottom"/>
            <w:vMerge w:val="continue"/>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rPr>
              <w:t>48,533</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0.00</w:t>
            </w:r>
          </w:p>
        </w:tc>
        <w:tc>
          <w:tcPr>
            <w:tcW w:w="2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b w:val="1"/>
                <w:bCs w:val="1"/>
                <w:color w:val="auto"/>
              </w:rPr>
              <w:t>182,915</w:t>
            </w:r>
          </w:p>
        </w:tc>
        <w:tc>
          <w:tcPr>
            <w:tcW w:w="70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   0.01</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(134,382)</w:t>
            </w:r>
          </w:p>
        </w:tc>
        <w:tc>
          <w:tcPr>
            <w:tcW w:w="0" w:type="dxa"/>
            <w:vAlign w:val="bottom"/>
          </w:tcPr>
          <w:p>
            <w:pPr>
              <w:spacing w:after="0"/>
              <w:rPr>
                <w:sz w:val="1"/>
                <w:szCs w:val="1"/>
                <w:color w:val="auto"/>
              </w:rPr>
            </w:pPr>
          </w:p>
        </w:tc>
      </w:tr>
      <w:tr>
        <w:trPr>
          <w:trHeight w:val="189"/>
        </w:trPr>
        <w:tc>
          <w:tcPr>
            <w:tcW w:w="2720" w:type="dxa"/>
            <w:vAlign w:val="bottom"/>
          </w:tcPr>
          <w:p>
            <w:pPr>
              <w:ind w:left="18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16"/>
                <w:szCs w:val="16"/>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48,533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136,134</w:t>
            </w:r>
          </w:p>
        </w:tc>
        <w:tc>
          <w:tcPr>
            <w:tcW w:w="700" w:type="dxa"/>
            <w:vAlign w:val="bottom"/>
            <w:gridSpan w:val="2"/>
          </w:tcPr>
          <w:p>
            <w:pPr>
              <w:jc w:val="right"/>
              <w:ind w:right="77"/>
              <w:spacing w:after="0"/>
              <w:rPr>
                <w:sz w:val="20"/>
                <w:szCs w:val="20"/>
                <w:color w:val="auto"/>
              </w:rPr>
            </w:pPr>
            <w:r>
              <w:rPr>
                <w:rFonts w:ascii="Arial" w:cs="Arial" w:eastAsia="Arial" w:hAnsi="Arial"/>
                <w:sz w:val="14"/>
                <w:szCs w:val="14"/>
                <w:color w:val="auto"/>
              </w:rPr>
              <w:t>0.01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(87,601)</w:t>
            </w:r>
          </w:p>
        </w:tc>
        <w:tc>
          <w:tcPr>
            <w:tcW w:w="0" w:type="dxa"/>
            <w:vAlign w:val="bottom"/>
          </w:tcPr>
          <w:p>
            <w:pPr>
              <w:spacing w:after="0"/>
              <w:rPr>
                <w:sz w:val="1"/>
                <w:szCs w:val="1"/>
                <w:color w:val="auto"/>
              </w:rPr>
            </w:pPr>
          </w:p>
        </w:tc>
      </w:tr>
      <w:tr>
        <w:trPr>
          <w:trHeight w:val="223"/>
        </w:trPr>
        <w:tc>
          <w:tcPr>
            <w:tcW w:w="2720" w:type="dxa"/>
            <w:vAlign w:val="bottom"/>
          </w:tcPr>
          <w:p>
            <w:pPr>
              <w:ind w:left="180"/>
              <w:spacing w:after="0"/>
              <w:rPr>
                <w:sz w:val="20"/>
                <w:szCs w:val="20"/>
                <w:color w:val="auto"/>
              </w:rPr>
            </w:pPr>
            <w:r>
              <w:rPr>
                <w:rFonts w:ascii="Arial" w:cs="Arial" w:eastAsia="Arial" w:hAnsi="Arial"/>
                <w:sz w:val="14"/>
                <w:szCs w:val="14"/>
                <w:color w:val="auto"/>
              </w:rPr>
              <w:t>Dividend income</w:t>
            </w:r>
          </w:p>
        </w:tc>
        <w:tc>
          <w:tcPr>
            <w:tcW w:w="2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46,781</w:t>
            </w:r>
          </w:p>
        </w:tc>
        <w:tc>
          <w:tcPr>
            <w:tcW w:w="700" w:type="dxa"/>
            <w:vAlign w:val="bottom"/>
            <w:gridSpan w:val="2"/>
          </w:tcPr>
          <w:p>
            <w:pPr>
              <w:jc w:val="right"/>
              <w:ind w:right="77"/>
              <w:spacing w:after="0"/>
              <w:rPr>
                <w:sz w:val="20"/>
                <w:szCs w:val="20"/>
                <w:color w:val="auto"/>
              </w:rPr>
            </w:pPr>
            <w:r>
              <w:rPr>
                <w:rFonts w:ascii="Arial" w:cs="Arial" w:eastAsia="Arial" w:hAnsi="Arial"/>
                <w:sz w:val="14"/>
                <w:szCs w:val="14"/>
                <w:color w:val="auto"/>
              </w:rPr>
              <w:t>0.00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(46,781)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39"/>
        <w:spacing w:after="0"/>
        <w:rPr>
          <w:sz w:val="20"/>
          <w:szCs w:val="20"/>
          <w:color w:val="auto"/>
        </w:rPr>
      </w:pPr>
      <w:r>
        <w:rPr>
          <w:rFonts w:ascii="Arial" w:cs="Arial" w:eastAsia="Arial" w:hAnsi="Arial"/>
          <w:sz w:val="13"/>
          <w:szCs w:val="13"/>
          <w:b w:val="1"/>
          <w:bCs w:val="1"/>
          <w:color w:val="auto"/>
        </w:rPr>
        <w:t>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2540</wp:posOffset>
            </wp:positionV>
            <wp:extent cx="16979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-434340</wp:posOffset>
            </wp:positionV>
            <wp:extent cx="16979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-339725</wp:posOffset>
            </wp:positionV>
            <wp:extent cx="16979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ind w:right="419"/>
        <w:spacing w:after="0" w:line="258" w:lineRule="auto"/>
        <w:rPr>
          <w:sz w:val="20"/>
          <w:szCs w:val="20"/>
          <w:color w:val="auto"/>
        </w:rPr>
      </w:pPr>
      <w:r>
        <w:rPr>
          <w:rFonts w:ascii="Arial" w:cs="Arial" w:eastAsia="Arial" w:hAnsi="Arial"/>
          <w:sz w:val="12"/>
          <w:szCs w:val="12"/>
          <w:color w:val="auto"/>
        </w:rPr>
        <w:t>Total investment income decreased between periods. Interest income decreased for the six months ended June 30, 2016, as compared to the six months ended June 30, 2015, primarily due to the reversal of previously accrued interest from loans to Fullbridge, Inc. Dividend income decreased because there were no dividends earned during the six months ended June 30, 2016.</w:t>
      </w:r>
    </w:p>
    <w:p>
      <w:pPr>
        <w:spacing w:after="0" w:line="2" w:lineRule="exact"/>
        <w:rPr>
          <w:sz w:val="20"/>
          <w:szCs w:val="20"/>
          <w:color w:val="auto"/>
        </w:rPr>
      </w:pPr>
    </w:p>
    <w:p>
      <w:pPr>
        <w:sectPr>
          <w:pgSz w:w="11900" w:h="16838" w:orient="portrait"/>
          <w:cols w:equalWidth="0" w:num="2">
            <w:col w:w="7000" w:space="120"/>
            <w:col w:w="2959"/>
          </w:cols>
          <w:pgMar w:left="380" w:top="792" w:right="1440" w:bottom="1440" w:gutter="0" w:footer="0" w:header="0"/>
        </w:sectPr>
      </w:pPr>
    </w:p>
    <w:p>
      <w:pPr>
        <w:spacing w:after="0"/>
        <w:rPr>
          <w:sz w:val="20"/>
          <w:szCs w:val="20"/>
          <w:color w:val="auto"/>
        </w:rPr>
      </w:pPr>
      <w:r>
        <w:rPr>
          <w:rFonts w:ascii="Arial" w:cs="Arial" w:eastAsia="Arial" w:hAnsi="Arial"/>
          <w:sz w:val="14"/>
          <w:szCs w:val="14"/>
          <w:b w:val="1"/>
          <w:bCs w:val="1"/>
          <w:color w:val="auto"/>
        </w:rPr>
        <w:t>Total Operating Expenses</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Management fees</w:t>
      </w:r>
    </w:p>
    <w:p>
      <w:pPr>
        <w:spacing w:after="0" w:line="42" w:lineRule="exact"/>
        <w:rPr>
          <w:sz w:val="20"/>
          <w:szCs w:val="20"/>
          <w:color w:val="auto"/>
        </w:rPr>
      </w:pPr>
    </w:p>
    <w:p>
      <w:pPr>
        <w:jc w:val="right"/>
        <w:ind w:left="180" w:right="800"/>
        <w:spacing w:after="0" w:line="291" w:lineRule="auto"/>
        <w:rPr>
          <w:sz w:val="20"/>
          <w:szCs w:val="20"/>
          <w:color w:val="auto"/>
        </w:rPr>
      </w:pPr>
      <w:r>
        <w:rPr>
          <w:rFonts w:ascii="Arial" w:cs="Arial" w:eastAsia="Arial" w:hAnsi="Arial"/>
          <w:sz w:val="13"/>
          <w:szCs w:val="13"/>
          <w:color w:val="auto"/>
        </w:rPr>
        <w:t>(Reversal of incentive fee accrual)/Incentive fees</w:t>
      </w:r>
    </w:p>
    <w:p>
      <w:pPr>
        <w:spacing w:after="0" w:line="43" w:lineRule="exact"/>
        <w:rPr>
          <w:sz w:val="20"/>
          <w:szCs w:val="20"/>
          <w:color w:val="auto"/>
        </w:rPr>
      </w:pPr>
    </w:p>
    <w:p>
      <w:pPr>
        <w:ind w:left="360" w:right="180" w:hanging="179"/>
        <w:spacing w:after="0" w:line="253" w:lineRule="auto"/>
        <w:rPr>
          <w:sz w:val="20"/>
          <w:szCs w:val="20"/>
          <w:color w:val="auto"/>
        </w:rPr>
      </w:pPr>
      <w:r>
        <w:rPr>
          <w:rFonts w:ascii="Arial" w:cs="Arial" w:eastAsia="Arial" w:hAnsi="Arial"/>
          <w:sz w:val="14"/>
          <w:szCs w:val="14"/>
          <w:color w:val="auto"/>
        </w:rPr>
        <w:t>Costs incurred under Administration Agreement</w:t>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Directors’ fees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Professional fees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expense</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expenses</w:t>
      </w:r>
    </w:p>
    <w:p>
      <w:pPr>
        <w:spacing w:after="0" w:line="42" w:lineRule="exact"/>
        <w:rPr>
          <w:sz w:val="20"/>
          <w:szCs w:val="20"/>
          <w:color w:val="auto"/>
        </w:rPr>
      </w:pPr>
    </w:p>
    <w:p>
      <w:pPr>
        <w:ind w:left="360" w:right="380" w:hanging="179"/>
        <w:spacing w:after="0" w:line="253" w:lineRule="auto"/>
        <w:rPr>
          <w:sz w:val="20"/>
          <w:szCs w:val="20"/>
          <w:color w:val="auto"/>
        </w:rPr>
      </w:pPr>
      <w:r>
        <w:rPr>
          <w:rFonts w:ascii="Arial" w:cs="Arial" w:eastAsia="Arial" w:hAnsi="Arial"/>
          <w:sz w:val="14"/>
          <w:szCs w:val="14"/>
          <w:color w:val="auto"/>
        </w:rPr>
        <w:t>Gain on fair value adjustment for embedded derivative</w:t>
      </w:r>
    </w:p>
    <w:p>
      <w:pPr>
        <w:spacing w:after="0" w:line="200" w:lineRule="exact"/>
        <w:rPr>
          <w:sz w:val="20"/>
          <w:szCs w:val="20"/>
          <w:color w:val="auto"/>
        </w:rPr>
      </w:pPr>
    </w:p>
    <w:p>
      <w:pPr>
        <w:spacing w:after="0" w:line="27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Benefit for taxes on net investment loss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840" w:type="dxa"/>
            <w:vAlign w:val="bottom"/>
          </w:tcPr>
          <w:p>
            <w:pPr>
              <w:jc w:val="right"/>
              <w:ind w:right="128"/>
              <w:spacing w:after="0"/>
              <w:rPr>
                <w:sz w:val="20"/>
                <w:szCs w:val="20"/>
                <w:color w:val="auto"/>
              </w:rPr>
            </w:pPr>
            <w:r>
              <w:rPr>
                <w:rFonts w:ascii="Arial" w:cs="Arial" w:eastAsia="Arial" w:hAnsi="Arial"/>
                <w:sz w:val="14"/>
                <w:szCs w:val="14"/>
                <w:b w:val="1"/>
                <w:bCs w:val="1"/>
                <w:color w:val="auto"/>
              </w:rPr>
              <w:t>953,567</w:t>
            </w:r>
          </w:p>
        </w:tc>
        <w:tc>
          <w:tcPr>
            <w:tcW w:w="660" w:type="dxa"/>
            <w:vAlign w:val="bottom"/>
          </w:tcPr>
          <w:p>
            <w:pPr>
              <w:jc w:val="right"/>
              <w:ind w:right="128"/>
              <w:spacing w:after="0"/>
              <w:rPr>
                <w:sz w:val="20"/>
                <w:szCs w:val="20"/>
                <w:color w:val="auto"/>
              </w:rPr>
            </w:pPr>
            <w:r>
              <w:rPr>
                <w:rFonts w:ascii="Arial" w:cs="Arial" w:eastAsia="Arial" w:hAnsi="Arial"/>
                <w:sz w:val="14"/>
                <w:szCs w:val="14"/>
                <w:b w:val="1"/>
                <w:bCs w:val="1"/>
                <w:color w:val="auto"/>
              </w:rPr>
              <w:t>0.04</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19,085,854</w:t>
            </w:r>
          </w:p>
        </w:tc>
        <w:tc>
          <w:tcPr>
            <w:tcW w:w="640" w:type="dxa"/>
            <w:vAlign w:val="bottom"/>
          </w:tcPr>
          <w:p>
            <w:pPr>
              <w:jc w:val="right"/>
              <w:ind w:right="128"/>
              <w:spacing w:after="0"/>
              <w:rPr>
                <w:sz w:val="20"/>
                <w:szCs w:val="20"/>
                <w:color w:val="auto"/>
              </w:rPr>
            </w:pPr>
            <w:r>
              <w:rPr>
                <w:rFonts w:ascii="Arial" w:cs="Arial" w:eastAsia="Arial" w:hAnsi="Arial"/>
                <w:sz w:val="14"/>
                <w:szCs w:val="14"/>
                <w:b w:val="1"/>
                <w:bCs w:val="1"/>
                <w:color w:val="auto"/>
              </w:rPr>
              <w:t>0.99</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(18,132,287)</w:t>
            </w:r>
          </w:p>
        </w:tc>
      </w:tr>
      <w:tr>
        <w:trPr>
          <w:trHeight w:val="203"/>
        </w:trPr>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3,698,223</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0.17</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3,931,513</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0.20</w:t>
            </w:r>
          </w:p>
        </w:tc>
        <w:tc>
          <w:tcPr>
            <w:tcW w:w="880" w:type="dxa"/>
            <w:vAlign w:val="bottom"/>
          </w:tcPr>
          <w:p>
            <w:pPr>
              <w:jc w:val="right"/>
              <w:spacing w:after="0"/>
              <w:rPr>
                <w:sz w:val="20"/>
                <w:szCs w:val="20"/>
                <w:color w:val="auto"/>
              </w:rPr>
            </w:pPr>
            <w:r>
              <w:rPr>
                <w:rFonts w:ascii="Arial" w:cs="Arial" w:eastAsia="Arial" w:hAnsi="Arial"/>
                <w:sz w:val="14"/>
                <w:szCs w:val="14"/>
                <w:color w:val="auto"/>
              </w:rPr>
              <w:t>(233,290)</w:t>
            </w:r>
          </w:p>
        </w:tc>
      </w:tr>
      <w:tr>
        <w:trPr>
          <w:trHeight w:val="405"/>
        </w:trPr>
        <w:tc>
          <w:tcPr>
            <w:tcW w:w="840" w:type="dxa"/>
            <w:vAlign w:val="bottom"/>
          </w:tcPr>
          <w:p>
            <w:pPr>
              <w:jc w:val="right"/>
              <w:ind w:right="88"/>
              <w:spacing w:after="0"/>
              <w:rPr>
                <w:sz w:val="20"/>
                <w:szCs w:val="20"/>
                <w:color w:val="auto"/>
              </w:rPr>
            </w:pPr>
            <w:r>
              <w:rPr>
                <w:rFonts w:ascii="Arial" w:cs="Arial" w:eastAsia="Arial" w:hAnsi="Arial"/>
                <w:sz w:val="14"/>
                <w:szCs w:val="14"/>
                <w:color w:val="auto"/>
                <w:w w:val="92"/>
              </w:rPr>
              <w:t>(8,025,808)</w:t>
            </w: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(0.36)</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9,777,067</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0.51</w:t>
            </w:r>
          </w:p>
        </w:tc>
        <w:tc>
          <w:tcPr>
            <w:tcW w:w="880" w:type="dxa"/>
            <w:vAlign w:val="bottom"/>
          </w:tcPr>
          <w:p>
            <w:pPr>
              <w:jc w:val="right"/>
              <w:spacing w:after="0"/>
              <w:rPr>
                <w:sz w:val="20"/>
                <w:szCs w:val="20"/>
                <w:color w:val="auto"/>
              </w:rPr>
            </w:pPr>
            <w:r>
              <w:rPr>
                <w:rFonts w:ascii="Arial" w:cs="Arial" w:eastAsia="Arial" w:hAnsi="Arial"/>
                <w:sz w:val="14"/>
                <w:szCs w:val="14"/>
                <w:color w:val="auto"/>
              </w:rPr>
              <w:t>(17,802,875)</w:t>
            </w:r>
          </w:p>
        </w:tc>
      </w:tr>
      <w:tr>
        <w:trPr>
          <w:trHeight w:val="405"/>
        </w:trPr>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1,298,642</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0.06</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1,587,432</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0.08</w:t>
            </w:r>
          </w:p>
        </w:tc>
        <w:tc>
          <w:tcPr>
            <w:tcW w:w="880" w:type="dxa"/>
            <w:vAlign w:val="bottom"/>
          </w:tcPr>
          <w:p>
            <w:pPr>
              <w:jc w:val="right"/>
              <w:spacing w:after="0"/>
              <w:rPr>
                <w:sz w:val="20"/>
                <w:szCs w:val="20"/>
                <w:color w:val="auto"/>
              </w:rPr>
            </w:pPr>
            <w:r>
              <w:rPr>
                <w:rFonts w:ascii="Arial" w:cs="Arial" w:eastAsia="Arial" w:hAnsi="Arial"/>
                <w:sz w:val="14"/>
                <w:szCs w:val="14"/>
                <w:color w:val="auto"/>
              </w:rPr>
              <w:t>(288,790)</w:t>
            </w:r>
          </w:p>
        </w:tc>
      </w:tr>
      <w:tr>
        <w:trPr>
          <w:trHeight w:val="203"/>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172,500</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0.01</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192,806</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0.01</w:t>
            </w:r>
          </w:p>
        </w:tc>
        <w:tc>
          <w:tcPr>
            <w:tcW w:w="880" w:type="dxa"/>
            <w:vAlign w:val="bottom"/>
          </w:tcPr>
          <w:p>
            <w:pPr>
              <w:jc w:val="right"/>
              <w:spacing w:after="0"/>
              <w:rPr>
                <w:sz w:val="20"/>
                <w:szCs w:val="20"/>
                <w:color w:val="auto"/>
              </w:rPr>
            </w:pPr>
            <w:r>
              <w:rPr>
                <w:rFonts w:ascii="Arial" w:cs="Arial" w:eastAsia="Arial" w:hAnsi="Arial"/>
                <w:sz w:val="14"/>
                <w:szCs w:val="14"/>
                <w:color w:val="auto"/>
              </w:rPr>
              <w:t>(20,306)</w:t>
            </w:r>
          </w:p>
        </w:tc>
      </w:tr>
      <w:tr>
        <w:trPr>
          <w:trHeight w:val="203"/>
        </w:trPr>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1,025,503</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0.05</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735,972</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0.04</w:t>
            </w:r>
          </w:p>
        </w:tc>
        <w:tc>
          <w:tcPr>
            <w:tcW w:w="880" w:type="dxa"/>
            <w:vAlign w:val="bottom"/>
          </w:tcPr>
          <w:p>
            <w:pPr>
              <w:jc w:val="right"/>
              <w:spacing w:after="0"/>
              <w:rPr>
                <w:sz w:val="20"/>
                <w:szCs w:val="20"/>
                <w:color w:val="auto"/>
              </w:rPr>
            </w:pPr>
            <w:r>
              <w:rPr>
                <w:rFonts w:ascii="Arial" w:cs="Arial" w:eastAsia="Arial" w:hAnsi="Arial"/>
                <w:sz w:val="14"/>
                <w:szCs w:val="14"/>
                <w:color w:val="auto"/>
              </w:rPr>
              <w:t>289,531</w:t>
            </w:r>
          </w:p>
        </w:tc>
      </w:tr>
      <w:tr>
        <w:trPr>
          <w:trHeight w:val="203"/>
        </w:trPr>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2,367,489</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0.11</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2,597,586</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0.13</w:t>
            </w:r>
          </w:p>
        </w:tc>
        <w:tc>
          <w:tcPr>
            <w:tcW w:w="880" w:type="dxa"/>
            <w:vAlign w:val="bottom"/>
          </w:tcPr>
          <w:p>
            <w:pPr>
              <w:jc w:val="right"/>
              <w:spacing w:after="0"/>
              <w:rPr>
                <w:sz w:val="20"/>
                <w:szCs w:val="20"/>
                <w:color w:val="auto"/>
              </w:rPr>
            </w:pPr>
            <w:r>
              <w:rPr>
                <w:rFonts w:ascii="Arial" w:cs="Arial" w:eastAsia="Arial" w:hAnsi="Arial"/>
                <w:sz w:val="14"/>
                <w:szCs w:val="14"/>
                <w:color w:val="auto"/>
              </w:rPr>
              <w:t>(230,097)</w:t>
            </w:r>
          </w:p>
        </w:tc>
      </w:tr>
      <w:tr>
        <w:trPr>
          <w:trHeight w:val="203"/>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417,018</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0.02</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264,478</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0.01</w:t>
            </w:r>
          </w:p>
        </w:tc>
        <w:tc>
          <w:tcPr>
            <w:tcW w:w="880" w:type="dxa"/>
            <w:vAlign w:val="bottom"/>
          </w:tcPr>
          <w:p>
            <w:pPr>
              <w:jc w:val="right"/>
              <w:spacing w:after="0"/>
              <w:rPr>
                <w:sz w:val="20"/>
                <w:szCs w:val="20"/>
                <w:color w:val="auto"/>
              </w:rPr>
            </w:pPr>
            <w:r>
              <w:rPr>
                <w:rFonts w:ascii="Arial" w:cs="Arial" w:eastAsia="Arial" w:hAnsi="Arial"/>
                <w:sz w:val="14"/>
                <w:szCs w:val="14"/>
                <w:color w:val="auto"/>
              </w:rPr>
              <w:t>152,540</w:t>
            </w:r>
          </w:p>
        </w:tc>
      </w:tr>
      <w:tr>
        <w:trPr>
          <w:trHeight w:val="405"/>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(1,000)</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(0.00)</w:t>
            </w:r>
          </w:p>
        </w:tc>
        <w:tc>
          <w:tcPr>
            <w:tcW w:w="8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581"/>
        </w:trPr>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7,718,070</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0.40</w:t>
            </w:r>
          </w:p>
        </w:tc>
        <w:tc>
          <w:tcPr>
            <w:tcW w:w="880" w:type="dxa"/>
            <w:vAlign w:val="bottom"/>
          </w:tcPr>
          <w:p>
            <w:pPr>
              <w:jc w:val="right"/>
              <w:spacing w:after="0"/>
              <w:rPr>
                <w:sz w:val="20"/>
                <w:szCs w:val="20"/>
                <w:color w:val="auto"/>
              </w:rPr>
            </w:pPr>
            <w:r>
              <w:rPr>
                <w:rFonts w:ascii="Arial" w:cs="Arial" w:eastAsia="Arial" w:hAnsi="Arial"/>
                <w:sz w:val="14"/>
                <w:szCs w:val="14"/>
                <w:color w:val="auto"/>
              </w:rPr>
              <w:t>(7,718,070)</w:t>
            </w:r>
          </w:p>
        </w:tc>
      </w:tr>
    </w:tbl>
    <w:p>
      <w:pPr>
        <w:spacing w:after="0" w:line="20" w:lineRule="exact"/>
        <w:rPr>
          <w:sz w:val="20"/>
          <w:szCs w:val="20"/>
          <w:color w:val="auto"/>
        </w:rPr>
      </w:pPr>
      <w:r>
        <w:rPr>
          <w:sz w:val="20"/>
          <w:szCs w:val="20"/>
          <w:color w:val="auto"/>
        </w:rPr>
        <w:br w:type="column"/>
      </w:r>
    </w:p>
    <w:p>
      <w:pPr>
        <w:ind w:right="439"/>
        <w:spacing w:after="0" w:line="238" w:lineRule="auto"/>
        <w:rPr>
          <w:sz w:val="20"/>
          <w:szCs w:val="20"/>
          <w:color w:val="auto"/>
        </w:rPr>
      </w:pPr>
      <w:r>
        <w:rPr>
          <w:rFonts w:ascii="Arial" w:cs="Arial" w:eastAsia="Arial" w:hAnsi="Arial"/>
          <w:sz w:val="13"/>
          <w:szCs w:val="13"/>
          <w:color w:val="auto"/>
        </w:rPr>
        <w:t>Total operating expenses decreased for the six months ended June 30, 2016, as compared to the six months ended June 30, 2015, primarily due to the reversal of previously accrued incentive fees, which primarily resulted from net realized losses from the sales of our investments in Bloom Energy Corporation and Gilt Groupe Holdings, Inc., as well as the unrealized depreciation of our portfolio investments in the aggregate. Operating expenses also decreased, to a lesser extent, because management fees decreased due to lower gross assets outstanding and because costs under the Administration Agreement decreased due to lower travel expenses and overhead allocation expenses for the six months ended June 30, 2016, as compared to the six months ended June 30, 2015. Benefit for taxes on net investment loss decreased between periods due to our election to be treated as a RIC, which resulted in no new tax benefits being accrued.</w:t>
      </w:r>
    </w:p>
    <w:p>
      <w:pPr>
        <w:spacing w:after="0" w:line="7" w:lineRule="exact"/>
        <w:rPr>
          <w:sz w:val="20"/>
          <w:szCs w:val="20"/>
          <w:color w:val="auto"/>
        </w:rPr>
      </w:pPr>
    </w:p>
    <w:p>
      <w:pPr>
        <w:sectPr>
          <w:pgSz w:w="11900" w:h="16838" w:orient="portrait"/>
          <w:cols w:equalWidth="0" w:num="3">
            <w:col w:w="2460" w:space="480"/>
            <w:col w:w="4020" w:space="160"/>
            <w:col w:w="2959"/>
          </w:cols>
          <w:pgMar w:left="38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720" w:type="dxa"/>
            <w:vAlign w:val="bottom"/>
            <w:gridSpan w:val="2"/>
          </w:tcPr>
          <w:p>
            <w:pPr>
              <w:ind w:left="180"/>
              <w:spacing w:after="0"/>
              <w:rPr>
                <w:sz w:val="20"/>
                <w:szCs w:val="20"/>
                <w:color w:val="auto"/>
              </w:rPr>
            </w:pPr>
            <w:r>
              <w:rPr>
                <w:rFonts w:ascii="Arial" w:cs="Arial" w:eastAsia="Arial" w:hAnsi="Arial"/>
                <w:sz w:val="14"/>
                <w:szCs w:val="14"/>
                <w:color w:val="auto"/>
              </w:rPr>
              <w:t>Net Investment Loss</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(905,034)</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(0.04)</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(11,184,869)</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(0.58)</w:t>
            </w:r>
          </w:p>
        </w:tc>
        <w:tc>
          <w:tcPr>
            <w:tcW w:w="920" w:type="dxa"/>
            <w:vAlign w:val="bottom"/>
          </w:tcPr>
          <w:p>
            <w:pPr>
              <w:jc w:val="right"/>
              <w:spacing w:after="0"/>
              <w:rPr>
                <w:sz w:val="20"/>
                <w:szCs w:val="20"/>
                <w:color w:val="auto"/>
              </w:rPr>
            </w:pPr>
            <w:r>
              <w:rPr>
                <w:rFonts w:ascii="Arial" w:cs="Arial" w:eastAsia="Arial" w:hAnsi="Arial"/>
                <w:sz w:val="14"/>
                <w:szCs w:val="14"/>
                <w:color w:val="auto"/>
              </w:rPr>
              <w:t>10,279,835</w:t>
            </w:r>
          </w:p>
        </w:tc>
        <w:tc>
          <w:tcPr>
            <w:tcW w:w="0" w:type="dxa"/>
            <w:vAlign w:val="bottom"/>
          </w:tcPr>
          <w:p>
            <w:pPr>
              <w:spacing w:after="0"/>
              <w:rPr>
                <w:sz w:val="1"/>
                <w:szCs w:val="1"/>
                <w:color w:val="auto"/>
              </w:rPr>
            </w:pPr>
          </w:p>
        </w:tc>
      </w:tr>
      <w:tr>
        <w:trPr>
          <w:trHeight w:val="697"/>
        </w:trPr>
        <w:tc>
          <w:tcPr>
            <w:tcW w:w="2720" w:type="dxa"/>
            <w:vAlign w:val="bottom"/>
            <w:gridSpan w:val="2"/>
          </w:tcPr>
          <w:p>
            <w:pPr>
              <w:ind w:left="180"/>
              <w:spacing w:after="0"/>
              <w:rPr>
                <w:sz w:val="20"/>
                <w:szCs w:val="20"/>
                <w:color w:val="auto"/>
              </w:rPr>
            </w:pPr>
            <w:r>
              <w:rPr>
                <w:rFonts w:ascii="Arial" w:cs="Arial" w:eastAsia="Arial" w:hAnsi="Arial"/>
                <w:sz w:val="14"/>
                <w:szCs w:val="14"/>
                <w:color w:val="auto"/>
              </w:rPr>
              <w:t>Net Realized Gains/(Losses) on</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720" w:type="dxa"/>
            <w:vAlign w:val="bottom"/>
            <w:gridSpan w:val="2"/>
          </w:tcPr>
          <w:p>
            <w:pPr>
              <w:ind w:left="360"/>
              <w:spacing w:after="0"/>
              <w:rPr>
                <w:sz w:val="20"/>
                <w:szCs w:val="20"/>
                <w:color w:val="auto"/>
              </w:rPr>
            </w:pPr>
            <w:r>
              <w:rPr>
                <w:rFonts w:ascii="Arial" w:cs="Arial" w:eastAsia="Arial" w:hAnsi="Arial"/>
                <w:sz w:val="14"/>
                <w:szCs w:val="14"/>
                <w:color w:val="auto"/>
              </w:rPr>
              <w:t>Investments</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color w:val="auto"/>
              </w:rPr>
              <w:t>(4,970,709)</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(0.22)</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26,855,017</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1.39</w:t>
            </w:r>
          </w:p>
        </w:tc>
        <w:tc>
          <w:tcPr>
            <w:tcW w:w="920" w:type="dxa"/>
            <w:vAlign w:val="bottom"/>
          </w:tcPr>
          <w:p>
            <w:pPr>
              <w:jc w:val="right"/>
              <w:spacing w:after="0"/>
              <w:rPr>
                <w:sz w:val="20"/>
                <w:szCs w:val="20"/>
                <w:color w:val="auto"/>
              </w:rPr>
            </w:pPr>
            <w:r>
              <w:rPr>
                <w:rFonts w:ascii="Arial" w:cs="Arial" w:eastAsia="Arial" w:hAnsi="Arial"/>
                <w:sz w:val="14"/>
                <w:szCs w:val="14"/>
                <w:color w:val="auto"/>
              </w:rPr>
              <w:t>(31,825,726)</w:t>
            </w:r>
          </w:p>
        </w:tc>
        <w:tc>
          <w:tcPr>
            <w:tcW w:w="0" w:type="dxa"/>
            <w:vAlign w:val="bottom"/>
          </w:tcPr>
          <w:p>
            <w:pPr>
              <w:spacing w:after="0"/>
              <w:rPr>
                <w:sz w:val="1"/>
                <w:szCs w:val="1"/>
                <w:color w:val="auto"/>
              </w:rPr>
            </w:pPr>
          </w:p>
        </w:tc>
      </w:tr>
      <w:tr>
        <w:trPr>
          <w:trHeight w:val="709"/>
        </w:trPr>
        <w:tc>
          <w:tcPr>
            <w:tcW w:w="2720" w:type="dxa"/>
            <w:vAlign w:val="bottom"/>
            <w:gridSpan w:val="2"/>
          </w:tcPr>
          <w:p>
            <w:pPr>
              <w:ind w:left="180"/>
              <w:spacing w:after="0"/>
              <w:rPr>
                <w:sz w:val="20"/>
                <w:szCs w:val="20"/>
                <w:color w:val="auto"/>
              </w:rPr>
            </w:pPr>
            <w:r>
              <w:rPr>
                <w:rFonts w:ascii="Arial" w:cs="Arial" w:eastAsia="Arial" w:hAnsi="Arial"/>
                <w:sz w:val="14"/>
                <w:szCs w:val="14"/>
                <w:color w:val="auto"/>
                <w:w w:val="99"/>
              </w:rPr>
              <w:t>Provision for taxes on Realized Gains on</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720" w:type="dxa"/>
            <w:vAlign w:val="bottom"/>
            <w:gridSpan w:val="2"/>
          </w:tcPr>
          <w:p>
            <w:pPr>
              <w:ind w:left="360"/>
              <w:spacing w:after="0"/>
              <w:rPr>
                <w:sz w:val="20"/>
                <w:szCs w:val="20"/>
                <w:color w:val="auto"/>
              </w:rPr>
            </w:pPr>
            <w:r>
              <w:rPr>
                <w:rFonts w:ascii="Arial" w:cs="Arial" w:eastAsia="Arial" w:hAnsi="Arial"/>
                <w:sz w:val="14"/>
                <w:szCs w:val="14"/>
                <w:color w:val="auto"/>
              </w:rPr>
              <w:t>Investments</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(10,964,904)</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(0.57)</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10,964,904</w:t>
            </w: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55"/>
        </w:trPr>
        <w:tc>
          <w:tcPr>
            <w:tcW w:w="2720" w:type="dxa"/>
            <w:vAlign w:val="bottom"/>
            <w:gridSpan w:val="2"/>
          </w:tcPr>
          <w:p>
            <w:pPr>
              <w:ind w:left="180"/>
              <w:spacing w:after="0"/>
              <w:rPr>
                <w:sz w:val="20"/>
                <w:szCs w:val="20"/>
                <w:color w:val="auto"/>
              </w:rPr>
            </w:pPr>
            <w:r>
              <w:rPr>
                <w:rFonts w:ascii="Arial" w:cs="Arial" w:eastAsia="Arial" w:hAnsi="Arial"/>
                <w:sz w:val="14"/>
                <w:szCs w:val="14"/>
                <w:color w:val="auto"/>
              </w:rPr>
              <w:t>Net Change in Unrealized Appreciation/</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720" w:type="dxa"/>
            <w:vAlign w:val="bottom"/>
            <w:gridSpan w:val="2"/>
          </w:tcPr>
          <w:p>
            <w:pPr>
              <w:ind w:left="360"/>
              <w:spacing w:after="0"/>
              <w:rPr>
                <w:sz w:val="20"/>
                <w:szCs w:val="20"/>
                <w:color w:val="auto"/>
              </w:rPr>
            </w:pPr>
            <w:r>
              <w:rPr>
                <w:rFonts w:ascii="Arial" w:cs="Arial" w:eastAsia="Arial" w:hAnsi="Arial"/>
                <w:sz w:val="14"/>
                <w:szCs w:val="14"/>
                <w:color w:val="auto"/>
              </w:rPr>
              <w:t>(Depreciation) of Investments</w:t>
            </w:r>
          </w:p>
        </w:tc>
        <w:tc>
          <w:tcPr>
            <w:tcW w:w="98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(35,354,887)</w:t>
            </w: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(1.59)</w:t>
            </w: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22,039,682</w:t>
            </w: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1.15</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(57,394,569)</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6"/>
        </w:trPr>
        <w:tc>
          <w:tcPr>
            <w:tcW w:w="2720" w:type="dxa"/>
            <w:vAlign w:val="bottom"/>
            <w:gridSpan w:val="2"/>
          </w:tcPr>
          <w:p>
            <w:pPr>
              <w:ind w:left="180"/>
              <w:spacing w:after="0"/>
              <w:rPr>
                <w:sz w:val="20"/>
                <w:szCs w:val="20"/>
                <w:color w:val="auto"/>
              </w:rPr>
            </w:pPr>
            <w:r>
              <w:rPr>
                <w:rFonts w:ascii="Arial" w:cs="Arial" w:eastAsia="Arial" w:hAnsi="Arial"/>
                <w:sz w:val="14"/>
                <w:szCs w:val="14"/>
                <w:color w:val="auto"/>
              </w:rPr>
              <w:t>Provision for taxes on Unrealized</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20" w:type="dxa"/>
            <w:vAlign w:val="bottom"/>
            <w:gridSpan w:val="2"/>
          </w:tcPr>
          <w:p>
            <w:pPr>
              <w:ind w:left="360"/>
              <w:spacing w:after="0"/>
              <w:rPr>
                <w:sz w:val="20"/>
                <w:szCs w:val="20"/>
                <w:color w:val="auto"/>
              </w:rPr>
            </w:pPr>
            <w:r>
              <w:rPr>
                <w:rFonts w:ascii="Arial" w:cs="Arial" w:eastAsia="Arial" w:hAnsi="Arial"/>
                <w:sz w:val="14"/>
                <w:szCs w:val="14"/>
                <w:color w:val="auto"/>
              </w:rPr>
              <w:t>Appreciation of Investments</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(8,998,803)</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(0.47)</w:t>
            </w:r>
          </w:p>
        </w:tc>
        <w:tc>
          <w:tcPr>
            <w:tcW w:w="920" w:type="dxa"/>
            <w:vAlign w:val="bottom"/>
          </w:tcPr>
          <w:p>
            <w:pPr>
              <w:jc w:val="right"/>
              <w:spacing w:after="0"/>
              <w:rPr>
                <w:sz w:val="20"/>
                <w:szCs w:val="20"/>
                <w:color w:val="auto"/>
              </w:rPr>
            </w:pPr>
            <w:r>
              <w:rPr>
                <w:rFonts w:ascii="Arial" w:cs="Arial" w:eastAsia="Arial" w:hAnsi="Arial"/>
                <w:sz w:val="14"/>
                <w:szCs w:val="14"/>
                <w:color w:val="auto"/>
              </w:rPr>
              <w:t>8,998,803</w:t>
            </w:r>
          </w:p>
        </w:tc>
        <w:tc>
          <w:tcPr>
            <w:tcW w:w="0" w:type="dxa"/>
            <w:vAlign w:val="bottom"/>
          </w:tcPr>
          <w:p>
            <w:pPr>
              <w:spacing w:after="0"/>
              <w:rPr>
                <w:sz w:val="1"/>
                <w:szCs w:val="1"/>
                <w:color w:val="auto"/>
              </w:rPr>
            </w:pPr>
          </w:p>
        </w:tc>
      </w:tr>
      <w:tr>
        <w:trPr>
          <w:trHeight w:val="817"/>
        </w:trPr>
        <w:tc>
          <w:tcPr>
            <w:tcW w:w="2720" w:type="dxa"/>
            <w:vAlign w:val="bottom"/>
            <w:gridSpan w:val="2"/>
          </w:tcPr>
          <w:p>
            <w:pPr>
              <w:ind w:left="180"/>
              <w:spacing w:after="0"/>
              <w:rPr>
                <w:sz w:val="20"/>
                <w:szCs w:val="20"/>
                <w:color w:val="auto"/>
              </w:rPr>
            </w:pPr>
            <w:r>
              <w:rPr>
                <w:rFonts w:ascii="Arial" w:cs="Arial" w:eastAsia="Arial" w:hAnsi="Arial"/>
                <w:sz w:val="14"/>
                <w:szCs w:val="14"/>
                <w:color w:val="auto"/>
              </w:rPr>
              <w:t>Net Increase/(Decrease) in Net Assets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720" w:type="dxa"/>
            <w:vAlign w:val="bottom"/>
            <w:gridSpan w:val="2"/>
          </w:tcPr>
          <w:p>
            <w:pPr>
              <w:ind w:left="360"/>
              <w:spacing w:after="0"/>
              <w:rPr>
                <w:sz w:val="20"/>
                <w:szCs w:val="20"/>
                <w:color w:val="auto"/>
              </w:rPr>
            </w:pPr>
            <w:r>
              <w:rPr>
                <w:rFonts w:ascii="Arial" w:cs="Arial" w:eastAsia="Arial" w:hAnsi="Arial"/>
                <w:sz w:val="14"/>
                <w:szCs w:val="14"/>
                <w:color w:val="auto"/>
              </w:rPr>
              <w:t>Resulting from Operations</w:t>
            </w:r>
          </w:p>
        </w:tc>
        <w:tc>
          <w:tcPr>
            <w:tcW w:w="980" w:type="dxa"/>
            <w:vAlign w:val="bottom"/>
            <w:gridSpan w:val="3"/>
          </w:tcPr>
          <w:p>
            <w:pPr>
              <w:jc w:val="right"/>
              <w:ind w:right="8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(41,230,630)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$(1.86)</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17,746,123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0.92</w:t>
            </w:r>
          </w:p>
        </w:tc>
        <w:tc>
          <w:tcPr>
            <w:tcW w:w="920" w:type="dxa"/>
            <w:vAlign w:val="bottom"/>
          </w:tcPr>
          <w:p>
            <w:pPr>
              <w:jc w:val="right"/>
              <w:spacing w:after="0"/>
              <w:rPr>
                <w:sz w:val="20"/>
                <w:szCs w:val="20"/>
                <w:color w:val="auto"/>
              </w:rPr>
            </w:pPr>
            <w:r>
              <w:rPr>
                <w:rFonts w:ascii="Arial" w:cs="Arial" w:eastAsia="Arial" w:hAnsi="Arial"/>
                <w:sz w:val="14"/>
                <w:szCs w:val="14"/>
                <w:color w:val="auto"/>
              </w:rPr>
              <w:t>$(58,976,753)</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980" w:type="dxa"/>
            <w:vAlign w:val="bottom"/>
            <w:tcBorders>
              <w:bottom w:val="single" w:sz="8" w:color="auto"/>
            </w:tcBorders>
          </w:tcPr>
          <w:p>
            <w:pPr>
              <w:spacing w:after="0"/>
              <w:rPr>
                <w:sz w:val="23"/>
                <w:szCs w:val="23"/>
                <w:color w:val="auto"/>
              </w:rPr>
            </w:pPr>
          </w:p>
        </w:tc>
        <w:tc>
          <w:tcPr>
            <w:tcW w:w="1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479"/>
        <w:spacing w:after="0" w:line="246" w:lineRule="auto"/>
        <w:rPr>
          <w:sz w:val="20"/>
          <w:szCs w:val="20"/>
          <w:color w:val="auto"/>
        </w:rPr>
      </w:pPr>
      <w:r>
        <w:rPr>
          <w:rFonts w:ascii="Arial" w:cs="Arial" w:eastAsia="Arial" w:hAnsi="Arial"/>
          <w:sz w:val="13"/>
          <w:szCs w:val="13"/>
          <w:color w:val="auto"/>
        </w:rPr>
        <w:t>Our net investment loss decreased between periods primarily due to the large reversal of incentive fees and no accrual of new tax provisions for the six months ended June 30, 2016, as discussed above.</w:t>
      </w:r>
    </w:p>
    <w:p>
      <w:pPr>
        <w:spacing w:after="0" w:line="113" w:lineRule="exact"/>
        <w:rPr>
          <w:sz w:val="20"/>
          <w:szCs w:val="20"/>
          <w:color w:val="auto"/>
        </w:rPr>
      </w:pPr>
    </w:p>
    <w:p>
      <w:pPr>
        <w:ind w:right="419"/>
        <w:spacing w:after="0" w:line="277" w:lineRule="auto"/>
        <w:rPr>
          <w:sz w:val="20"/>
          <w:szCs w:val="20"/>
          <w:color w:val="auto"/>
        </w:rPr>
      </w:pPr>
      <w:r>
        <w:rPr>
          <w:rFonts w:ascii="Arial" w:cs="Arial" w:eastAsia="Arial" w:hAnsi="Arial"/>
          <w:sz w:val="12"/>
          <w:szCs w:val="12"/>
          <w:color w:val="auto"/>
        </w:rPr>
        <w:t>The components of our net realized gains and losses on portfolio investments excluding treasury investments are reflected in the tables above, under “— Overview — Investments — (Portfolio Activity).”</w:t>
      </w:r>
    </w:p>
    <w:p>
      <w:pPr>
        <w:spacing w:after="0" w:line="95" w:lineRule="exact"/>
        <w:rPr>
          <w:sz w:val="20"/>
          <w:szCs w:val="20"/>
          <w:color w:val="auto"/>
        </w:rPr>
      </w:pPr>
    </w:p>
    <w:p>
      <w:pPr>
        <w:ind w:right="419"/>
        <w:spacing w:after="0" w:line="231" w:lineRule="auto"/>
        <w:rPr>
          <w:sz w:val="20"/>
          <w:szCs w:val="20"/>
          <w:color w:val="auto"/>
        </w:rPr>
      </w:pPr>
      <w:r>
        <w:rPr>
          <w:rFonts w:ascii="Arial" w:cs="Arial" w:eastAsia="Arial" w:hAnsi="Arial"/>
          <w:sz w:val="14"/>
          <w:szCs w:val="14"/>
          <w:color w:val="auto"/>
        </w:rPr>
        <w:t>Our provision for taxes on realized gains on investments decreased between periods due to our election to be treated as a RIC, which resulted in no new tax provisions being accrued.</w:t>
      </w: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The components of our net change between</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periods in unrealized</w:t>
      </w:r>
    </w:p>
    <w:p>
      <w:pPr>
        <w:spacing w:after="0"/>
        <w:rPr>
          <w:sz w:val="20"/>
          <w:szCs w:val="20"/>
          <w:color w:val="auto"/>
        </w:rPr>
      </w:pPr>
      <w:r>
        <w:rPr>
          <w:rFonts w:ascii="Arial" w:cs="Arial" w:eastAsia="Arial" w:hAnsi="Arial"/>
          <w:sz w:val="13"/>
          <w:szCs w:val="13"/>
          <w:color w:val="auto"/>
        </w:rPr>
        <w:t>appreciation/(deprecation) of investments</w:t>
      </w:r>
    </w:p>
    <w:p>
      <w:pPr>
        <w:spacing w:after="0"/>
        <w:rPr>
          <w:sz w:val="20"/>
          <w:szCs w:val="20"/>
          <w:color w:val="auto"/>
        </w:rPr>
      </w:pPr>
      <w:r>
        <w:rPr>
          <w:rFonts w:ascii="Arial" w:cs="Arial" w:eastAsia="Arial" w:hAnsi="Arial"/>
          <w:sz w:val="13"/>
          <w:szCs w:val="13"/>
          <w:color w:val="auto"/>
        </w:rPr>
        <w:t>are reflected in the table below, under “Net</w:t>
      </w:r>
    </w:p>
    <w:p>
      <w:pPr>
        <w:spacing w:after="0" w:line="221" w:lineRule="auto"/>
        <w:rPr>
          <w:sz w:val="20"/>
          <w:szCs w:val="20"/>
          <w:color w:val="auto"/>
        </w:rPr>
      </w:pPr>
      <w:r>
        <w:rPr>
          <w:rFonts w:ascii="Arial" w:cs="Arial" w:eastAsia="Arial" w:hAnsi="Arial"/>
          <w:sz w:val="14"/>
          <w:szCs w:val="14"/>
          <w:color w:val="auto"/>
        </w:rPr>
        <w:t>Change in Unrealized</w:t>
      </w:r>
    </w:p>
    <w:p>
      <w:pPr>
        <w:spacing w:after="0" w:line="221" w:lineRule="auto"/>
        <w:rPr>
          <w:sz w:val="20"/>
          <w:szCs w:val="20"/>
          <w:color w:val="auto"/>
        </w:rPr>
      </w:pPr>
      <w:r>
        <w:rPr>
          <w:rFonts w:ascii="Arial" w:cs="Arial" w:eastAsia="Arial" w:hAnsi="Arial"/>
          <w:sz w:val="14"/>
          <w:szCs w:val="14"/>
          <w:color w:val="auto"/>
        </w:rPr>
        <w:t>Appreciation/(Depreciation)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Investments.”</w:t>
      </w:r>
    </w:p>
    <w:p>
      <w:pPr>
        <w:spacing w:after="0" w:line="124" w:lineRule="exact"/>
        <w:rPr>
          <w:sz w:val="20"/>
          <w:szCs w:val="20"/>
          <w:color w:val="auto"/>
        </w:rPr>
      </w:pPr>
    </w:p>
    <w:p>
      <w:pPr>
        <w:ind w:right="639"/>
        <w:spacing w:after="0" w:line="229" w:lineRule="auto"/>
        <w:rPr>
          <w:sz w:val="20"/>
          <w:szCs w:val="20"/>
          <w:color w:val="auto"/>
        </w:rPr>
      </w:pPr>
      <w:r>
        <w:rPr>
          <w:rFonts w:ascii="Arial" w:cs="Arial" w:eastAsia="Arial" w:hAnsi="Arial"/>
          <w:sz w:val="14"/>
          <w:szCs w:val="14"/>
          <w:color w:val="auto"/>
        </w:rPr>
        <w:t>Our provision for taxes on net change in unrealized appreciation of investments decreased between periods due to our election to be treated as a RIC, which resulted in no accruals of new tax provisions.</w:t>
      </w:r>
    </w:p>
    <w:p>
      <w:pPr>
        <w:spacing w:after="0" w:line="836" w:lineRule="exact"/>
        <w:rPr>
          <w:sz w:val="20"/>
          <w:szCs w:val="20"/>
          <w:color w:val="auto"/>
        </w:rPr>
      </w:pPr>
    </w:p>
    <w:p>
      <w:pPr>
        <w:sectPr>
          <w:pgSz w:w="11900" w:h="16838" w:orient="portrait"/>
          <w:cols w:equalWidth="0" w:num="2">
            <w:col w:w="6960" w:space="160"/>
            <w:col w:w="2959"/>
          </w:cols>
          <w:pgMar w:left="380" w:top="792" w:right="1440" w:bottom="1440" w:gutter="0" w:footer="0" w:header="0"/>
          <w:type w:val="continuous"/>
        </w:sectPr>
      </w:pPr>
    </w:p>
    <w:p>
      <w:pPr>
        <w:spacing w:after="0" w:line="56" w:lineRule="exact"/>
        <w:rPr>
          <w:sz w:val="20"/>
          <w:szCs w:val="20"/>
          <w:color w:val="auto"/>
        </w:rPr>
      </w:pPr>
    </w:p>
    <w:p>
      <w:pPr>
        <w:ind w:left="280" w:right="539" w:hanging="272"/>
        <w:spacing w:after="0" w:line="277" w:lineRule="auto"/>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per-share figures are based on weighted averages of 22,181,003 and 19,320,100 shares of common stock outstanding for the six months ended June 30, 2016 and 2015, respectively.</w:t>
      </w:r>
    </w:p>
    <w:p>
      <w:pPr>
        <w:spacing w:after="0" w:line="200" w:lineRule="exact"/>
        <w:rPr>
          <w:sz w:val="20"/>
          <w:szCs w:val="20"/>
          <w:color w:val="auto"/>
        </w:rPr>
      </w:pPr>
    </w:p>
    <w:p>
      <w:pPr>
        <w:spacing w:after="0" w:line="30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50" w:name="page51"/>
    <w:bookmarkEnd w:id="5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117" w:lineRule="exact"/>
        <w:rPr>
          <w:sz w:val="20"/>
          <w:szCs w:val="20"/>
          <w:color w:val="auto"/>
        </w:rPr>
      </w:pPr>
    </w:p>
    <w:p>
      <w:pPr>
        <w:ind w:left="60" w:right="559" w:firstLine="270"/>
        <w:spacing w:after="0" w:line="259" w:lineRule="auto"/>
        <w:rPr>
          <w:sz w:val="20"/>
          <w:szCs w:val="20"/>
          <w:color w:val="auto"/>
        </w:rPr>
      </w:pPr>
      <w:r>
        <w:rPr>
          <w:rFonts w:ascii="Arial" w:cs="Arial" w:eastAsia="Arial" w:hAnsi="Arial"/>
          <w:sz w:val="18"/>
          <w:szCs w:val="18"/>
          <w:color w:val="auto"/>
        </w:rPr>
        <w:t>For the three months ended June 30, 2016, we had a net change in unrealized depreciation of $15,933,886. For the three months ended June 30, 2015, we had a net change in unrealized depreciation of $5,744,399. The following tables summarize, by portfolio company, the significant changes in unrealized appreciation/(depreciation) of our investment portfolio for each of the three months ended June 30,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52139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4"/>
                <w:szCs w:val="14"/>
                <w:color w:val="auto"/>
              </w:rPr>
            </w:pPr>
          </w:p>
        </w:tc>
        <w:tc>
          <w:tcPr>
            <w:tcW w:w="27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0"/>
              </w:rPr>
              <w:t>As of June 30, 2016</w:t>
            </w:r>
          </w:p>
        </w:tc>
        <w:tc>
          <w:tcPr>
            <w:tcW w:w="80" w:type="dxa"/>
            <w:vAlign w:val="bottom"/>
          </w:tcPr>
          <w:p>
            <w:pPr>
              <w:spacing w:after="0"/>
              <w:rPr>
                <w:sz w:val="14"/>
                <w:szCs w:val="14"/>
                <w:color w:val="auto"/>
              </w:rPr>
            </w:pPr>
          </w:p>
        </w:tc>
        <w:tc>
          <w:tcPr>
            <w:tcW w:w="272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As of March 31,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80" w:type="dxa"/>
            <w:vAlign w:val="bottom"/>
          </w:tcPr>
          <w:p>
            <w:pPr>
              <w:spacing w:after="0"/>
              <w:rPr>
                <w:sz w:val="12"/>
                <w:szCs w:val="12"/>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1560" w:type="dxa"/>
            <w:vAlign w:val="bottom"/>
            <w:gridSpan w:val="3"/>
            <w:vMerge w:val="continue"/>
          </w:tcPr>
          <w:p>
            <w:pPr>
              <w:spacing w:after="0"/>
              <w:rPr>
                <w:sz w:val="14"/>
                <w:szCs w:val="14"/>
                <w:color w:val="auto"/>
              </w:rPr>
            </w:pP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(Depreciation)</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Fullbridge, Inc.</w:t>
            </w: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(4,885,195)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8,418,479</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1,122,848</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w w:val="98"/>
              </w:rPr>
              <w:t>$ (7,295,631)</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8,428,132</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6,017,696</w:t>
            </w:r>
          </w:p>
        </w:tc>
        <w:tc>
          <w:tcPr>
            <w:tcW w:w="1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w w:val="98"/>
              </w:rPr>
              <w:t>$ (2,410,436)</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Solexel, Inc.</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(4,935,262)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14,018,399</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9,091,235</w:t>
            </w:r>
          </w:p>
        </w:tc>
        <w:tc>
          <w:tcPr>
            <w:tcW w:w="1040" w:type="dxa"/>
            <w:vAlign w:val="bottom"/>
            <w:tcBorders>
              <w:left w:val="single" w:sz="8" w:color="CCEEFF"/>
            </w:tcBorders>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(4,927,164)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14,018,399</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14,026,497</w:t>
            </w:r>
          </w:p>
        </w:tc>
        <w:tc>
          <w:tcPr>
            <w:tcW w:w="106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8,098</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Dataminr, Inc.</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(2,634,109)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3,164,265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6,147,025</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2,982,760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3,164,265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8,781,134</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5,616,869</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Lyft, Inc.</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(2,151,193)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6,022,062</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10,708,568</w:t>
            </w:r>
          </w:p>
        </w:tc>
        <w:tc>
          <w:tcPr>
            <w:tcW w:w="104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4,686,506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6,846,063</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13,683,762</w:t>
            </w:r>
          </w:p>
        </w:tc>
        <w:tc>
          <w:tcPr>
            <w:tcW w:w="106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6,837,699</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Dropbox, Inc.</w:t>
            </w: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(1,916,830)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17,267,910</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3,610,984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19,184,740</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5,527,814</w:t>
            </w:r>
          </w:p>
        </w:tc>
        <w:tc>
          <w:tcPr>
            <w:tcW w:w="0" w:type="dxa"/>
            <w:vAlign w:val="bottom"/>
          </w:tcPr>
          <w:p>
            <w:pPr>
              <w:spacing w:after="0"/>
              <w:rPr>
                <w:sz w:val="1"/>
                <w:szCs w:val="1"/>
                <w:color w:val="auto"/>
              </w:rPr>
            </w:pPr>
          </w:p>
        </w:tc>
      </w:tr>
      <w:tr>
        <w:trPr>
          <w:trHeight w:val="189"/>
        </w:trPr>
        <w:tc>
          <w:tcPr>
            <w:tcW w:w="15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588,703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278,489,288</w:t>
            </w: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300,537,403</w:t>
            </w:r>
          </w:p>
        </w:tc>
        <w:tc>
          <w:tcPr>
            <w:tcW w:w="10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22,048,115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273,982,651</w:t>
            </w:r>
          </w:p>
        </w:tc>
        <w:tc>
          <w:tcPr>
            <w:tcW w:w="14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295,442,063</w:t>
            </w:r>
          </w:p>
        </w:tc>
        <w:tc>
          <w:tcPr>
            <w:tcW w:w="10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21,459,412</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Totals</w:t>
            </w:r>
          </w:p>
        </w:tc>
        <w:tc>
          <w:tcPr>
            <w:tcW w:w="900" w:type="dxa"/>
            <w:vAlign w:val="bottom"/>
            <w:gridSpan w:val="3"/>
          </w:tcPr>
          <w:p>
            <w:pPr>
              <w:jc w:val="right"/>
              <w:ind w:right="60"/>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 xml:space="preserve"> (15,933,886)</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323,769,419</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344,874,989</w:t>
            </w:r>
          </w:p>
        </w:tc>
        <w:tc>
          <w:tcPr>
            <w:tcW w:w="104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$ 21,105,570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89"/>
              </w:rPr>
              <w:t>320,096,436</w:t>
            </w:r>
          </w:p>
        </w:tc>
        <w:tc>
          <w:tcPr>
            <w:tcW w:w="2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2"/>
              </w:rPr>
              <w:t>357,135,892</w:t>
            </w:r>
          </w:p>
        </w:tc>
        <w:tc>
          <w:tcPr>
            <w:tcW w:w="106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$ 37,039,456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20"/>
                <w:szCs w:val="20"/>
                <w:color w:val="auto"/>
              </w:rPr>
            </w:pPr>
          </w:p>
        </w:tc>
        <w:tc>
          <w:tcPr>
            <w:tcW w:w="27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0"/>
              </w:rPr>
              <w:t>As of June 30, 2015</w:t>
            </w:r>
          </w:p>
        </w:tc>
        <w:tc>
          <w:tcPr>
            <w:tcW w:w="80" w:type="dxa"/>
            <w:vAlign w:val="bottom"/>
          </w:tcPr>
          <w:p>
            <w:pPr>
              <w:spacing w:after="0"/>
              <w:rPr>
                <w:sz w:val="20"/>
                <w:szCs w:val="20"/>
                <w:color w:val="auto"/>
              </w:rPr>
            </w:pPr>
          </w:p>
        </w:tc>
        <w:tc>
          <w:tcPr>
            <w:tcW w:w="272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As of March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80" w:type="dxa"/>
            <w:vAlign w:val="bottom"/>
          </w:tcPr>
          <w:p>
            <w:pPr>
              <w:spacing w:after="0"/>
              <w:rPr>
                <w:sz w:val="12"/>
                <w:szCs w:val="12"/>
                <w:color w:val="auto"/>
              </w:rPr>
            </w:pPr>
          </w:p>
        </w:tc>
        <w:tc>
          <w:tcPr>
            <w:tcW w:w="7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1560" w:type="dxa"/>
            <w:vAlign w:val="bottom"/>
            <w:gridSpan w:val="3"/>
            <w:vMerge w:val="continue"/>
          </w:tcPr>
          <w:p>
            <w:pPr>
              <w:spacing w:after="0"/>
              <w:rPr>
                <w:sz w:val="14"/>
                <w:szCs w:val="14"/>
                <w:color w:val="auto"/>
              </w:rPr>
            </w:pP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(Depreciation)</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Twitter, Inc.</w:t>
            </w:r>
          </w:p>
        </w:tc>
        <w:tc>
          <w:tcPr>
            <w:tcW w:w="90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color w:val="auto"/>
                <w:w w:val="90"/>
              </w:rPr>
              <w:t>$ (24,186,724)</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14,271,866</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28,997,732</w:t>
            </w:r>
          </w:p>
        </w:tc>
        <w:tc>
          <w:tcPr>
            <w:tcW w:w="14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2"/>
              </w:rPr>
              <w:t>$ 14,725,866</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21,213,458</w:t>
            </w: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60,126,048</w:t>
            </w:r>
          </w:p>
        </w:tc>
        <w:tc>
          <w:tcPr>
            <w:tcW w:w="1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2"/>
              </w:rPr>
              <w:t>$ 38,912,590</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Palantir Technologies,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2,412,783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17,200,023</w:t>
            </w: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48,783,020</w:t>
            </w:r>
          </w:p>
        </w:tc>
        <w:tc>
          <w:tcPr>
            <w:tcW w:w="10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31,582,997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17,200,023</w:t>
            </w:r>
          </w:p>
        </w:tc>
        <w:tc>
          <w:tcPr>
            <w:tcW w:w="14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46,370,237</w:t>
            </w:r>
          </w:p>
        </w:tc>
        <w:tc>
          <w:tcPr>
            <w:tcW w:w="106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29,170,214</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Dropbox, Inc.</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4,391,357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30,027,479</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16,370,553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25,636,122</w:t>
            </w:r>
          </w:p>
        </w:tc>
        <w:tc>
          <w:tcPr>
            <w:tcW w:w="10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11,979,196</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2U, Inc. (f/k/a 2tor, Inc.)</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7,848,117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10,032,117</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38,219,499</w:t>
            </w:r>
          </w:p>
        </w:tc>
        <w:tc>
          <w:tcPr>
            <w:tcW w:w="104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28,187,382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10,032,117</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30,371,382</w:t>
            </w:r>
          </w:p>
        </w:tc>
        <w:tc>
          <w:tcPr>
            <w:tcW w:w="106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20,339,265</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JAMF Holdings, Inc.</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1,238,327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9,999,928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11,237,917</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1,237,989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9,999,928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9,999,590</w:t>
            </w: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Spotify Technology S.A.</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2,500,645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3,598,472</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8,152,255</w:t>
            </w:r>
          </w:p>
        </w:tc>
        <w:tc>
          <w:tcPr>
            <w:tcW w:w="104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4,553,783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3,598,472</w:t>
            </w:r>
          </w:p>
        </w:tc>
        <w:tc>
          <w:tcPr>
            <w:tcW w:w="14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5,651,610</w:t>
            </w:r>
          </w:p>
        </w:tc>
        <w:tc>
          <w:tcPr>
            <w:tcW w:w="1060" w:type="dxa"/>
            <w:vAlign w:val="bottom"/>
            <w:tcBorders>
              <w:left w:val="single" w:sz="8" w:color="CCEEFF"/>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2,053,138</w:t>
            </w:r>
          </w:p>
        </w:tc>
        <w:tc>
          <w:tcPr>
            <w:tcW w:w="0" w:type="dxa"/>
            <w:vAlign w:val="bottom"/>
          </w:tcPr>
          <w:p>
            <w:pPr>
              <w:spacing w:after="0"/>
              <w:rPr>
                <w:sz w:val="1"/>
                <w:szCs w:val="1"/>
                <w:color w:val="auto"/>
              </w:rPr>
            </w:pPr>
          </w:p>
        </w:tc>
      </w:tr>
      <w:tr>
        <w:trPr>
          <w:trHeight w:val="189"/>
        </w:trPr>
        <w:tc>
          <w:tcPr>
            <w:tcW w:w="1560" w:type="dxa"/>
            <w:vAlign w:val="bottom"/>
            <w:gridSpan w:val="3"/>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10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51,096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335,160,624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330,424,438</w:t>
            </w: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(4,736,186)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333,561,891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328,774,609</w:t>
            </w: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(4,787,282)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560" w:type="dxa"/>
            <w:vAlign w:val="bottom"/>
            <w:tcBorders>
              <w:right w:val="single" w:sz="8" w:color="CCEEFF"/>
            </w:tcBorders>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Totals</w:t>
            </w: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(5,744,399)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403,919,956</w:t>
            </w:r>
          </w:p>
        </w:tc>
        <w:tc>
          <w:tcPr>
            <w:tcW w:w="22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495,842,340</w:t>
            </w:r>
          </w:p>
        </w:tc>
        <w:tc>
          <w:tcPr>
            <w:tcW w:w="1040" w:type="dxa"/>
            <w:vAlign w:val="bottom"/>
            <w:tcBorders>
              <w:left w:val="single" w:sz="8" w:color="CCEEFF"/>
            </w:tcBorders>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$ 91,922,384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409,262,815</w:t>
            </w:r>
          </w:p>
        </w:tc>
        <w:tc>
          <w:tcPr>
            <w:tcW w:w="22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506,929,598</w:t>
            </w:r>
          </w:p>
        </w:tc>
        <w:tc>
          <w:tcPr>
            <w:tcW w:w="1060" w:type="dxa"/>
            <w:vAlign w:val="bottom"/>
            <w:tcBorders>
              <w:left w:val="single" w:sz="8" w:color="CCEEFF"/>
            </w:tcBorders>
            <w:gridSpan w:val="3"/>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$ 97,666,783</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-1697355</wp:posOffset>
            </wp:positionV>
            <wp:extent cx="5213985" cy="15093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13985" cy="1509395"/>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342" w:lineRule="auto"/>
        <w:tabs>
          <w:tab w:leader="none" w:pos="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represents all investments (including U.S. Treasury Bills and U.S. Treasury Strips) whose individual change in unrealized appreciation/(depreciation) was less than $1,000,000 for each of the three months ended June 30, 2016 and 2015.</w:t>
      </w: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1" w:name="page52"/>
    <w:bookmarkEnd w:id="5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579" w:firstLine="270"/>
        <w:spacing w:after="0" w:line="259" w:lineRule="auto"/>
        <w:rPr>
          <w:sz w:val="20"/>
          <w:szCs w:val="20"/>
          <w:color w:val="auto"/>
        </w:rPr>
      </w:pPr>
      <w:r>
        <w:rPr>
          <w:rFonts w:ascii="Arial" w:cs="Arial" w:eastAsia="Arial" w:hAnsi="Arial"/>
          <w:sz w:val="18"/>
          <w:szCs w:val="18"/>
          <w:color w:val="auto"/>
        </w:rPr>
        <w:t>For the six months ended June 30, 2016, we had a net change in unrealized depreciation of $35,354,887. For the six months ended June 30, 2015, we had a net change in unrealized appreciation of $22,039,682. The following tables summarize, by portfolio company, the significant changes in unrealized appreciation/(depreciation) of our investment portfolio for each of the six months ended June 30, 2016 and 2015,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52139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4"/>
                <w:szCs w:val="14"/>
                <w:color w:val="auto"/>
              </w:rPr>
            </w:pPr>
          </w:p>
        </w:tc>
        <w:tc>
          <w:tcPr>
            <w:tcW w:w="27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0"/>
              </w:rPr>
              <w:t>As of June 30, 2016</w:t>
            </w:r>
          </w:p>
        </w:tc>
        <w:tc>
          <w:tcPr>
            <w:tcW w:w="80" w:type="dxa"/>
            <w:vAlign w:val="bottom"/>
          </w:tcPr>
          <w:p>
            <w:pPr>
              <w:spacing w:after="0"/>
              <w:rPr>
                <w:sz w:val="14"/>
                <w:szCs w:val="14"/>
                <w:color w:val="auto"/>
              </w:rPr>
            </w:pPr>
          </w:p>
        </w:tc>
        <w:tc>
          <w:tcPr>
            <w:tcW w:w="27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As of December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8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1560" w:type="dxa"/>
            <w:vAlign w:val="bottom"/>
            <w:gridSpan w:val="3"/>
            <w:vMerge w:val="continue"/>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(Depreciation)</w:t>
            </w: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23"/>
        </w:trPr>
        <w:tc>
          <w:tcPr>
            <w:tcW w:w="156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Palantir Technologies,</w:t>
            </w: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 (11,131,768)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9"/>
              </w:rPr>
              <w:t>17,198,903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9"/>
              </w:rPr>
              <w:t>45,221,480</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$ 28,022,577</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9"/>
              </w:rPr>
              <w:t>17,198,903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56,353,248</w:t>
            </w:r>
          </w:p>
        </w:tc>
        <w:tc>
          <w:tcPr>
            <w:tcW w:w="1000" w:type="dxa"/>
            <w:vAlign w:val="bottom"/>
            <w:gridSpan w:val="3"/>
          </w:tcPr>
          <w:p>
            <w:pPr>
              <w:jc w:val="right"/>
              <w:ind w:right="120"/>
              <w:spacing w:after="0"/>
              <w:rPr>
                <w:sz w:val="20"/>
                <w:szCs w:val="20"/>
                <w:color w:val="auto"/>
              </w:rPr>
            </w:pPr>
            <w:r>
              <w:rPr>
                <w:rFonts w:ascii="Arial" w:cs="Arial" w:eastAsia="Arial" w:hAnsi="Arial"/>
                <w:sz w:val="14"/>
                <w:szCs w:val="14"/>
                <w:color w:val="auto"/>
              </w:rPr>
              <w:t>$ 39,154,345</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Fullbridge,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(5,655,694)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8,418,479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1,122,848</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(7,295,631)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7,417,039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5,777,102</w:t>
            </w:r>
          </w:p>
        </w:tc>
        <w:tc>
          <w:tcPr>
            <w:tcW w:w="10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(1,639,937)</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Dataminr, Inc.</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(5,241,364)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3,164,265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6,147,025</w:t>
            </w: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2,982,760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3,164,265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11,388,389</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8,224,124</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Twitter,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(4,987,738)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14,271,866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13,538,146</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(733,720)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14,271,866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18,525,884</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4,254,018</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Dropbox, Inc.</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(4,964,278)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17,267,910</w:t>
            </w: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3,610,984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22,232,188</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8,575,262</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Solexel,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(4,936,231)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14,018,399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9,091,235</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(4,927,164)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14,018,399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14,027,466</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9,067</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Chegg, Inc.</w:t>
            </w: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(2,046,230)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14,022,863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5,913,960</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(8,108,903)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14,022,863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7,960,190</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(6,062,673)</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Lyft,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(1,775,644)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6,022,062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10,708,568</w:t>
            </w:r>
          </w:p>
        </w:tc>
        <w:tc>
          <w:tcPr>
            <w:tcW w:w="9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4,686,506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7,507,216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13,969,366</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6,462,150</w:t>
            </w:r>
          </w:p>
        </w:tc>
        <w:tc>
          <w:tcPr>
            <w:tcW w:w="0" w:type="dxa"/>
            <w:vAlign w:val="bottom"/>
          </w:tcPr>
          <w:p>
            <w:pPr>
              <w:spacing w:after="0"/>
              <w:rPr>
                <w:sz w:val="1"/>
                <w:szCs w:val="1"/>
                <w:color w:val="auto"/>
              </w:rPr>
            </w:pPr>
          </w:p>
        </w:tc>
      </w:tr>
      <w:tr>
        <w:trPr>
          <w:trHeight w:val="130"/>
        </w:trPr>
        <w:tc>
          <w:tcPr>
            <w:tcW w:w="15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GSV Sustainability</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Partners</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(1,523,289)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7,161,412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4,726,711</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(2,434,701)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7,161,412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6,250,000</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(911,412)</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SugarCRM, Inc.</w:t>
            </w: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(1,012,969)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6,977,024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8,970,337</w:t>
            </w:r>
          </w:p>
        </w:tc>
        <w:tc>
          <w:tcPr>
            <w:tcW w:w="9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1,993,313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6,977,024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9,983,306</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3,006,282</w:t>
            </w:r>
          </w:p>
        </w:tc>
        <w:tc>
          <w:tcPr>
            <w:tcW w:w="0" w:type="dxa"/>
            <w:vAlign w:val="bottom"/>
          </w:tcPr>
          <w:p>
            <w:pPr>
              <w:spacing w:after="0"/>
              <w:rPr>
                <w:sz w:val="1"/>
                <w:szCs w:val="1"/>
                <w:color w:val="auto"/>
              </w:rPr>
            </w:pPr>
          </w:p>
        </w:tc>
      </w:tr>
      <w:tr>
        <w:trPr>
          <w:trHeight w:val="130"/>
        </w:trPr>
        <w:tc>
          <w:tcPr>
            <w:tcW w:w="15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Gilt Groupe Holdings,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800" w:type="dxa"/>
            <w:vAlign w:val="bottom"/>
          </w:tcPr>
          <w:p>
            <w:pPr>
              <w:jc w:val="right"/>
              <w:spacing w:after="0"/>
              <w:rPr>
                <w:sz w:val="20"/>
                <w:szCs w:val="20"/>
                <w:color w:val="auto"/>
              </w:rPr>
            </w:pPr>
            <w:r>
              <w:rPr>
                <w:rFonts w:ascii="Arial" w:cs="Arial" w:eastAsia="Arial" w:hAnsi="Arial"/>
                <w:sz w:val="14"/>
                <w:szCs w:val="14"/>
                <w:color w:val="auto"/>
              </w:rPr>
              <w:t>6,055,046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6,594,433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539,387</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(6,055,046)</w:t>
            </w:r>
          </w:p>
        </w:tc>
        <w:tc>
          <w:tcPr>
            <w:tcW w:w="0" w:type="dxa"/>
            <w:vAlign w:val="bottom"/>
          </w:tcPr>
          <w:p>
            <w:pPr>
              <w:spacing w:after="0"/>
              <w:rPr>
                <w:sz w:val="1"/>
                <w:szCs w:val="1"/>
                <w:color w:val="auto"/>
              </w:rPr>
            </w:pPr>
          </w:p>
        </w:tc>
      </w:tr>
      <w:tr>
        <w:trPr>
          <w:trHeight w:val="189"/>
        </w:trPr>
        <w:tc>
          <w:tcPr>
            <w:tcW w:w="15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1,865,272</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218,857,220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222,166,769</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3,309,549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215,034,657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216,478,934</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1,444,277</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Totals</w:t>
            </w:r>
          </w:p>
        </w:tc>
        <w:tc>
          <w:tcPr>
            <w:tcW w:w="900" w:type="dxa"/>
            <w:vAlign w:val="bottom"/>
            <w:gridSpan w:val="2"/>
          </w:tcPr>
          <w:p>
            <w:pPr>
              <w:jc w:val="right"/>
              <w:ind w:right="60"/>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 xml:space="preserve"> (35,354,887)</w:t>
            </w: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89"/>
              </w:rPr>
              <w:t>323,769,419</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89"/>
              </w:rPr>
              <w:t>344,874,989</w:t>
            </w:r>
          </w:p>
        </w:tc>
        <w:tc>
          <w:tcPr>
            <w:tcW w:w="98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$ 21,105,570</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89"/>
              </w:rPr>
              <w:t>327,025,003</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383,485,460</w:t>
            </w:r>
          </w:p>
        </w:tc>
        <w:tc>
          <w:tcPr>
            <w:tcW w:w="100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$ 56,460,457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20"/>
                <w:szCs w:val="20"/>
                <w:color w:val="auto"/>
              </w:rPr>
            </w:pPr>
          </w:p>
        </w:tc>
        <w:tc>
          <w:tcPr>
            <w:tcW w:w="278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0"/>
              </w:rPr>
              <w:t>As of June 30, 2015</w:t>
            </w:r>
          </w:p>
        </w:tc>
        <w:tc>
          <w:tcPr>
            <w:tcW w:w="80" w:type="dxa"/>
            <w:vAlign w:val="bottom"/>
          </w:tcPr>
          <w:p>
            <w:pPr>
              <w:spacing w:after="0"/>
              <w:rPr>
                <w:sz w:val="20"/>
                <w:szCs w:val="20"/>
                <w:color w:val="auto"/>
              </w:rPr>
            </w:pPr>
          </w:p>
        </w:tc>
        <w:tc>
          <w:tcPr>
            <w:tcW w:w="27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As of December 31,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49"/>
        </w:trPr>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Fair Value</w:t>
            </w:r>
          </w:p>
        </w:tc>
        <w:tc>
          <w:tcPr>
            <w:tcW w:w="8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80" w:type="dxa"/>
            <w:vAlign w:val="bottom"/>
          </w:tcPr>
          <w:p>
            <w:pPr>
              <w:spacing w:after="0"/>
              <w:rPr>
                <w:sz w:val="12"/>
                <w:szCs w:val="12"/>
                <w:color w:val="auto"/>
              </w:rPr>
            </w:pPr>
          </w:p>
        </w:tc>
        <w:tc>
          <w:tcPr>
            <w:tcW w:w="7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1560" w:type="dxa"/>
            <w:vAlign w:val="bottom"/>
            <w:gridSpan w:val="3"/>
            <w:vMerge w:val="continue"/>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(Depreciation)</w:t>
            </w: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Twitter, Inc.</w:t>
            </w:r>
          </w:p>
        </w:tc>
        <w:tc>
          <w:tcPr>
            <w:tcW w:w="9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w w:val="90"/>
              </w:rPr>
              <w:t>$ (15,136,093)</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14,271,866</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28,997,732</w:t>
            </w:r>
          </w:p>
        </w:tc>
        <w:tc>
          <w:tcPr>
            <w:tcW w:w="8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2"/>
              </w:rPr>
              <w:t>$ 14,725,866</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27,551,563</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57,413,522</w:t>
            </w:r>
          </w:p>
        </w:tc>
        <w:tc>
          <w:tcPr>
            <w:tcW w:w="10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w w:val="92"/>
              </w:rPr>
              <w:t>$ 29,861,959</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Dataminr, Inc.</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7,931,309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3,164,265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11,876,054</w:t>
            </w:r>
          </w:p>
        </w:tc>
        <w:tc>
          <w:tcPr>
            <w:tcW w:w="9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8,711,789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3,164,265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3,944,745</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780,480</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2U, Inc. (f/k/a 2tor, Inc.)</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14,876,990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10,032,117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38,219,499</w:t>
            </w: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28,187,382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10,032,117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23,342,509</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13,310,392</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Lyft, Inc.</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3,659,875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7,507,216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11,162,511</w:t>
            </w:r>
          </w:p>
        </w:tc>
        <w:tc>
          <w:tcPr>
            <w:tcW w:w="9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3,655,295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5,003,634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4,999,054</w:t>
            </w:r>
          </w:p>
        </w:tc>
        <w:tc>
          <w:tcPr>
            <w:tcW w:w="10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(4,580)</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Chegg, Inc.</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1,099,996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14,022,863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9,273,089</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(4,749,774)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14,022,863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8,173,093</w:t>
            </w:r>
          </w:p>
        </w:tc>
        <w:tc>
          <w:tcPr>
            <w:tcW w:w="10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(5,849,770)</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JAMF Holdings, Inc.</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1,238,327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11,237,917</w:t>
            </w:r>
          </w:p>
        </w:tc>
        <w:tc>
          <w:tcPr>
            <w:tcW w:w="9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1,237,989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9,999,928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9,999,590</w:t>
            </w:r>
          </w:p>
        </w:tc>
        <w:tc>
          <w:tcPr>
            <w:tcW w:w="10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Spotify Technology S.A.</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2,475,382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3,598,472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8,152,255</w:t>
            </w: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4,553,783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3,598,472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5,676,873</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2,078,401</w:t>
            </w:r>
          </w:p>
        </w:tc>
        <w:tc>
          <w:tcPr>
            <w:tcW w:w="0" w:type="dxa"/>
            <w:vAlign w:val="bottom"/>
          </w:tcPr>
          <w:p>
            <w:pPr>
              <w:spacing w:after="0"/>
              <w:rPr>
                <w:sz w:val="1"/>
                <w:szCs w:val="1"/>
                <w:color w:val="auto"/>
              </w:rPr>
            </w:pPr>
          </w:p>
        </w:tc>
      </w:tr>
      <w:tr>
        <w:trPr>
          <w:trHeight w:val="130"/>
        </w:trPr>
        <w:tc>
          <w:tcPr>
            <w:tcW w:w="1560" w:type="dxa"/>
            <w:vAlign w:val="bottom"/>
            <w:tcBorders>
              <w:right w:val="single" w:sz="8" w:color="CCEEFF"/>
            </w:tcBorders>
            <w:gridSpan w:val="3"/>
            <w:shd w:val="clear" w:color="auto" w:fill="CCEEFF"/>
          </w:tcPr>
          <w:p>
            <w:pPr>
              <w:ind w:left="20"/>
              <w:spacing w:after="0" w:line="130" w:lineRule="exact"/>
              <w:rPr>
                <w:sz w:val="20"/>
                <w:szCs w:val="20"/>
                <w:color w:val="auto"/>
              </w:rPr>
            </w:pPr>
            <w:r>
              <w:rPr>
                <w:rFonts w:ascii="Arial" w:cs="Arial" w:eastAsia="Arial" w:hAnsi="Arial"/>
                <w:sz w:val="14"/>
                <w:szCs w:val="14"/>
                <w:color w:val="auto"/>
              </w:rPr>
              <w:t>Palantir Technologies,</w:t>
            </w:r>
          </w:p>
        </w:tc>
        <w:tc>
          <w:tcPr>
            <w:tcW w:w="8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154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Inc.</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3,306,585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17,200,023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48,783,020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31,582,997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17,198,903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45,475,315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28,276,412</w:t>
            </w:r>
          </w:p>
        </w:tc>
        <w:tc>
          <w:tcPr>
            <w:tcW w:w="0" w:type="dxa"/>
            <w:vAlign w:val="bottom"/>
          </w:tcPr>
          <w:p>
            <w:pPr>
              <w:spacing w:after="0"/>
              <w:rPr>
                <w:sz w:val="1"/>
                <w:szCs w:val="1"/>
                <w:color w:val="auto"/>
              </w:rPr>
            </w:pPr>
          </w:p>
        </w:tc>
      </w:tr>
      <w:tr>
        <w:trPr>
          <w:trHeight w:val="149"/>
        </w:trPr>
        <w:tc>
          <w:tcPr>
            <w:tcW w:w="15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Dropbox, Inc.</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4,958,996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30,027,479</w:t>
            </w:r>
          </w:p>
        </w:tc>
        <w:tc>
          <w:tcPr>
            <w:tcW w:w="9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16,370,553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13,656,926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25,068,483</w:t>
            </w: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11,411,557</w:t>
            </w:r>
          </w:p>
        </w:tc>
        <w:tc>
          <w:tcPr>
            <w:tcW w:w="0" w:type="dxa"/>
            <w:vAlign w:val="bottom"/>
          </w:tcPr>
          <w:p>
            <w:pPr>
              <w:spacing w:after="0"/>
              <w:rPr>
                <w:sz w:val="1"/>
                <w:szCs w:val="1"/>
                <w:color w:val="auto"/>
              </w:rPr>
            </w:pPr>
          </w:p>
        </w:tc>
      </w:tr>
      <w:tr>
        <w:trPr>
          <w:trHeight w:val="149"/>
        </w:trPr>
        <w:tc>
          <w:tcPr>
            <w:tcW w:w="1560" w:type="dxa"/>
            <w:vAlign w:val="bottom"/>
            <w:tcBorders>
              <w:righ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SugarCRM, Inc.</w:t>
            </w:r>
          </w:p>
        </w:tc>
        <w:tc>
          <w:tcPr>
            <w:tcW w:w="8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1,029,396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8,301,474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12,291,890</w:t>
            </w:r>
          </w:p>
        </w:tc>
        <w:tc>
          <w:tcPr>
            <w:tcW w:w="9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3,990,416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8,299,914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11,260,934</w:t>
            </w:r>
          </w:p>
        </w:tc>
        <w:tc>
          <w:tcPr>
            <w:tcW w:w="10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2,961,020</w:t>
            </w:r>
          </w:p>
        </w:tc>
        <w:tc>
          <w:tcPr>
            <w:tcW w:w="0" w:type="dxa"/>
            <w:vAlign w:val="bottom"/>
          </w:tcPr>
          <w:p>
            <w:pPr>
              <w:spacing w:after="0"/>
              <w:rPr>
                <w:sz w:val="1"/>
                <w:szCs w:val="1"/>
                <w:color w:val="auto"/>
              </w:rPr>
            </w:pPr>
          </w:p>
        </w:tc>
      </w:tr>
      <w:tr>
        <w:trPr>
          <w:trHeight w:val="130"/>
        </w:trPr>
        <w:tc>
          <w:tcPr>
            <w:tcW w:w="1560" w:type="dxa"/>
            <w:vAlign w:val="bottom"/>
            <w:gridSpan w:val="3"/>
          </w:tcPr>
          <w:p>
            <w:pPr>
              <w:ind w:left="20"/>
              <w:spacing w:after="0" w:line="130" w:lineRule="exact"/>
              <w:rPr>
                <w:sz w:val="20"/>
                <w:szCs w:val="20"/>
                <w:color w:val="auto"/>
              </w:rPr>
            </w:pPr>
            <w:r>
              <w:rPr>
                <w:rFonts w:ascii="Arial" w:cs="Arial" w:eastAsia="Arial" w:hAnsi="Arial"/>
                <w:sz w:val="14"/>
                <w:szCs w:val="14"/>
                <w:color w:val="auto"/>
              </w:rPr>
              <w:t>Gilt Groupe Holdings,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color w:val="auto"/>
              </w:rPr>
              <w:t>Inc.</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(1,973,186)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6,594,433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1,194,922</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(5,399,511)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6,594,433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3,168,108</w:t>
            </w: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(3,426,325)</w:t>
            </w:r>
          </w:p>
        </w:tc>
        <w:tc>
          <w:tcPr>
            <w:tcW w:w="0" w:type="dxa"/>
            <w:vAlign w:val="bottom"/>
          </w:tcPr>
          <w:p>
            <w:pPr>
              <w:spacing w:after="0"/>
              <w:rPr>
                <w:sz w:val="1"/>
                <w:szCs w:val="1"/>
                <w:color w:val="auto"/>
              </w:rPr>
            </w:pPr>
          </w:p>
        </w:tc>
      </w:tr>
      <w:tr>
        <w:trPr>
          <w:trHeight w:val="189"/>
        </w:trPr>
        <w:tc>
          <w:tcPr>
            <w:tcW w:w="15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Arial" w:cs="Arial" w:eastAsia="Arial" w:hAnsi="Arial"/>
                <w:sz w:val="13"/>
                <w:szCs w:val="13"/>
                <w:color w:val="auto"/>
              </w:rPr>
              <w:t>Other</w:t>
            </w:r>
            <w:r>
              <w:rPr>
                <w:rFonts w:ascii="Arial" w:cs="Arial" w:eastAsia="Arial" w:hAnsi="Arial"/>
                <w:sz w:val="21"/>
                <w:szCs w:val="21"/>
                <w:color w:val="auto"/>
                <w:vertAlign w:val="superscript"/>
              </w:rPr>
              <w:t>(1)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(1,427,895)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295,570,373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284,625,972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(10,944,401)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289,276,695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2"/>
              </w:rPr>
              <w:t>279,760,189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(9,516,506)</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560" w:type="dxa"/>
            <w:vAlign w:val="bottom"/>
            <w:gridSpan w:val="3"/>
          </w:tcPr>
          <w:p>
            <w:pPr>
              <w:ind w:left="20"/>
              <w:spacing w:after="0" w:line="142" w:lineRule="exact"/>
              <w:rPr>
                <w:sz w:val="20"/>
                <w:szCs w:val="20"/>
                <w:color w:val="auto"/>
              </w:rPr>
            </w:pPr>
            <w:r>
              <w:rPr>
                <w:rFonts w:ascii="Arial" w:cs="Arial" w:eastAsia="Arial" w:hAnsi="Arial"/>
                <w:sz w:val="14"/>
                <w:szCs w:val="14"/>
                <w:color w:val="auto"/>
              </w:rPr>
              <w:t>Totals</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w w:val="95"/>
              </w:rPr>
              <w:t>$ 22,039,682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89"/>
              </w:rPr>
              <w:t>403,919,956</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89"/>
              </w:rPr>
              <w:t>495,842,340</w:t>
            </w:r>
          </w:p>
        </w:tc>
        <w:tc>
          <w:tcPr>
            <w:tcW w:w="98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$ 91,922,384</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89"/>
              </w:rPr>
              <w:t>408,399,713</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w w:val="92"/>
              </w:rPr>
              <w:t>478,282,415</w:t>
            </w:r>
          </w:p>
        </w:tc>
        <w:tc>
          <w:tcPr>
            <w:tcW w:w="1000" w:type="dxa"/>
            <w:vAlign w:val="bottom"/>
            <w:gridSpan w:val="3"/>
          </w:tcPr>
          <w:p>
            <w:pPr>
              <w:jc w:val="right"/>
              <w:ind w:right="120"/>
              <w:spacing w:after="0" w:line="142" w:lineRule="exact"/>
              <w:rPr>
                <w:sz w:val="20"/>
                <w:szCs w:val="20"/>
                <w:color w:val="auto"/>
              </w:rPr>
            </w:pPr>
            <w:r>
              <w:rPr>
                <w:rFonts w:ascii="Arial" w:cs="Arial" w:eastAsia="Arial" w:hAnsi="Arial"/>
                <w:sz w:val="14"/>
                <w:szCs w:val="14"/>
                <w:color w:val="auto"/>
              </w:rPr>
              <w:t>$ 69,882,702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-2254885</wp:posOffset>
            </wp:positionV>
            <wp:extent cx="5213985" cy="20751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213985" cy="207518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342" w:lineRule="auto"/>
        <w:tabs>
          <w:tab w:leader="none" w:pos="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represents all investments (including U.S. Treasury Bills and U.S. Treasury Strips) whose individual change in unrealized appreciation/(depreciation) was less than $1,000,000 for each of the six months ended June 30, 2016 and 2015.</w:t>
      </w:r>
    </w:p>
    <w:p>
      <w:pPr>
        <w:spacing w:after="0" w:line="200" w:lineRule="exact"/>
        <w:rPr>
          <w:sz w:val="20"/>
          <w:szCs w:val="20"/>
          <w:color w:val="auto"/>
        </w:rPr>
      </w:pPr>
    </w:p>
    <w:p>
      <w:pPr>
        <w:spacing w:after="0" w:line="26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2" w:name="page53"/>
    <w:bookmarkEnd w:id="5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60" w:right="899" w:firstLine="270"/>
        <w:spacing w:after="0" w:line="286" w:lineRule="auto"/>
        <w:rPr>
          <w:sz w:val="20"/>
          <w:szCs w:val="20"/>
          <w:color w:val="auto"/>
        </w:rPr>
      </w:pPr>
      <w:r>
        <w:rPr>
          <w:rFonts w:ascii="Arial" w:cs="Arial" w:eastAsia="Arial" w:hAnsi="Arial"/>
          <w:sz w:val="17"/>
          <w:szCs w:val="17"/>
          <w:color w:val="auto"/>
        </w:rPr>
        <w:t>Our liquidity and capital resources are generated primarily from the net proceeds of public offerings of our equity and debt securities, advances from our Credit Facility, as well as the sales of our investments. In management’s view, we have sufficient liquidity and capital resources to pay our operating expenses and conduct investment activities.</w:t>
      </w:r>
    </w:p>
    <w:p>
      <w:pPr>
        <w:spacing w:after="0" w:line="57" w:lineRule="exact"/>
        <w:rPr>
          <w:sz w:val="20"/>
          <w:szCs w:val="20"/>
          <w:color w:val="auto"/>
        </w:rPr>
      </w:pPr>
    </w:p>
    <w:p>
      <w:pPr>
        <w:ind w:left="60" w:right="659" w:firstLine="270"/>
        <w:spacing w:after="0" w:line="342" w:lineRule="auto"/>
        <w:rPr>
          <w:sz w:val="20"/>
          <w:szCs w:val="20"/>
          <w:color w:val="auto"/>
        </w:rPr>
      </w:pPr>
      <w:r>
        <w:rPr>
          <w:rFonts w:ascii="Arial" w:cs="Arial" w:eastAsia="Arial" w:hAnsi="Arial"/>
          <w:sz w:val="16"/>
          <w:szCs w:val="16"/>
          <w:color w:val="auto"/>
        </w:rPr>
        <w:t>Our primary uses of cash are to make investments, pay our operating expenses and make distributions to our stockholders. For the six months ended June 30, 2016 and 2015, our operating expenses were $953,567 and $19,085,854,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51968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5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2,457,294</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8,049,760</w:t>
            </w:r>
          </w:p>
        </w:tc>
        <w:tc>
          <w:tcPr>
            <w:tcW w:w="0" w:type="dxa"/>
            <w:vAlign w:val="bottom"/>
          </w:tcPr>
          <w:p>
            <w:pPr>
              <w:spacing w:after="0"/>
              <w:rPr>
                <w:sz w:val="1"/>
                <w:szCs w:val="1"/>
                <w:color w:val="auto"/>
              </w:rPr>
            </w:pPr>
          </w:p>
        </w:tc>
      </w:tr>
      <w:tr>
        <w:trPr>
          <w:trHeight w:val="257"/>
        </w:trPr>
        <w:tc>
          <w:tcPr>
            <w:tcW w:w="58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Amounts available for borrowing under the Credit Facility</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14,500,000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18,000,000</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Securities of Publicly Traded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82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Portfolio Companies</w:t>
            </w:r>
            <w:r>
              <w:rPr>
                <w:rFonts w:ascii="Arial" w:cs="Arial" w:eastAsia="Arial" w:hAnsi="Arial"/>
                <w:sz w:val="29"/>
                <w:szCs w:val="29"/>
                <w:color w:val="auto"/>
                <w:vertAlign w:val="superscript"/>
              </w:rPr>
              <w:t>(2)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580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Unrestricted securities</w:t>
            </w:r>
            <w:r>
              <w:rPr>
                <w:rFonts w:ascii="Arial" w:cs="Arial" w:eastAsia="Arial" w:hAnsi="Arial"/>
                <w:sz w:val="29"/>
                <w:szCs w:val="29"/>
                <w:color w:val="auto"/>
                <w:vertAlign w:val="superscript"/>
              </w:rPr>
              <w:t>(3)</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19,452,106</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38,270,821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Subject to other Sales Restrictions</w:t>
            </w:r>
            <w:r>
              <w:rPr>
                <w:rFonts w:ascii="Arial" w:cs="Arial" w:eastAsia="Arial" w:hAnsi="Arial"/>
                <w:sz w:val="29"/>
                <w:szCs w:val="29"/>
                <w:color w:val="auto"/>
                <w:vertAlign w:val="superscript"/>
              </w:rPr>
              <w:t>(4)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38,456,939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19,452,106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76,727,760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4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Total Cash reserves and Liquid securities</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36,409,400</w:t>
            </w:r>
          </w:p>
        </w:tc>
        <w:tc>
          <w:tcPr>
            <w:tcW w:w="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102,777,520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300" w:right="579" w:hanging="272"/>
        <w:spacing w:after="0" w:line="308"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Subject to leverage and borrowing base restrictions under the Credit Facility. Refer to “Note 9 — Long-Term Liabilities” to our condensed consolidated financial statements as of June 30, 2016 for details regarding the Credit Facility.</w:t>
      </w:r>
    </w:p>
    <w:p>
      <w:pPr>
        <w:spacing w:after="0" w:line="38" w:lineRule="exact"/>
        <w:rPr>
          <w:rFonts w:ascii="Arial" w:cs="Arial" w:eastAsia="Arial" w:hAnsi="Arial"/>
          <w:sz w:val="17"/>
          <w:szCs w:val="17"/>
          <w:color w:val="auto"/>
        </w:rPr>
      </w:pPr>
    </w:p>
    <w:p>
      <w:pPr>
        <w:ind w:left="300" w:right="779" w:hanging="272"/>
        <w:spacing w:after="0" w:line="27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portfolio investments are pledged as collateral to secure any borrowings under the Credit Facility. We may incur losses if we liquidate these positions to pay operating expenses or fund new investments.</w:t>
      </w:r>
    </w:p>
    <w:p>
      <w:pPr>
        <w:spacing w:after="0" w:line="62" w:lineRule="exact"/>
        <w:rPr>
          <w:rFonts w:ascii="Arial" w:cs="Arial" w:eastAsia="Arial" w:hAnsi="Arial"/>
          <w:sz w:val="18"/>
          <w:szCs w:val="18"/>
          <w:color w:val="auto"/>
        </w:rPr>
      </w:pPr>
    </w:p>
    <w:p>
      <w:pPr>
        <w:ind w:left="300" w:right="559" w:hanging="272"/>
        <w:spacing w:after="0" w:line="27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“Unrestricted Securities” represents common stock of our publicly traded companies that are not subject to any restrictions upon sale.</w:t>
      </w:r>
    </w:p>
    <w:p>
      <w:pPr>
        <w:spacing w:after="0" w:line="62" w:lineRule="exact"/>
        <w:rPr>
          <w:rFonts w:ascii="Arial" w:cs="Arial" w:eastAsia="Arial" w:hAnsi="Arial"/>
          <w:sz w:val="18"/>
          <w:szCs w:val="18"/>
          <w:color w:val="auto"/>
        </w:rPr>
      </w:pPr>
    </w:p>
    <w:p>
      <w:pPr>
        <w:ind w:left="300" w:right="599" w:hanging="272"/>
        <w:spacing w:after="0" w:line="257"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June 30, 2015, this balance represents our common shares of Cricket Media (f/k/a ePals Inc.) and 2U, Inc. (f/k/a 2tor, Inc.). These shares are freely tradable, however at certain times in the past, these shares may have been subject to black-out periods as a result of Michael Moe’s previously held seats on the boards of directors of these portfolio companies. Mr. Moe resigned from his position as a director of Cricket Media in May 2016. Mr. Moe’s term as a director of 2U, Inc. expired on June 7, 2016, and he did not stand for re-election.</w:t>
      </w:r>
    </w:p>
    <w:p>
      <w:pPr>
        <w:spacing w:after="0" w:line="80" w:lineRule="exact"/>
        <w:rPr>
          <w:sz w:val="20"/>
          <w:szCs w:val="20"/>
          <w:color w:val="auto"/>
        </w:rPr>
      </w:pPr>
    </w:p>
    <w:p>
      <w:pPr>
        <w:ind w:left="60" w:right="619" w:firstLine="270"/>
        <w:spacing w:after="0" w:line="255" w:lineRule="auto"/>
        <w:rPr>
          <w:sz w:val="20"/>
          <w:szCs w:val="20"/>
          <w:color w:val="auto"/>
        </w:rPr>
      </w:pPr>
      <w:r>
        <w:rPr>
          <w:rFonts w:ascii="Arial" w:cs="Arial" w:eastAsia="Arial" w:hAnsi="Arial"/>
          <w:sz w:val="18"/>
          <w:szCs w:val="18"/>
          <w:color w:val="auto"/>
        </w:rPr>
        <w:t>During the six months ended June 30, 2016, our balance of cash and cash equivalents decreased to $2,457,294 at the end of the period, from $13,349,877 at the beginning of the period. The decline in cash and cash equivalents was primarily due to $4,993,660 and $3,798,175 in payments to GSV Asset Management for earned incentive and management fees, respectively. Additionally, our cash balance declined due to $3,541,026 of net purchases of investments, excluding treasury strips. During the six months ended June 30, 2016, there were no financing activities that impacted our cash and cash equivalents, other than borrowings under the Credit Facility.</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117" w:lineRule="exact"/>
        <w:rPr>
          <w:sz w:val="20"/>
          <w:szCs w:val="20"/>
          <w:color w:val="auto"/>
        </w:rPr>
      </w:pPr>
    </w:p>
    <w:p>
      <w:pPr>
        <w:ind w:left="60" w:right="599" w:firstLine="270"/>
        <w:spacing w:after="0" w:line="277" w:lineRule="auto"/>
        <w:rPr>
          <w:sz w:val="20"/>
          <w:szCs w:val="20"/>
          <w:color w:val="auto"/>
        </w:rPr>
      </w:pPr>
      <w:r>
        <w:rPr>
          <w:rFonts w:ascii="Arial" w:cs="Arial" w:eastAsia="Arial" w:hAnsi="Arial"/>
          <w:sz w:val="18"/>
          <w:szCs w:val="18"/>
          <w:color w:val="auto"/>
        </w:rPr>
        <w:t>There were no sales of our equity or debt securities during the six months ended June 30, 2016 or the year ended December 31, 2015.</w:t>
      </w:r>
    </w:p>
    <w:p>
      <w:pPr>
        <w:spacing w:after="0" w:line="62" w:lineRule="exact"/>
        <w:rPr>
          <w:sz w:val="20"/>
          <w:szCs w:val="20"/>
          <w:color w:val="auto"/>
        </w:rPr>
      </w:pPr>
    </w:p>
    <w:p>
      <w:pPr>
        <w:ind w:left="60" w:right="719" w:firstLine="270"/>
        <w:spacing w:after="0" w:line="277" w:lineRule="auto"/>
        <w:rPr>
          <w:sz w:val="20"/>
          <w:szCs w:val="20"/>
          <w:color w:val="auto"/>
        </w:rPr>
      </w:pPr>
      <w:r>
        <w:rPr>
          <w:rFonts w:ascii="Arial" w:cs="Arial" w:eastAsia="Arial" w:hAnsi="Arial"/>
          <w:sz w:val="18"/>
          <w:szCs w:val="18"/>
          <w:color w:val="auto"/>
        </w:rPr>
        <w:t>As a result of our distribution, which was paid on December 31, 2015, we issued 2,860,903 shares of common stock. Refer to “— Distributions” below for details of the distribution paid.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2016, we had borrowings of $3,500,000 under the Credit Facility.</w:t>
      </w:r>
    </w:p>
    <w:p>
      <w:pPr>
        <w:spacing w:after="0" w:line="200" w:lineRule="exact"/>
        <w:rPr>
          <w:sz w:val="20"/>
          <w:szCs w:val="20"/>
          <w:color w:val="auto"/>
        </w:rPr>
      </w:pPr>
    </w:p>
    <w:p>
      <w:pPr>
        <w:spacing w:after="0" w:line="37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3" w:name="page54"/>
    <w:bookmarkEnd w:id="5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14"/>
          </w:tcPr>
          <w:p>
            <w:pPr>
              <w:jc w:val="right"/>
              <w:ind w:right="53"/>
              <w:spacing w:after="0"/>
              <w:rPr>
                <w:sz w:val="20"/>
                <w:szCs w:val="20"/>
                <w:color w:val="auto"/>
              </w:rPr>
            </w:pPr>
            <w:r>
              <w:rPr>
                <w:rFonts w:ascii="Arial" w:cs="Arial" w:eastAsia="Arial" w:hAnsi="Arial"/>
                <w:sz w:val="14"/>
                <w:szCs w:val="14"/>
                <w:b w:val="1"/>
                <w:bCs w:val="1"/>
                <w:color w:val="auto"/>
                <w:w w:val="95"/>
              </w:rPr>
              <w:t>Payments Due By Period (dollars in millions)</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40" w:type="dxa"/>
            <w:vAlign w:val="bottom"/>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1 – 3 years</w:t>
            </w:r>
          </w:p>
        </w:tc>
        <w:tc>
          <w:tcPr>
            <w:tcW w:w="160" w:type="dxa"/>
            <w:vAlign w:val="bottom"/>
          </w:tcPr>
          <w:p>
            <w:pPr>
              <w:spacing w:after="0"/>
              <w:rPr>
                <w:sz w:val="10"/>
                <w:szCs w:val="10"/>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3 – 5 years</w:t>
            </w:r>
          </w:p>
        </w:tc>
        <w:tc>
          <w:tcPr>
            <w:tcW w:w="160" w:type="dxa"/>
            <w:vAlign w:val="bottom"/>
          </w:tcPr>
          <w:p>
            <w:pPr>
              <w:spacing w:after="0"/>
              <w:rPr>
                <w:sz w:val="10"/>
                <w:szCs w:val="10"/>
                <w:color w:val="auto"/>
              </w:rPr>
            </w:pPr>
          </w:p>
        </w:tc>
        <w:tc>
          <w:tcPr>
            <w:tcW w:w="8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840" w:type="dxa"/>
            <w:vAlign w:val="bottom"/>
            <w:gridSpan w:val="3"/>
            <w:vMerge w:val="restart"/>
          </w:tcPr>
          <w:p>
            <w:pPr>
              <w:ind w:left="20"/>
              <w:spacing w:after="0"/>
              <w:rPr>
                <w:sz w:val="20"/>
                <w:szCs w:val="20"/>
                <w:color w:val="auto"/>
              </w:rPr>
            </w:pPr>
            <w:r>
              <w:rPr>
                <w:rFonts w:ascii="Arial" w:cs="Arial" w:eastAsia="Arial" w:hAnsi="Arial"/>
                <w:sz w:val="18"/>
                <w:szCs w:val="18"/>
                <w:color w:val="auto"/>
              </w:rPr>
              <w:t>Payable for securities purchased</w:t>
            </w:r>
            <w:r>
              <w:rPr>
                <w:rFonts w:ascii="Arial" w:cs="Arial" w:eastAsia="Arial" w:hAnsi="Arial"/>
                <w:sz w:val="30"/>
                <w:szCs w:val="30"/>
                <w:color w:val="auto"/>
                <w:vertAlign w:val="superscript"/>
              </w:rPr>
              <w:t>(1)</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8"/>
              </w:rPr>
              <w:t>1 year</w:t>
            </w:r>
          </w:p>
        </w:tc>
        <w:tc>
          <w:tcPr>
            <w:tcW w:w="160" w:type="dxa"/>
            <w:vAlign w:val="bottom"/>
          </w:tcPr>
          <w:p>
            <w:pPr>
              <w:spacing w:after="0"/>
              <w:rPr>
                <w:sz w:val="14"/>
                <w:szCs w:val="14"/>
                <w:color w:val="auto"/>
              </w:rPr>
            </w:pPr>
          </w:p>
        </w:tc>
        <w:tc>
          <w:tcPr>
            <w:tcW w:w="74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3840" w:type="dxa"/>
            <w:vAlign w:val="bottom"/>
            <w:gridSpan w:val="3"/>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40" w:type="dxa"/>
            <w:vAlign w:val="bottom"/>
            <w:gridSpan w:val="3"/>
            <w:shd w:val="clear" w:color="auto" w:fill="CCEEFF"/>
          </w:tcPr>
          <w:p>
            <w:pPr>
              <w:ind w:left="20"/>
              <w:spacing w:after="0" w:line="256" w:lineRule="exact"/>
              <w:rPr>
                <w:sz w:val="20"/>
                <w:szCs w:val="20"/>
                <w:color w:val="auto"/>
              </w:rPr>
            </w:pPr>
            <w:r>
              <w:rPr>
                <w:rFonts w:ascii="Arial" w:cs="Arial" w:eastAsia="Arial" w:hAnsi="Arial"/>
                <w:sz w:val="18"/>
                <w:szCs w:val="18"/>
                <w:color w:val="auto"/>
              </w:rPr>
              <w:t>Convertible Senior Notes</w:t>
            </w:r>
            <w:r>
              <w:rPr>
                <w:rFonts w:ascii="Arial" w:cs="Arial" w:eastAsia="Arial" w:hAnsi="Arial"/>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40" w:type="dxa"/>
            <w:vAlign w:val="bottom"/>
            <w:gridSpan w:val="3"/>
          </w:tcPr>
          <w:p>
            <w:pPr>
              <w:ind w:left="20"/>
              <w:spacing w:after="0" w:line="256" w:lineRule="exact"/>
              <w:rPr>
                <w:sz w:val="20"/>
                <w:szCs w:val="20"/>
                <w:color w:val="auto"/>
              </w:rPr>
            </w:pPr>
            <w:r>
              <w:rPr>
                <w:rFonts w:ascii="Arial" w:cs="Arial" w:eastAsia="Arial" w:hAnsi="Arial"/>
                <w:sz w:val="18"/>
                <w:szCs w:val="18"/>
                <w:color w:val="auto"/>
              </w:rPr>
              <w:t>Credit Facility</w:t>
            </w:r>
            <w:r>
              <w:rPr>
                <w:rFonts w:ascii="Arial" w:cs="Arial" w:eastAsia="Arial" w:hAnsi="Arial"/>
                <w:sz w:val="29"/>
                <w:szCs w:val="29"/>
                <w:color w:val="auto"/>
                <w:vertAlign w:val="superscript"/>
              </w:rPr>
              <w:t>(3)(4)</w:t>
            </w:r>
          </w:p>
        </w:tc>
        <w:tc>
          <w:tcPr>
            <w:tcW w:w="16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4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Borders>
              <w:top w:val="single" w:sz="8" w:color="CCEEFF"/>
            </w:tcBorders>
          </w:tcPr>
          <w:p>
            <w:pPr>
              <w:spacing w:after="0"/>
              <w:rPr>
                <w:sz w:val="23"/>
                <w:szCs w:val="23"/>
                <w:color w:val="auto"/>
              </w:rPr>
            </w:pPr>
          </w:p>
        </w:tc>
        <w:tc>
          <w:tcPr>
            <w:tcW w:w="980" w:type="dxa"/>
            <w:vAlign w:val="bottom"/>
            <w:tcBorders>
              <w:top w:val="single" w:sz="8" w:color="CCEEFF"/>
              <w:bottom w:val="single" w:sz="8" w:color="auto"/>
            </w:tcBorders>
          </w:tcPr>
          <w:p>
            <w:pPr>
              <w:spacing w:after="0"/>
              <w:rPr>
                <w:sz w:val="23"/>
                <w:szCs w:val="23"/>
                <w:color w:val="auto"/>
              </w:rPr>
            </w:pPr>
          </w:p>
        </w:tc>
        <w:tc>
          <w:tcPr>
            <w:tcW w:w="284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-222250</wp:posOffset>
            </wp:positionV>
            <wp:extent cx="5213985" cy="342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3985" cy="34290"/>
                    </a:xfrm>
                    <a:prstGeom prst="rect">
                      <a:avLst/>
                    </a:prstGeom>
                    <a:noFill/>
                  </pic:spPr>
                </pic:pic>
              </a:graphicData>
            </a:graphic>
          </wp:anchor>
        </w:drawing>
      </w:r>
    </w:p>
    <w:p>
      <w:pPr>
        <w:spacing w:after="0" w:line="236" w:lineRule="exact"/>
        <w:rPr>
          <w:sz w:val="20"/>
          <w:szCs w:val="20"/>
          <w:color w:val="auto"/>
        </w:rPr>
      </w:pPr>
    </w:p>
    <w:p>
      <w:pPr>
        <w:ind w:left="300" w:right="1079" w:hanging="272"/>
        <w:spacing w:after="0" w:line="264"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“Payable for securities purchased” relates to the purchase of the United States Treasury Bill on margin. The payable for securities purchased was subsequently repaid on July 7, 2016, when the United States Treasury Bill matured and the $3.5 million margin deposit that was posted as collateral was returned.</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balance reflected for the Convertible Senior Notes reflects the principal balance payable to investors. Refer to “Note</w:t>
      </w:r>
    </w:p>
    <w:p>
      <w:pPr>
        <w:spacing w:after="0" w:line="34" w:lineRule="exact"/>
        <w:rPr>
          <w:rFonts w:ascii="Arial" w:cs="Arial" w:eastAsia="Arial" w:hAnsi="Arial"/>
          <w:sz w:val="17"/>
          <w:szCs w:val="17"/>
          <w:color w:val="auto"/>
        </w:rPr>
      </w:pPr>
    </w:p>
    <w:p>
      <w:pPr>
        <w:ind w:left="300"/>
        <w:spacing w:after="0"/>
        <w:rPr>
          <w:rFonts w:ascii="Arial" w:cs="Arial" w:eastAsia="Arial" w:hAnsi="Arial"/>
          <w:sz w:val="17"/>
          <w:szCs w:val="17"/>
          <w:color w:val="auto"/>
        </w:rPr>
      </w:pPr>
      <w:r>
        <w:rPr>
          <w:rFonts w:ascii="Arial" w:cs="Arial" w:eastAsia="Arial" w:hAnsi="Arial"/>
          <w:sz w:val="17"/>
          <w:szCs w:val="17"/>
          <w:color w:val="auto"/>
        </w:rPr>
        <w:t>9 — Long-Term Liabilities” to our condensed consolidated financial statements as of June 30, 2016 for more information.</w:t>
      </w:r>
    </w:p>
    <w:p>
      <w:pPr>
        <w:spacing w:after="0" w:line="114" w:lineRule="exact"/>
        <w:rPr>
          <w:rFonts w:ascii="Arial" w:cs="Arial" w:eastAsia="Arial" w:hAnsi="Arial"/>
          <w:sz w:val="17"/>
          <w:szCs w:val="17"/>
          <w:color w:val="auto"/>
        </w:rPr>
      </w:pPr>
    </w:p>
    <w:p>
      <w:pPr>
        <w:ind w:left="300" w:hanging="272"/>
        <w:spacing w:after="0"/>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total unused amount available under the Credit Facility as of June 30, 2016, was $14,500,000.</w:t>
      </w:r>
    </w:p>
    <w:p>
      <w:pPr>
        <w:spacing w:after="0" w:line="117" w:lineRule="exact"/>
        <w:rPr>
          <w:rFonts w:ascii="Arial" w:cs="Arial" w:eastAsia="Arial" w:hAnsi="Arial"/>
          <w:sz w:val="18"/>
          <w:szCs w:val="18"/>
          <w:color w:val="auto"/>
        </w:rPr>
      </w:pPr>
    </w:p>
    <w:p>
      <w:pPr>
        <w:ind w:left="300" w:right="539" w:hanging="272"/>
        <w:spacing w:after="0" w:line="277" w:lineRule="auto"/>
        <w:tabs>
          <w:tab w:leader="none" w:pos="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weighted-average interest rates incurred under the Credit Facility were 2.02% and 4.04% for the three and six months ended June 30, 2016, respectively.</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0" w:right="619" w:firstLine="270"/>
        <w:spacing w:after="0" w:line="308" w:lineRule="auto"/>
        <w:rPr>
          <w:sz w:val="20"/>
          <w:szCs w:val="20"/>
          <w:color w:val="auto"/>
        </w:rPr>
      </w:pPr>
      <w:r>
        <w:rPr>
          <w:rFonts w:ascii="Arial" w:cs="Arial" w:eastAsia="Arial" w:hAnsi="Arial"/>
          <w:sz w:val="17"/>
          <w:szCs w:val="17"/>
          <w:color w:val="auto"/>
        </w:rPr>
        <w:t>As of June 30, 2016, we had no off-balance sheet arrangements, including any risk management of commodity pricing or other hedging practices. However, we may employ hedging and other risk management techniques in the future.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jc w:val="both"/>
        <w:ind w:left="60" w:right="659" w:firstLine="270"/>
        <w:spacing w:after="0" w:line="259" w:lineRule="auto"/>
        <w:rPr>
          <w:sz w:val="20"/>
          <w:szCs w:val="20"/>
          <w:color w:val="auto"/>
        </w:rPr>
      </w:pPr>
      <w:r>
        <w:rPr>
          <w:rFonts w:ascii="Arial" w:cs="Arial" w:eastAsia="Arial" w:hAnsi="Arial"/>
          <w:sz w:val="18"/>
          <w:szCs w:val="18"/>
          <w:color w:val="auto"/>
        </w:rPr>
        <w:t>The timing and amount of our dividends, if any, will be determined by our board of directors and will be declared out of assets legally available for distribution. The following table lists the cash distributions, including dividends and returns of capital, if any, per share that we have declared since our formation on January 6, 2011 through June 30, 2016. The table is divided by fiscal year according to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510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Record Date</w:t>
            </w:r>
          </w:p>
        </w:tc>
        <w:tc>
          <w:tcPr>
            <w:tcW w:w="18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8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November 4, 2015</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November 16, 2015</w:t>
            </w:r>
          </w:p>
        </w:tc>
        <w:tc>
          <w:tcPr>
            <w:tcW w:w="18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December 31, 2015</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Total</w:t>
            </w: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64"/>
        </w:trPr>
        <w:tc>
          <w:tcPr>
            <w:tcW w:w="20" w:type="dxa"/>
            <w:vAlign w:val="bottom"/>
            <w:tcBorders>
              <w:top w:val="single" w:sz="8" w:color="CCEEFF"/>
            </w:tcBorders>
          </w:tcPr>
          <w:p>
            <w:pPr>
              <w:spacing w:after="0"/>
              <w:rPr>
                <w:sz w:val="22"/>
                <w:szCs w:val="22"/>
                <w:color w:val="auto"/>
              </w:rPr>
            </w:pPr>
          </w:p>
        </w:tc>
        <w:tc>
          <w:tcPr>
            <w:tcW w:w="980" w:type="dxa"/>
            <w:vAlign w:val="bottom"/>
            <w:tcBorders>
              <w:top w:val="single" w:sz="8" w:color="CCEEFF"/>
              <w:bottom w:val="single" w:sz="8" w:color="auto"/>
            </w:tcBorders>
          </w:tcPr>
          <w:p>
            <w:pPr>
              <w:spacing w:after="0"/>
              <w:rPr>
                <w:sz w:val="22"/>
                <w:szCs w:val="22"/>
                <w:color w:val="auto"/>
              </w:rPr>
            </w:pPr>
          </w:p>
        </w:tc>
        <w:tc>
          <w:tcPr>
            <w:tcW w:w="188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62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6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-213995</wp:posOffset>
            </wp:positionV>
            <wp:extent cx="475107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51070" cy="34290"/>
                    </a:xfrm>
                    <a:prstGeom prst="rect">
                      <a:avLst/>
                    </a:prstGeom>
                    <a:noFill/>
                  </pic:spPr>
                </pic:pic>
              </a:graphicData>
            </a:graphic>
          </wp:anchor>
        </w:drawing>
      </w:r>
    </w:p>
    <w:p>
      <w:pPr>
        <w:spacing w:after="0" w:line="236" w:lineRule="exact"/>
        <w:rPr>
          <w:sz w:val="20"/>
          <w:szCs w:val="20"/>
          <w:color w:val="auto"/>
        </w:rPr>
      </w:pPr>
    </w:p>
    <w:p>
      <w:pPr>
        <w:ind w:left="300" w:right="559" w:hanging="272"/>
        <w:spacing w:after="0" w:line="272" w:lineRule="auto"/>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dividend was paid in cash or shares of our common stock at the election of stockholders, although the total amount of cash distributed to all stockholders was limited to approximately 50% of the total dividend to be paid to all stockholders. As a result of stockholder elections, the dividend consisted of approximately 2,860,903 shares of common stock issued in lieu of cash, or approximately 14.8% of our outstanding shares prior to the dividend,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dividend represented a return of capital.</w:t>
      </w:r>
    </w:p>
    <w:p>
      <w:pPr>
        <w:spacing w:after="0" w:line="70" w:lineRule="exact"/>
        <w:rPr>
          <w:sz w:val="20"/>
          <w:szCs w:val="20"/>
          <w:color w:val="auto"/>
        </w:rPr>
      </w:pPr>
    </w:p>
    <w:p>
      <w:pPr>
        <w:ind w:left="60" w:right="559" w:firstLine="270"/>
        <w:spacing w:after="0" w:line="255"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dividends on a quarterly basis or become a predictable distributor of dividends, and we expect that our dividends, if any, will be much less consistent than the dividends of other business development companies that primarily make debt investments. If there are earnings or realized capital gains to be distributed, we intend to declare and pay a dividend at least annually. The amount of realized capital gains available for distribution to stockholders will be impacted by our tax status.</w:t>
      </w:r>
    </w:p>
    <w:p>
      <w:pPr>
        <w:spacing w:after="0" w:line="85" w:lineRule="exact"/>
        <w:rPr>
          <w:sz w:val="20"/>
          <w:szCs w:val="20"/>
          <w:color w:val="auto"/>
        </w:rPr>
      </w:pPr>
    </w:p>
    <w:p>
      <w:pPr>
        <w:ind w:left="60" w:right="879" w:firstLine="270"/>
        <w:spacing w:after="0" w:line="277" w:lineRule="auto"/>
        <w:rPr>
          <w:sz w:val="20"/>
          <w:szCs w:val="20"/>
          <w:color w:val="auto"/>
        </w:rPr>
      </w:pPr>
      <w:r>
        <w:rPr>
          <w:rFonts w:ascii="Arial" w:cs="Arial" w:eastAsia="Arial" w:hAnsi="Arial"/>
          <w:sz w:val="18"/>
          <w:szCs w:val="18"/>
          <w:color w:val="auto"/>
        </w:rPr>
        <w:t>Our current intention is to make any future distributions out of assets legally available therefrom in additional shares of our common stock under our dividend reinvestment plan, unless a stockholder elects to</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spacing w:after="0" w:line="269" w:lineRule="auto"/>
        <w:rPr>
          <w:sz w:val="20"/>
          <w:szCs w:val="20"/>
          <w:color w:val="auto"/>
        </w:rPr>
      </w:pPr>
      <w:r>
        <w:rPr>
          <w:rFonts w:ascii="Arial" w:cs="Arial" w:eastAsia="Arial" w:hAnsi="Arial"/>
          <w:sz w:val="17"/>
          <w:szCs w:val="17"/>
          <w:color w:val="auto"/>
        </w:rPr>
        <w:t>receive dividends and/or long-term capital gains distributions in cash. Under the dividend reinvestment plan, if a stockholder owns shares of common stock registered in its own name, the stockholder will have all cash distributions (net of any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remain taxable to the U.S. stockholder,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In addition, reinvested dividends have the effect of increasing our gross assets, which may correspondingly increase the management fee payable to our investment adviser, GSV Asset Management. Stockholders who hold shares in the name of a broker or financial intermediary should contact the broker or financial intermediary regarding any election to receive distributions in cash.</w:t>
      </w:r>
    </w:p>
    <w:p>
      <w:pPr>
        <w:spacing w:after="0" w:line="75"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Although we elected to be treated as a RIC under Subchapter M of the Code for the 2014 taxable year and continue to qualify to be treated as a RIC, we were taxed as a C Corporation under the Code for our 2013 taxable year. So long as we qualify and maintain our status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condensed consolidated financial statements. Included in our condensed consolidated financial statements, the GSVC Holdings are taxable subsidiaries, regardless of whether we are a RIC. These taxable subsidiaries are not consolidated for income tax purposes and may generate income tax expenses as a result of their ownership of the portfolio companies. Such income tax expenses and deferred taxes, if any, will be reflected in our condensed consolidated financial statements.</w:t>
      </w:r>
    </w:p>
    <w:p>
      <w:pPr>
        <w:spacing w:after="0" w:line="74"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We have also qualified to be treated as a RIC for the 2015 taxable year and continue to operate in a manner so as to qualify for the tax treatment applicable to RICs. In order to qualify as a RIC and to avoid corporate-level tax on the income we distribute to our stockholders, we are required, under Subchapter M of the Code, to distribute at least 90% of our ordinary income and short-term capital gains to our stockholders on an annual basis. See “Note 1 — Nature of Operations and Significant Accounting Policies — Summary of Significant Accounting Policies — U.S. Federal and State Income Taxes” and “Note 8 — Income Taxes” to our condensed consolidated financial statements as of June 30, 2016 for more information.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Borrowings</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Convertible Senior Notes payable</w:t>
      </w:r>
    </w:p>
    <w:p>
      <w:pPr>
        <w:spacing w:after="0" w:line="117" w:lineRule="exact"/>
        <w:rPr>
          <w:sz w:val="20"/>
          <w:szCs w:val="20"/>
          <w:color w:val="auto"/>
        </w:rPr>
      </w:pPr>
    </w:p>
    <w:p>
      <w:pPr>
        <w:ind w:left="40" w:right="619" w:firstLine="270"/>
        <w:spacing w:after="0" w:line="270" w:lineRule="auto"/>
        <w:rPr>
          <w:sz w:val="20"/>
          <w:szCs w:val="20"/>
          <w:color w:val="auto"/>
        </w:rPr>
      </w:pPr>
      <w:r>
        <w:rPr>
          <w:rFonts w:ascii="Arial" w:cs="Arial" w:eastAsia="Arial" w:hAnsi="Arial"/>
          <w:sz w:val="17"/>
          <w:szCs w:val="17"/>
          <w:color w:val="auto"/>
        </w:rPr>
        <w:t>On September 17, 2013, we issued $69 million aggregate principal amount of Convertible Senior Notes (including $9 million aggregate principal amount issued pursuant to the exercise of the initial purchasers’ option to purchase additional Convertible Senior Notes), which bear interest at a fixed rate of 5.25% per year, are payable semi-annually and mature on September 15, 2018, unless previously repurchased or converted in accordance with their terms. We do not have the right to redeem the Convertible Senior Notes prior to maturity. As of June 30, 2016, the Convertible Senior Notes were convertible into shares of our common stock based on a conversion rate of 82.7567 shares of our common stock per $1,000 principal amount of the Convertible Senior Notes, which is equivalent to a conversion price of approximately $12.08 per share of common stock. Refer to “Note 1 — Nature of Operations and Significant Accounting Policies — Summary of Significant Accounting Policies” and “Note 9 — Long-Term Liabilities” to our condensed consolidated financial statements as of June 30, 2016 for more information regarding the Convertible Senior Notes.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0" w:right="559" w:firstLine="270"/>
        <w:spacing w:after="0" w:line="257" w:lineRule="auto"/>
        <w:rPr>
          <w:sz w:val="20"/>
          <w:szCs w:val="20"/>
          <w:color w:val="auto"/>
        </w:rPr>
      </w:pPr>
      <w:r>
        <w:rPr>
          <w:rFonts w:ascii="Arial" w:cs="Arial" w:eastAsia="Arial" w:hAnsi="Arial"/>
          <w:sz w:val="18"/>
          <w:szCs w:val="18"/>
          <w:color w:val="auto"/>
        </w:rPr>
        <w:t>We entered into the Loan Agreement, effective December 31, 2013, with Silicon Valley Bank to provide us with an $18 million Credit Facility, which matures on December 31, 2016 and bears interest at a per annum rate equal to the greater of (i) the prime rate plus 4.75% or (ii) 8.0% on amounts drawn. As of June 30, 2016, we had $3,500,000 in borrowings under the Credit Facility. Refer to “Note 9 — Long-Term Liabilities” to our condensed consolidated financial statements as of June 30, 2016 for a detailed discussion of the Credit Facility.</w:t>
      </w:r>
    </w:p>
    <w:p>
      <w:pPr>
        <w:spacing w:after="0" w:line="200" w:lineRule="exact"/>
        <w:rPr>
          <w:sz w:val="20"/>
          <w:szCs w:val="20"/>
          <w:color w:val="auto"/>
        </w:rPr>
      </w:pPr>
    </w:p>
    <w:p>
      <w:pPr>
        <w:spacing w:after="0" w:line="32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left="40" w:right="539" w:firstLine="270"/>
        <w:spacing w:after="0" w:line="271" w:lineRule="auto"/>
        <w:rPr>
          <w:sz w:val="20"/>
          <w:szCs w:val="20"/>
          <w:color w:val="auto"/>
        </w:rPr>
      </w:pPr>
      <w:r>
        <w:rPr>
          <w:rFonts w:ascii="Arial" w:cs="Arial" w:eastAsia="Arial" w:hAnsi="Arial"/>
          <w:sz w:val="17"/>
          <w:szCs w:val="17"/>
          <w:color w:val="auto"/>
        </w:rPr>
        <w:t>We have entered into the Advisory Agreement with GSV Asset Management. GSV Asset Management is controlled by Michael T. Moe, our Chief Executive Officer and Chair of our board of directors. Mr. Moe, through his ownership interest in GSV Asset Management, is entitled to a portion of any profits earned by GSV Asset Management in performing its services under the Advisory Agreement. Mr. Moe, William Tanona, our Chief Financial Officer, Treasurer and Secretary, and Mark Flynn, our President, as principals of GSV Asset Management, collectively manage the business and internal affairs of GSV Asset Management. Mark Klein, a member of our board of directors, or entities with which he is affiliated, may receive fees from GSV Asset Management in connection with any offering of our securities and, from time to time, for consulting or non-investment advisory services he may provide to GSV Asset Management.</w:t>
      </w:r>
    </w:p>
    <w:p>
      <w:pPr>
        <w:spacing w:after="0" w:line="71"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Pursuant to the Advisory Agreement, GSV Asset Management is paid a base annual fee of 2.00% of gross assets, which is our total assets as reflected on our Condensed Consolidated Statements of Assets and Liabilities (with no deduction for liabilities) reduced by any non-portfolio investments, and an annual incentive fee equal to the lesser of (i) 20% of our realized capital gains during each calendar year, if any, calculated on an investment-by-investment basis, subject to a non-compounded preferred return, or “hurdle,” and a “catch-up” feature, or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Incentive Fees</w:t>
      </w:r>
    </w:p>
    <w:p>
      <w:pPr>
        <w:spacing w:after="0" w:line="117" w:lineRule="exact"/>
        <w:rPr>
          <w:sz w:val="20"/>
          <w:szCs w:val="20"/>
          <w:color w:val="auto"/>
        </w:rPr>
      </w:pPr>
    </w:p>
    <w:p>
      <w:pPr>
        <w:ind w:left="40" w:right="699" w:firstLine="270"/>
        <w:spacing w:after="0" w:line="257" w:lineRule="auto"/>
        <w:rPr>
          <w:sz w:val="20"/>
          <w:szCs w:val="20"/>
          <w:color w:val="auto"/>
        </w:rPr>
      </w:pPr>
      <w:r>
        <w:rPr>
          <w:rFonts w:ascii="Arial" w:cs="Arial" w:eastAsia="Arial" w:hAnsi="Arial"/>
          <w:sz w:val="18"/>
          <w:szCs w:val="18"/>
          <w:color w:val="auto"/>
        </w:rPr>
        <w:t>For GAAP purposes, in accordance with the AICPA’s TPA (TIS 6910.2), we are required to accrue incentive fees as if we had fully liquidated our entire investment portfolio at the fair value stated on the Condensed Consolidated Statements of Assets and Liabilities as of June 30, 2016 and December 31, 2015. This accrual considers both the hypothetical liquidation of our portfolio described previously, as well as our actual cumulative realized gains and losses since inception and any previously paid incentive fees.</w:t>
      </w:r>
    </w:p>
    <w:p>
      <w:pPr>
        <w:spacing w:after="0" w:line="80" w:lineRule="exact"/>
        <w:rPr>
          <w:sz w:val="20"/>
          <w:szCs w:val="20"/>
          <w:color w:val="auto"/>
        </w:rPr>
      </w:pPr>
    </w:p>
    <w:p>
      <w:pPr>
        <w:jc w:val="both"/>
        <w:ind w:left="40" w:right="519" w:firstLine="270"/>
        <w:spacing w:after="0" w:line="264" w:lineRule="auto"/>
        <w:rPr>
          <w:sz w:val="20"/>
          <w:szCs w:val="20"/>
          <w:color w:val="auto"/>
        </w:rPr>
      </w:pPr>
      <w:r>
        <w:rPr>
          <w:rFonts w:ascii="Arial" w:cs="Arial" w:eastAsia="Arial" w:hAnsi="Arial"/>
          <w:sz w:val="18"/>
          <w:szCs w:val="18"/>
          <w:color w:val="auto"/>
        </w:rPr>
        <w:t>For the three and six months ended June 30, 2016, we reversed previously accrued incentive fees of $2,907,224 and $8,025,808, respectively. For the three and six months ended June 30, 2015, the Company accrued incentive fees of $1,565,339 and $9,777,067, respectively.</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Management Fees</w:t>
      </w:r>
    </w:p>
    <w:p>
      <w:pPr>
        <w:spacing w:after="0" w:line="117" w:lineRule="exact"/>
        <w:rPr>
          <w:sz w:val="20"/>
          <w:szCs w:val="20"/>
          <w:color w:val="auto"/>
        </w:rPr>
      </w:pPr>
    </w:p>
    <w:p>
      <w:pPr>
        <w:jc w:val="both"/>
        <w:ind w:left="40" w:right="759" w:firstLine="270"/>
        <w:spacing w:after="0" w:line="264" w:lineRule="auto"/>
        <w:rPr>
          <w:sz w:val="20"/>
          <w:szCs w:val="20"/>
          <w:color w:val="auto"/>
        </w:rPr>
      </w:pPr>
      <w:r>
        <w:rPr>
          <w:rFonts w:ascii="Arial" w:cs="Arial" w:eastAsia="Arial" w:hAnsi="Arial"/>
          <w:sz w:val="18"/>
          <w:szCs w:val="18"/>
          <w:color w:val="auto"/>
        </w:rPr>
        <w:t>GSV Asset Management earned $1,740,223 and $3,698,223 in management fees for the three and six months ended June 30, 2016, respectively. GSV Asset Management earned $2,010,385 and $3,931,513 in management fees for the three and six months ended June 30, 2015, respectively.</w:t>
      </w:r>
    </w:p>
    <w:p>
      <w:pPr>
        <w:spacing w:after="0" w:line="73" w:lineRule="exact"/>
        <w:rPr>
          <w:sz w:val="20"/>
          <w:szCs w:val="20"/>
          <w:color w:val="auto"/>
        </w:rPr>
      </w:pPr>
    </w:p>
    <w:p>
      <w:pPr>
        <w:ind w:left="40" w:right="859" w:firstLine="270"/>
        <w:spacing w:after="0" w:line="264" w:lineRule="auto"/>
        <w:rPr>
          <w:sz w:val="20"/>
          <w:szCs w:val="20"/>
          <w:color w:val="auto"/>
        </w:rPr>
      </w:pPr>
      <w:r>
        <w:rPr>
          <w:rFonts w:ascii="Arial" w:cs="Arial" w:eastAsia="Arial" w:hAnsi="Arial"/>
          <w:sz w:val="18"/>
          <w:szCs w:val="18"/>
          <w:color w:val="auto"/>
        </w:rPr>
        <w:t>As of June 30, 2016, GSV Asset Management owed us $1,623 for reimbursement of expenses we paid that were the responsibility of GSV Asset Management. In addition, as of June 30, 2016, we owed GSV Asset Management $532,690 for the reimbursement of other expenses.</w:t>
      </w:r>
    </w:p>
    <w:p>
      <w:pPr>
        <w:spacing w:after="0" w:line="73" w:lineRule="exact"/>
        <w:rPr>
          <w:sz w:val="20"/>
          <w:szCs w:val="20"/>
          <w:color w:val="auto"/>
        </w:rPr>
      </w:pPr>
    </w:p>
    <w:p>
      <w:pPr>
        <w:ind w:left="40" w:right="579" w:firstLine="270"/>
        <w:spacing w:after="0" w:line="264" w:lineRule="auto"/>
        <w:rPr>
          <w:sz w:val="20"/>
          <w:szCs w:val="20"/>
          <w:color w:val="auto"/>
        </w:rPr>
      </w:pPr>
      <w:r>
        <w:rPr>
          <w:rFonts w:ascii="Arial" w:cs="Arial" w:eastAsia="Arial" w:hAnsi="Arial"/>
          <w:sz w:val="18"/>
          <w:szCs w:val="18"/>
          <w:color w:val="auto"/>
        </w:rPr>
        <w:t>As of December 31, 2015, GSV Asset Management owed us $220,770 for reimbursement of expenses we paid that were the responsibility of GSV Asset Management. In addition, as of December 31, 2015, we owed GSV Asset Management $5,047,429 for earned incentive fees and, to a lesser extent, for the reimbursement of other expenses.</w:t>
      </w:r>
    </w:p>
    <w:p>
      <w:pPr>
        <w:spacing w:after="0" w:line="73" w:lineRule="exact"/>
        <w:rPr>
          <w:sz w:val="20"/>
          <w:szCs w:val="20"/>
          <w:color w:val="auto"/>
        </w:rPr>
      </w:pPr>
    </w:p>
    <w:p>
      <w:pPr>
        <w:ind w:left="40" w:right="599" w:firstLine="270"/>
        <w:spacing w:after="0" w:line="270" w:lineRule="auto"/>
        <w:rPr>
          <w:sz w:val="20"/>
          <w:szCs w:val="20"/>
          <w:color w:val="auto"/>
        </w:rPr>
      </w:pPr>
      <w:r>
        <w:rPr>
          <w:rFonts w:ascii="Arial" w:cs="Arial" w:eastAsia="Arial" w:hAnsi="Arial"/>
          <w:sz w:val="17"/>
          <w:szCs w:val="17"/>
          <w:color w:val="auto"/>
        </w:rPr>
        <w:t>We have entered into the Administration Agreement with GSV Capital Service Company to provide administrative services, including furnishing us with office facilities, equipment, clerical, bookkeeping services and other administrative services. GSV Asset Management controls GSV Capital Service Company. We reimburse GSV Capital Service Company an allocable portion of overhead and other expenses in performing its obligations under the Administration Agreement, including a portion of the rent and the compensation of our President, Chief Financial Officer, Chief Compliance Officer and other staff providing administrative services, which creates a conflict that our board of directors must monitor. While there is no limit on the total amount of expenses we may be required to reimburse GSV Capital Service Company, our administrator will only charge us for the actual expenses it incurs on our behalf, or our allocable portion thereof, without any profit to GSV Capital Service Company. There were $698,692 and $1,298,642 in such costs incurred under the Administration Agreement for the three and six months ended June 30, 2016, respectively. There were</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color w:val="auto"/>
        </w:rPr>
        <w:t>$785,036 and $1,587,432 in such costs incurred under the Administration Agreement for the three and six months ended June 30, 2015, respectively.</w:t>
      </w:r>
    </w:p>
    <w:p>
      <w:pPr>
        <w:spacing w:after="0" w:line="62" w:lineRule="exact"/>
        <w:rPr>
          <w:sz w:val="20"/>
          <w:szCs w:val="20"/>
          <w:color w:val="auto"/>
        </w:rPr>
      </w:pPr>
    </w:p>
    <w:p>
      <w:pPr>
        <w:ind w:left="40" w:right="539" w:firstLine="270"/>
        <w:spacing w:after="0" w:line="291" w:lineRule="auto"/>
        <w:rPr>
          <w:sz w:val="20"/>
          <w:szCs w:val="20"/>
          <w:color w:val="auto"/>
        </w:rPr>
      </w:pPr>
      <w:r>
        <w:rPr>
          <w:rFonts w:ascii="Arial" w:cs="Arial" w:eastAsia="Arial" w:hAnsi="Arial"/>
          <w:sz w:val="16"/>
          <w:szCs w:val="16"/>
          <w:color w:val="auto"/>
        </w:rPr>
        <w:t>Mark Moe, who is the brother of our Chief Executive Officer, Michael Moe, serves as Vice President of Business Development, Global Expansion for NestGSV, Inc. (d/b/a GSV Labs, Inc.), one of our portfolio companies. Diane Flynn, who is the spouse of our President, Mark Flynn, serves as Chief Marketing Officer of NestGSV, Inc. Ron Johnson, the Chief Executive Officer of Enjoy Technology, Inc., one of our portfolio companies, is the brother-in-law of our President, Mark Flynn. As of June 30, 2016, the fair values of our investments in NestGSV, Inc. and Enjoy Technology, Inc. were $8,338,970 and $5,439,400, respectively. Another one of our portfolio companies, GSV Sustainability Partners, utilizes office space paid for by GSV Asset Management without paying GSV Asset Management or us any consideration for rent. We do not consider this an arms-length transaction.</w:t>
      </w:r>
    </w:p>
    <w:p>
      <w:pPr>
        <w:spacing w:after="0" w:line="59" w:lineRule="exact"/>
        <w:rPr>
          <w:sz w:val="20"/>
          <w:szCs w:val="20"/>
          <w:color w:val="auto"/>
        </w:rPr>
      </w:pPr>
    </w:p>
    <w:p>
      <w:pPr>
        <w:ind w:left="40" w:right="559" w:firstLine="270"/>
        <w:spacing w:after="0" w:line="253" w:lineRule="auto"/>
        <w:rPr>
          <w:sz w:val="20"/>
          <w:szCs w:val="20"/>
          <w:color w:val="auto"/>
        </w:rPr>
      </w:pPr>
      <w:r>
        <w:rPr>
          <w:rFonts w:ascii="Arial" w:cs="Arial" w:eastAsia="Arial" w:hAnsi="Arial"/>
          <w:sz w:val="18"/>
          <w:szCs w:val="18"/>
          <w:color w:val="auto"/>
        </w:rPr>
        <w:t>In addition, our executive officers and directors, and the principals of our investment adviser, GSV Asset Management, serve or may serve as officers and directors of entities that operate in a line of business similar to our own, including new entities that may be formed in the future. Accordingly, they may have obligations to investors in those entities, the fulfillment of which might not be in the best interests of us or our stockholders. For example, as of August 9, 2016, GSV Asset Management also manages Coursera@GSV Fund, LP and Coursera@GSV-EDBI Fund, LP, special purpose vehicles each comprised of an underlying investment in Coursera stock (the “Coursera Funds”), and serves as sub-adviser for certain investment series of GSV Ventures I LLC, GSV Ventures II LLC, GSV Ventures III LLC and GSV Ventures IV LLC, each a venture capital and growth equity fund (collectively, the “GSV Ventures Funds”), and will likely manage one or more private funds, or series within such private funds in the future. We have no ownership interests in the Coursera Funds or the GSV Ventures Funds sub-advised by GSV Asset Management.</w:t>
      </w:r>
    </w:p>
    <w:p>
      <w:pPr>
        <w:spacing w:after="0" w:line="87" w:lineRule="exact"/>
        <w:rPr>
          <w:sz w:val="20"/>
          <w:szCs w:val="20"/>
          <w:color w:val="auto"/>
        </w:rPr>
      </w:pPr>
    </w:p>
    <w:p>
      <w:pPr>
        <w:ind w:left="40" w:right="519" w:firstLine="270"/>
        <w:spacing w:after="0" w:line="269" w:lineRule="auto"/>
        <w:rPr>
          <w:sz w:val="20"/>
          <w:szCs w:val="20"/>
          <w:color w:val="auto"/>
        </w:rPr>
      </w:pPr>
      <w:r>
        <w:rPr>
          <w:rFonts w:ascii="Arial" w:cs="Arial" w:eastAsia="Arial" w:hAnsi="Arial"/>
          <w:sz w:val="17"/>
          <w:szCs w:val="17"/>
          <w:color w:val="auto"/>
        </w:rPr>
        <w:t>While the investment focus of each of these entities, including the Coursera Funds and the GSV Ventures Funds, may be different from our investment objective, it is likely that new investment opportunities that meet our investment objective will come to the attention of one of these entities, or new entities that will likely be formed in the future in connection with another investment advisory client or program, and, if so, such opportunity might not be offered, or otherwise made available, to us. However, our executive officers, directors and investment adviser, GSV Asset Management, intend to treat us in a fair and equitable manner consistent with their applicable duties under law so that we will not be disadvantaged in relation to any other particular client. In addition, while GSV Asset Management anticipates that it will from time to time identify investment opportunities that are appropriate for both us and the other funds that are currently, or in the future may be, managed by GSV Asset Management, to the extent it does identify such opportunities, GSV Asset Management has established an allocation policy to ensure that we have priority over such other funds. Our board of directors will monitor on a quarterly basis any such allocation of investment opportunities between us and any such other funds.</w:t>
      </w:r>
    </w:p>
    <w:p>
      <w:pPr>
        <w:spacing w:after="0" w:line="75"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GSV Asset Management is the owner of the “GSV” name and marks, which we are permitted to use pursuant to a non-exclusive license agreement between us and GSV Asset Management. GSV Asset Management and its principals also use and may permit other entities to use the “GSV” name and marks in connection with businesses and activities unrelated to our operations. The use of the “GSV” name and marks in connection with businesses and activities unrelated to our operations may not be in the best interests of us or our stockholders and may result in actual or perceived conflicts of interest.</w:t>
      </w:r>
    </w:p>
    <w:p>
      <w:pPr>
        <w:spacing w:after="0" w:line="64" w:lineRule="exact"/>
        <w:rPr>
          <w:sz w:val="20"/>
          <w:szCs w:val="20"/>
          <w:color w:val="auto"/>
        </w:rPr>
      </w:pPr>
    </w:p>
    <w:p>
      <w:pPr>
        <w:ind w:left="40" w:right="519" w:firstLine="270"/>
        <w:spacing w:after="0" w:line="302" w:lineRule="auto"/>
        <w:rPr>
          <w:sz w:val="20"/>
          <w:szCs w:val="20"/>
          <w:color w:val="auto"/>
        </w:rPr>
      </w:pPr>
      <w:r>
        <w:rPr>
          <w:rFonts w:ascii="Arial" w:cs="Arial" w:eastAsia="Arial" w:hAnsi="Arial"/>
          <w:sz w:val="16"/>
          <w:szCs w:val="16"/>
          <w:color w:val="auto"/>
        </w:rPr>
        <w:t>In the ordinary course of business, we may enter into transactions with portfolio companies that may be considered related-party transactions. To ensure that we do not engage in any prohibited transactions with any persons affiliated with us, we have implemented certain written policies and procedures whereby our executive officers screen each of our transactions for any possible affiliations between the proposed portfolio investment, us, companies controlled by us and our executive officers and directors.</w:t>
      </w:r>
    </w:p>
    <w:p>
      <w:pPr>
        <w:spacing w:after="0" w:line="200" w:lineRule="exact"/>
        <w:rPr>
          <w:sz w:val="20"/>
          <w:szCs w:val="20"/>
          <w:color w:val="auto"/>
        </w:rPr>
      </w:pPr>
    </w:p>
    <w:p>
      <w:pPr>
        <w:spacing w:after="0" w:line="29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99" w:firstLine="270"/>
        <w:spacing w:after="0" w:line="271" w:lineRule="auto"/>
        <w:rPr>
          <w:sz w:val="20"/>
          <w:szCs w:val="20"/>
          <w:color w:val="auto"/>
        </w:rPr>
      </w:pPr>
      <w:r>
        <w:rPr>
          <w:rFonts w:ascii="Arial" w:cs="Arial" w:eastAsia="Arial" w:hAnsi="Arial"/>
          <w:sz w:val="17"/>
          <w:szCs w:val="17"/>
          <w:color w:val="auto"/>
        </w:rPr>
        <w:t>We also adopted a code of ethics which applies to, among others, our senior officers, including our Chief Executive Officer, President, Chief Financial Officer and Chief Compliance Officer, as well as any other officers and our directors and employees. Our code of ethics requires that all employees and directors avoid any conflict, or the appearance of a conflict, between an individual’s personal interests and our interests. Pursuant to our code of ethics, each officer, employee and director must disclose any conflicts of interest, or actions or relationships that might give rise to a conflict, to our Chief Compliance Officer. Our board of directors is charged with approving any waivers under our code of ethics. As required by the Nasdaq corporate governance listing standards, the Audit Committee of our board of directors is also required to review and approve any transactions with related parties (as such term is defined in Item 404 of Regulation S-K).</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condensed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We believe that the following discussion addresses our most critical accounting policies, which are those that are most important to the portrayal of our financial condition and results of operations and require management’s most difficult, subjective and complex judgments.</w:t>
      </w:r>
    </w:p>
    <w:p>
      <w:pPr>
        <w:spacing w:after="0" w:line="11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left="40" w:right="1119" w:firstLine="270"/>
        <w:spacing w:after="0" w:line="308" w:lineRule="auto"/>
        <w:rPr>
          <w:sz w:val="20"/>
          <w:szCs w:val="20"/>
          <w:color w:val="auto"/>
        </w:rPr>
      </w:pPr>
      <w:r>
        <w:rPr>
          <w:rFonts w:ascii="Arial" w:cs="Arial" w:eastAsia="Arial" w:hAnsi="Arial"/>
          <w:sz w:val="17"/>
          <w:szCs w:val="17"/>
          <w:color w:val="auto"/>
        </w:rPr>
        <w:t>We apply fair value accounting in accordance with GAAP and the AICPA’s Audit and Accounting Guide for Investment Companies. We value our assets on a quarterly basis, or more frequently if required under the 1940 Act.</w:t>
      </w:r>
    </w:p>
    <w:p>
      <w:pPr>
        <w:spacing w:after="0" w:line="38" w:lineRule="exact"/>
        <w:rPr>
          <w:sz w:val="20"/>
          <w:szCs w:val="20"/>
          <w:color w:val="auto"/>
        </w:rPr>
      </w:pPr>
    </w:p>
    <w:p>
      <w:pPr>
        <w:ind w:left="40" w:right="659" w:firstLine="27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81" w:lineRule="exact"/>
        <w:rPr>
          <w:sz w:val="20"/>
          <w:szCs w:val="20"/>
          <w:color w:val="auto"/>
        </w:rPr>
      </w:pPr>
    </w:p>
    <w:p>
      <w:pPr>
        <w:ind w:left="40" w:right="739" w:firstLine="270"/>
        <w:spacing w:after="0" w:line="282" w:lineRule="auto"/>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based on unadjusted quoted prices for identical assets or liabilities in an active market that we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access at the measurement date.</w:t>
      </w:r>
    </w:p>
    <w:p>
      <w:pPr>
        <w:spacing w:after="0" w:line="54" w:lineRule="exact"/>
        <w:rPr>
          <w:sz w:val="20"/>
          <w:szCs w:val="20"/>
          <w:color w:val="auto"/>
        </w:rPr>
      </w:pPr>
    </w:p>
    <w:p>
      <w:pPr>
        <w:ind w:left="40" w:right="899" w:firstLine="270"/>
        <w:spacing w:after="0" w:line="289" w:lineRule="auto"/>
        <w:rPr>
          <w:sz w:val="20"/>
          <w:szCs w:val="20"/>
          <w:color w:val="auto"/>
        </w:rPr>
      </w:pPr>
      <w:r>
        <w:rPr>
          <w:rFonts w:ascii="Arial" w:cs="Arial" w:eastAsia="Arial" w:hAnsi="Arial"/>
          <w:sz w:val="17"/>
          <w:szCs w:val="17"/>
          <w:b w:val="1"/>
          <w:bCs w:val="1"/>
          <w:color w:val="auto"/>
        </w:rPr>
        <w:t xml:space="preserve">Level 2 </w:t>
      </w:r>
      <w:r>
        <w:rPr>
          <w:rFonts w:ascii="Arial" w:cs="Arial" w:eastAsia="Arial" w:hAnsi="Arial"/>
          <w:sz w:val="17"/>
          <w:szCs w:val="17"/>
          <w:color w:val="auto"/>
        </w:rPr>
        <w:t>— Valuations based on observable inputs other than Level 1 prices, such as quoted prices for similar assets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quoted prices in markets that are not active; or other inputs that are observable or can be corroborated by observable market data at the measurement date for substantially the full term of the assets or liabilities.</w:t>
      </w:r>
    </w:p>
    <w:p>
      <w:pPr>
        <w:spacing w:after="0" w:line="50" w:lineRule="exact"/>
        <w:rPr>
          <w:sz w:val="20"/>
          <w:szCs w:val="20"/>
          <w:color w:val="auto"/>
        </w:rPr>
      </w:pPr>
    </w:p>
    <w:p>
      <w:pPr>
        <w:ind w:left="40" w:right="619" w:firstLine="270"/>
        <w:spacing w:after="0" w:line="266"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unobservable inputs that reflect management’s best estimate of what market participants would</w:t>
      </w:r>
      <w:r>
        <w:rPr>
          <w:rFonts w:ascii="Arial" w:cs="Arial" w:eastAsia="Arial" w:hAnsi="Arial"/>
          <w:sz w:val="18"/>
          <w:szCs w:val="18"/>
          <w:b w:val="1"/>
          <w:bCs w:val="1"/>
          <w:color w:val="auto"/>
        </w:rPr>
        <w:t xml:space="preserve"> </w:t>
      </w:r>
      <w:r>
        <w:rPr>
          <w:rFonts w:ascii="Arial" w:cs="Arial" w:eastAsia="Arial" w:hAnsi="Arial"/>
          <w:sz w:val="18"/>
          <w:szCs w:val="18"/>
          <w:color w:val="auto"/>
        </w:rPr>
        <w:t>use in pricing the asset or liability at the measurement date. Consideration is given to the risk inherent in the valuation technique and the risk inherent in the inputs to the model.</w:t>
      </w:r>
    </w:p>
    <w:p>
      <w:pPr>
        <w:spacing w:after="0" w:line="72" w:lineRule="exact"/>
        <w:rPr>
          <w:sz w:val="20"/>
          <w:szCs w:val="20"/>
          <w:color w:val="auto"/>
        </w:rPr>
      </w:pPr>
    </w:p>
    <w:p>
      <w:pPr>
        <w:jc w:val="both"/>
        <w:ind w:left="40" w:right="799" w:firstLine="270"/>
        <w:spacing w:after="0" w:line="288" w:lineRule="auto"/>
        <w:rPr>
          <w:sz w:val="20"/>
          <w:szCs w:val="20"/>
          <w:color w:val="auto"/>
        </w:rPr>
      </w:pPr>
      <w:r>
        <w:rPr>
          <w:rFonts w:ascii="Arial" w:cs="Arial" w:eastAsia="Arial" w:hAnsi="Arial"/>
          <w:sz w:val="16"/>
          <w:szCs w:val="16"/>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w:t>
      </w:r>
    </w:p>
    <w:p>
      <w:pPr>
        <w:ind w:left="40" w:right="579"/>
        <w:spacing w:after="0" w:line="277" w:lineRule="auto"/>
        <w:rPr>
          <w:sz w:val="20"/>
          <w:szCs w:val="20"/>
          <w:color w:val="auto"/>
        </w:rPr>
      </w:pPr>
      <w:r>
        <w:rPr>
          <w:rFonts w:ascii="Arial" w:cs="Arial" w:eastAsia="Arial" w:hAnsi="Arial"/>
          <w:sz w:val="17"/>
          <w:szCs w:val="17"/>
          <w:color w:val="auto"/>
        </w:rPr>
        <w:t>Therefore, gains and losses for such assets and liabilities categorized within the Level 3 table set forth in “Note 3 — Investments at Fair Value” to our condensed consolidated financial statements as of June 30, 2016, may include changes in fair value that are attributable to both observable inputs (Levels 1 and 2) and unobservable inputs (Level 3).</w:t>
      </w:r>
    </w:p>
    <w:p>
      <w:pPr>
        <w:spacing w:after="0" w:line="200" w:lineRule="exact"/>
        <w:rPr>
          <w:sz w:val="20"/>
          <w:szCs w:val="20"/>
          <w:color w:val="auto"/>
        </w:rPr>
      </w:pPr>
    </w:p>
    <w:p>
      <w:pPr>
        <w:spacing w:after="0" w:line="31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end of the quarter in which the reclassifications occur. Refer to “Note 1 — Nature of Operations and Significant Accounting Policies — Levelling Policy” to our condensed consolidated financial statements as of June 30, 2016, for a detailed discussion of the levelling of our financial assets or liabilities and events that may cause a reclassification within the fair value hierarchy.</w:t>
      </w:r>
    </w:p>
    <w:p>
      <w:pPr>
        <w:spacing w:after="0" w:line="70" w:lineRule="exact"/>
        <w:rPr>
          <w:sz w:val="20"/>
          <w:szCs w:val="20"/>
          <w:color w:val="auto"/>
        </w:rPr>
      </w:pPr>
    </w:p>
    <w:p>
      <w:pPr>
        <w:ind w:left="40" w:right="579" w:firstLine="270"/>
        <w:spacing w:after="0" w:line="276" w:lineRule="auto"/>
        <w:rPr>
          <w:sz w:val="20"/>
          <w:szCs w:val="20"/>
          <w:color w:val="auto"/>
        </w:rPr>
      </w:pPr>
      <w:r>
        <w:rPr>
          <w:rFonts w:ascii="Arial" w:cs="Arial" w:eastAsia="Arial" w:hAnsi="Arial"/>
          <w:sz w:val="17"/>
          <w:szCs w:val="17"/>
          <w:color w:val="auto"/>
        </w:rPr>
        <w:t>Securities for which market quotations are readily available on an exchange are valued at the closing price of such security on the valuation date; however, if they are subject to restrictions upon sale (such as lock-up restrictions), they may be discounted accordingly. We may also obtain quotes with respect to certain of our investments from pricing services, brokers or dealers in order to value assets. When doing so, we determine whether the quote obtained is sufficient according to GAAP to determine the fair value of the security. If determined to be adequate, we use the quote obtained.</w:t>
      </w:r>
    </w:p>
    <w:p>
      <w:pPr>
        <w:spacing w:after="0" w:line="64" w:lineRule="exact"/>
        <w:rPr>
          <w:sz w:val="20"/>
          <w:szCs w:val="20"/>
          <w:color w:val="auto"/>
        </w:rPr>
      </w:pPr>
    </w:p>
    <w:p>
      <w:pPr>
        <w:ind w:left="40" w:right="699" w:firstLine="270"/>
        <w:spacing w:after="0" w:line="286" w:lineRule="auto"/>
        <w:rPr>
          <w:sz w:val="20"/>
          <w:szCs w:val="20"/>
          <w:color w:val="auto"/>
        </w:rPr>
      </w:pPr>
      <w:r>
        <w:rPr>
          <w:rFonts w:ascii="Arial" w:cs="Arial" w:eastAsia="Arial" w:hAnsi="Arial"/>
          <w:sz w:val="17"/>
          <w:szCs w:val="17"/>
          <w:color w:val="auto"/>
        </w:rPr>
        <w:t>Securities for which reliable market quotations are not readily available or for which the pricing source does not provide a valuation or methodology, or provides a valuation or methodology that, in the judgment of GSV Asset Management, our board of directors or the Valuation Committee, does not represent fair value, shall each be valued as follows:</w:t>
      </w:r>
    </w:p>
    <w:p>
      <w:pPr>
        <w:spacing w:after="0" w:line="57" w:lineRule="exact"/>
        <w:rPr>
          <w:sz w:val="20"/>
          <w:szCs w:val="20"/>
          <w:color w:val="auto"/>
        </w:rPr>
      </w:pPr>
    </w:p>
    <w:p>
      <w:pPr>
        <w:ind w:left="540" w:right="699" w:hanging="262"/>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of GSV Asset Management responsible for the portfolio investment;</w:t>
      </w:r>
    </w:p>
    <w:p>
      <w:pPr>
        <w:spacing w:after="0" w:line="62" w:lineRule="exact"/>
        <w:rPr>
          <w:rFonts w:ascii="Arial" w:cs="Arial" w:eastAsia="Arial" w:hAnsi="Arial"/>
          <w:sz w:val="18"/>
          <w:szCs w:val="18"/>
          <w:color w:val="auto"/>
        </w:rPr>
      </w:pPr>
    </w:p>
    <w:p>
      <w:pPr>
        <w:ind w:left="540" w:hanging="262"/>
        <w:spacing w:after="0"/>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Preliminary valuation conclusions are then documented and discussed with GSV Asset Management senior management;</w:t>
      </w:r>
    </w:p>
    <w:p>
      <w:pPr>
        <w:spacing w:after="0" w:line="140" w:lineRule="exact"/>
        <w:rPr>
          <w:rFonts w:ascii="Arial" w:cs="Arial" w:eastAsia="Arial" w:hAnsi="Arial"/>
          <w:sz w:val="16"/>
          <w:szCs w:val="16"/>
          <w:color w:val="auto"/>
        </w:rPr>
      </w:pPr>
    </w:p>
    <w:p>
      <w:pPr>
        <w:jc w:val="both"/>
        <w:ind w:left="540" w:right="699" w:hanging="262"/>
        <w:spacing w:after="0" w:line="264"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independent third-party valuation firm is engaged by, or on behalf of, the Valuation Committee to conduct independent appraisals and review management’s preliminary valuations and make its own independent assessment, for all investments for which there are no readily available market quotations;</w:t>
      </w:r>
    </w:p>
    <w:p>
      <w:pPr>
        <w:spacing w:after="0" w:line="73" w:lineRule="exact"/>
        <w:rPr>
          <w:rFonts w:ascii="Arial" w:cs="Arial" w:eastAsia="Arial" w:hAnsi="Arial"/>
          <w:sz w:val="18"/>
          <w:szCs w:val="18"/>
          <w:color w:val="auto"/>
        </w:rPr>
      </w:pPr>
    </w:p>
    <w:p>
      <w:pPr>
        <w:ind w:left="540" w:right="519" w:hanging="262"/>
        <w:spacing w:after="0" w:line="342"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Valuation Committee discusses the valuations and recommends to our board of directors a fair value for each investment in the portfolio based on the input of GSV Asset Management and the independent third-party valuation firm; and</w:t>
      </w:r>
    </w:p>
    <w:p>
      <w:pPr>
        <w:spacing w:after="0" w:line="15" w:lineRule="exact"/>
        <w:rPr>
          <w:rFonts w:ascii="Arial" w:cs="Arial" w:eastAsia="Arial" w:hAnsi="Arial"/>
          <w:sz w:val="16"/>
          <w:szCs w:val="16"/>
          <w:color w:val="auto"/>
        </w:rPr>
      </w:pPr>
    </w:p>
    <w:p>
      <w:pPr>
        <w:ind w:left="540" w:right="559" w:hanging="262"/>
        <w:spacing w:after="0" w:line="27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of directors then discusses the valuations recommended by the Valuation Committee and determines in good faith the fair value of each investment in the portfolio.</w:t>
      </w:r>
    </w:p>
    <w:p>
      <w:pPr>
        <w:spacing w:after="0" w:line="62" w:lineRule="exact"/>
        <w:rPr>
          <w:sz w:val="20"/>
          <w:szCs w:val="20"/>
          <w:color w:val="auto"/>
        </w:rPr>
      </w:pPr>
    </w:p>
    <w:p>
      <w:pPr>
        <w:ind w:left="40" w:right="539" w:firstLine="270"/>
        <w:spacing w:after="0" w:line="255" w:lineRule="auto"/>
        <w:rPr>
          <w:sz w:val="20"/>
          <w:szCs w:val="20"/>
          <w:color w:val="auto"/>
        </w:rPr>
      </w:pPr>
      <w:r>
        <w:rPr>
          <w:rFonts w:ascii="Arial" w:cs="Arial" w:eastAsia="Arial" w:hAnsi="Arial"/>
          <w:sz w:val="18"/>
          <w:szCs w:val="18"/>
          <w:color w:val="auto"/>
        </w:rPr>
        <w:t>In making a good faith determination of the fair value of investments, we consider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We assign a weighting based upon the relevance of each method to determine the fair value of each investment.</w:t>
      </w:r>
    </w:p>
    <w:p>
      <w:pPr>
        <w:spacing w:after="0" w:line="81" w:lineRule="exact"/>
        <w:rPr>
          <w:sz w:val="20"/>
          <w:szCs w:val="20"/>
          <w:color w:val="auto"/>
        </w:rPr>
      </w:pPr>
    </w:p>
    <w:p>
      <w:pPr>
        <w:ind w:left="40" w:right="599" w:firstLine="270"/>
        <w:spacing w:after="0" w:line="286" w:lineRule="auto"/>
        <w:rPr>
          <w:sz w:val="20"/>
          <w:szCs w:val="20"/>
          <w:color w:val="auto"/>
        </w:rPr>
      </w:pPr>
      <w:r>
        <w:rPr>
          <w:rFonts w:ascii="Arial" w:cs="Arial" w:eastAsia="Arial" w:hAnsi="Arial"/>
          <w:sz w:val="17"/>
          <w:szCs w:val="17"/>
          <w:color w:val="auto"/>
        </w:rPr>
        <w:t>The Valuation Committee engages at least one independent valuation firm to perform valuations of our investments that are not publicly traded or for which there are no readily available market quotations. Our board of directors considers the independent valuations provided by the valuation firm(s), among other factors, in making our fair value determinations.</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9" w:name="page60"/>
    <w:bookmarkEnd w:id="59"/>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Portfolio Activity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June 30, 2016 through August 9, 2016, we did not purchase any investments.</w:t>
      </w:r>
    </w:p>
    <w:p>
      <w:pPr>
        <w:spacing w:after="0" w:line="117" w:lineRule="exact"/>
        <w:rPr>
          <w:sz w:val="20"/>
          <w:szCs w:val="20"/>
          <w:color w:val="auto"/>
        </w:rPr>
      </w:pPr>
    </w:p>
    <w:p>
      <w:pPr>
        <w:ind w:left="60" w:right="1019" w:firstLine="270"/>
        <w:spacing w:after="0" w:line="277" w:lineRule="auto"/>
        <w:rPr>
          <w:sz w:val="20"/>
          <w:szCs w:val="20"/>
          <w:color w:val="auto"/>
        </w:rPr>
      </w:pPr>
      <w:r>
        <w:rPr>
          <w:rFonts w:ascii="Arial" w:cs="Arial" w:eastAsia="Arial" w:hAnsi="Arial"/>
          <w:sz w:val="18"/>
          <w:szCs w:val="18"/>
          <w:color w:val="auto"/>
        </w:rPr>
        <w:t>From June 30, 2016 through August 9, 2016, we sold investments of $16,978,469 net of transaction costs as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1885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Sales by Portfolio Company</w:t>
            </w:r>
          </w:p>
        </w:tc>
        <w:tc>
          <w:tcPr>
            <w:tcW w:w="160" w:type="dxa"/>
            <w:vAlign w:val="bottom"/>
          </w:tcPr>
          <w:p>
            <w:pPr>
              <w:spacing w:after="0"/>
              <w:rPr>
                <w:sz w:val="16"/>
                <w:szCs w:val="16"/>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60" w:type="dxa"/>
            <w:vAlign w:val="bottom"/>
          </w:tcPr>
          <w:p>
            <w:pPr>
              <w:spacing w:after="0"/>
              <w:rPr>
                <w:sz w:val="16"/>
                <w:szCs w:val="16"/>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6"/>
              </w:rPr>
              <w:t>Shares Sold</w:t>
            </w: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Average Net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Net Proceeds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76"/>
        </w:trPr>
        <w:tc>
          <w:tcPr>
            <w:tcW w:w="2520" w:type="dxa"/>
            <w:vAlign w:val="bottom"/>
            <w:tcBorders>
              <w:bottom w:val="single" w:sz="8" w:color="auto"/>
            </w:tcBorders>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5"/>
              </w:rPr>
              <w:t>Share Price</w:t>
            </w:r>
            <w:r>
              <w:rPr>
                <w:rFonts w:ascii="Arial" w:cs="Arial" w:eastAsia="Arial" w:hAnsi="Arial"/>
                <w:sz w:val="20"/>
                <w:szCs w:val="20"/>
                <w:b w:val="1"/>
                <w:bCs w:val="1"/>
                <w:color w:val="auto"/>
                <w:w w:val="95"/>
                <w:vertAlign w:val="superscript"/>
              </w:rPr>
              <w:t>(1)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210"/>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8, 2016</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500,000</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9,019,053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259,477</w:t>
            </w:r>
          </w:p>
        </w:tc>
        <w:tc>
          <w:tcPr>
            <w:tcW w:w="0" w:type="dxa"/>
            <w:vAlign w:val="bottom"/>
          </w:tcPr>
          <w:p>
            <w:pPr>
              <w:spacing w:after="0"/>
              <w:rPr>
                <w:sz w:val="1"/>
                <w:szCs w:val="1"/>
                <w:color w:val="auto"/>
              </w:rPr>
            </w:pPr>
          </w:p>
        </w:tc>
      </w:tr>
      <w:tr>
        <w:trPr>
          <w:trHeight w:val="216"/>
        </w:trPr>
        <w:tc>
          <w:tcPr>
            <w:tcW w:w="2520" w:type="dxa"/>
            <w:vAlign w:val="bottom"/>
            <w:gridSpan w:val="3"/>
          </w:tcPr>
          <w:p>
            <w:pPr>
              <w:ind w:left="20"/>
              <w:spacing w:after="0"/>
              <w:rPr>
                <w:sz w:val="20"/>
                <w:szCs w:val="20"/>
                <w:color w:val="auto"/>
              </w:rPr>
            </w:pPr>
            <w:r>
              <w:rPr>
                <w:rFonts w:ascii="Arial" w:cs="Arial" w:eastAsia="Arial" w:hAnsi="Arial"/>
                <w:sz w:val="18"/>
                <w:szCs w:val="18"/>
                <w:color w:val="auto"/>
              </w:rPr>
              <w:t>Twitter, Inc.</w:t>
            </w: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July 25, 2016</w:t>
            </w:r>
          </w:p>
        </w:tc>
        <w:tc>
          <w:tcPr>
            <w:tcW w:w="1040" w:type="dxa"/>
            <w:vAlign w:val="bottom"/>
            <w:gridSpan w:val="2"/>
          </w:tcPr>
          <w:p>
            <w:pPr>
              <w:jc w:val="right"/>
              <w:ind w:right="8"/>
              <w:spacing w:after="0"/>
              <w:rPr>
                <w:sz w:val="20"/>
                <w:szCs w:val="20"/>
                <w:color w:val="auto"/>
              </w:rPr>
            </w:pPr>
            <w:r>
              <w:rPr>
                <w:rFonts w:ascii="Arial" w:cs="Arial" w:eastAsia="Arial" w:hAnsi="Arial"/>
                <w:sz w:val="18"/>
                <w:szCs w:val="18"/>
                <w:color w:val="auto"/>
              </w:rPr>
              <w:t>300,600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18.49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5,559,416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47,126</w:t>
            </w:r>
          </w:p>
        </w:tc>
        <w:tc>
          <w:tcPr>
            <w:tcW w:w="0" w:type="dxa"/>
            <w:vAlign w:val="bottom"/>
          </w:tcPr>
          <w:p>
            <w:pPr>
              <w:spacing w:after="0"/>
              <w:rPr>
                <w:sz w:val="1"/>
                <w:szCs w:val="1"/>
                <w:color w:val="auto"/>
              </w:rPr>
            </w:pPr>
          </w:p>
        </w:tc>
      </w:tr>
      <w:tr>
        <w:trPr>
          <w:trHeight w:val="216"/>
        </w:trPr>
        <w:tc>
          <w:tcPr>
            <w:tcW w:w="2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Lyft, Inc.</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29, 2016</w:t>
            </w:r>
          </w:p>
        </w:tc>
        <w:tc>
          <w:tcPr>
            <w:tcW w:w="10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1,383,880</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gridSpan w:val="3"/>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0"/>
              </w:rPr>
              <w:t>16,978,469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1,690,483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-368300</wp:posOffset>
            </wp:positionV>
            <wp:extent cx="5213985" cy="180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3985" cy="180340"/>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average net share price is the net share price realized after deducting all commissions and fees on the sale(s).</w:t>
      </w:r>
    </w:p>
    <w:p>
      <w:pPr>
        <w:spacing w:after="0" w:line="117" w:lineRule="exact"/>
        <w:rPr>
          <w:sz w:val="20"/>
          <w:szCs w:val="20"/>
          <w:color w:val="auto"/>
        </w:rPr>
      </w:pPr>
    </w:p>
    <w:p>
      <w:pPr>
        <w:ind w:left="60" w:right="539" w:firstLine="270"/>
        <w:spacing w:after="0" w:line="255" w:lineRule="auto"/>
        <w:rPr>
          <w:sz w:val="20"/>
          <w:szCs w:val="20"/>
          <w:color w:val="auto"/>
        </w:rPr>
      </w:pPr>
      <w:r>
        <w:rPr>
          <w:rFonts w:ascii="Arial" w:cs="Arial" w:eastAsia="Arial" w:hAnsi="Arial"/>
          <w:sz w:val="18"/>
          <w:szCs w:val="18"/>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 From June 30, 2016 through August 9, 2016, we made no such escrow deposits.</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Dividends</w:t>
      </w:r>
    </w:p>
    <w:p>
      <w:pPr>
        <w:spacing w:after="0" w:line="117" w:lineRule="exact"/>
        <w:rPr>
          <w:sz w:val="20"/>
          <w:szCs w:val="20"/>
          <w:color w:val="auto"/>
        </w:rPr>
      </w:pPr>
    </w:p>
    <w:p>
      <w:pPr>
        <w:ind w:left="60" w:right="539" w:firstLine="270"/>
        <w:spacing w:after="0" w:line="277" w:lineRule="auto"/>
        <w:rPr>
          <w:sz w:val="20"/>
          <w:szCs w:val="20"/>
          <w:color w:val="auto"/>
        </w:rPr>
      </w:pPr>
      <w:r>
        <w:rPr>
          <w:rFonts w:ascii="Arial" w:cs="Arial" w:eastAsia="Arial" w:hAnsi="Arial"/>
          <w:sz w:val="18"/>
          <w:szCs w:val="18"/>
          <w:color w:val="auto"/>
        </w:rPr>
        <w:t>On August 3, 2016, our board of directors declared a dividend of $0.04 per share payable on August 24, 2016 to stockholders of record at the close of business on August 16, 2016.</w:t>
      </w:r>
    </w:p>
    <w:p>
      <w:pPr>
        <w:spacing w:after="0" w:line="85" w:lineRule="exact"/>
        <w:rPr>
          <w:sz w:val="20"/>
          <w:szCs w:val="20"/>
          <w:color w:val="auto"/>
        </w:rPr>
      </w:pPr>
    </w:p>
    <w:p>
      <w:pPr>
        <w:ind w:left="60" w:right="4819"/>
        <w:spacing w:after="0" w:line="401"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Market Risk</w:t>
      </w:r>
    </w:p>
    <w:p>
      <w:pPr>
        <w:spacing w:after="0" w:line="1" w:lineRule="exact"/>
        <w:rPr>
          <w:sz w:val="20"/>
          <w:szCs w:val="20"/>
          <w:color w:val="auto"/>
        </w:rPr>
      </w:pPr>
    </w:p>
    <w:p>
      <w:pPr>
        <w:ind w:left="60" w:right="559" w:firstLine="270"/>
        <w:spacing w:after="0" w:line="291" w:lineRule="auto"/>
        <w:rPr>
          <w:sz w:val="20"/>
          <w:szCs w:val="20"/>
          <w:color w:val="auto"/>
        </w:rPr>
      </w:pPr>
      <w:r>
        <w:rPr>
          <w:rFonts w:ascii="Arial" w:cs="Arial" w:eastAsia="Arial" w:hAnsi="Arial"/>
          <w:sz w:val="16"/>
          <w:szCs w:val="16"/>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such as the recent market volatility in China, geopolitical unrest in the Middle East and as a result of the referendum vote relating to the United Kingdom’s exit from the European Union.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0" w:right="599" w:firstLine="270"/>
        <w:spacing w:after="0" w:line="257"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indirect effect on the business, financial condition and results of operations of the portfolio companies in which we invest.</w:t>
      </w:r>
    </w:p>
    <w:p>
      <w:pPr>
        <w:spacing w:after="0" w:line="80" w:lineRule="exact"/>
        <w:rPr>
          <w:sz w:val="20"/>
          <w:szCs w:val="20"/>
          <w:color w:val="auto"/>
        </w:rPr>
      </w:pPr>
    </w:p>
    <w:p>
      <w:pPr>
        <w:ind w:left="60" w:right="519" w:firstLine="270"/>
        <w:spacing w:after="0" w:line="279" w:lineRule="auto"/>
        <w:rPr>
          <w:sz w:val="20"/>
          <w:szCs w:val="20"/>
          <w:color w:val="auto"/>
        </w:rPr>
      </w:pPr>
      <w:r>
        <w:rPr>
          <w:rFonts w:ascii="Arial" w:cs="Arial" w:eastAsia="Arial" w:hAnsi="Arial"/>
          <w:sz w:val="17"/>
          <w:szCs w:val="17"/>
          <w:color w:val="auto"/>
        </w:rPr>
        <w:t>As of June 30, 2016, all of our debt investments bore a fixed rate of interest. As of June 30, 2016, all of our borrowings bore a fixed rate of interest with the exception of the Credit Facility, which is indexed to the prime rate. We do not expect a significant impact on net investment income or loss due to changes in the prime rate, based on its historical stability. The table below, however, indicates the impact on our net investment income or loss should the prime rate rise.</w:t>
      </w:r>
    </w:p>
    <w:p>
      <w:pPr>
        <w:spacing w:after="0" w:line="200" w:lineRule="exact"/>
        <w:rPr>
          <w:sz w:val="20"/>
          <w:szCs w:val="20"/>
          <w:color w:val="auto"/>
        </w:rPr>
      </w:pPr>
    </w:p>
    <w:p>
      <w:pPr>
        <w:spacing w:after="0" w:line="30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0" w:name="page61"/>
    <w:bookmarkEnd w:id="60"/>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659" w:firstLine="270"/>
        <w:spacing w:after="0" w:line="264" w:lineRule="auto"/>
        <w:rPr>
          <w:sz w:val="20"/>
          <w:szCs w:val="20"/>
          <w:color w:val="auto"/>
        </w:rPr>
      </w:pPr>
      <w:r>
        <w:rPr>
          <w:rFonts w:ascii="Arial" w:cs="Arial" w:eastAsia="Arial" w:hAnsi="Arial"/>
          <w:sz w:val="18"/>
          <w:szCs w:val="18"/>
          <w:color w:val="auto"/>
        </w:rPr>
        <w:t>Based on our June 30, 2016 condensed consolidated balance sheet, the following table shows the impact of changes in interest rates on our net income or loss for the six months ended June 30, 2016, assuming no changes in our investment and borrowing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47510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Basis Point Change</w:t>
            </w:r>
          </w:p>
        </w:tc>
        <w:tc>
          <w:tcPr>
            <w:tcW w:w="16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Interest</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 Income/</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Expense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300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990,000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(990,000)</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900,000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0"/>
              </w:rPr>
              <w:t>(900,000)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 100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(810,000)</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Down 100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Down 200 Basis points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Down 300 Basis points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619" w:firstLine="270"/>
        <w:spacing w:after="0" w:line="264" w:lineRule="auto"/>
        <w:rPr>
          <w:sz w:val="20"/>
          <w:szCs w:val="20"/>
          <w:color w:val="auto"/>
        </w:rPr>
      </w:pPr>
      <w:r>
        <w:rPr>
          <w:rFonts w:ascii="Arial" w:cs="Arial" w:eastAsia="Arial" w:hAnsi="Arial"/>
          <w:sz w:val="18"/>
          <w:szCs w:val="18"/>
          <w:color w:val="auto"/>
        </w:rPr>
        <w:t>Although we believe that this measure is indicative of our sensitivity to interest rate changes, it does not reflect potential changes in credit quality, size and composition of the assets on the balance sheet and other business developments that could affect net increase or decrease in net assets resulting from operations, or net income or loss.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60" w:right="599" w:firstLine="270"/>
        <w:spacing w:after="0" w:line="288" w:lineRule="auto"/>
        <w:rPr>
          <w:sz w:val="20"/>
          <w:szCs w:val="20"/>
          <w:color w:val="auto"/>
        </w:rPr>
      </w:pPr>
      <w:r>
        <w:rPr>
          <w:rFonts w:ascii="Arial" w:cs="Arial" w:eastAsia="Arial" w:hAnsi="Arial"/>
          <w:sz w:val="16"/>
          <w:szCs w:val="16"/>
          <w:color w:val="auto"/>
        </w:rPr>
        <w:t>As of June 30, 2016, we,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61" w:lineRule="exact"/>
        <w:rPr>
          <w:sz w:val="20"/>
          <w:szCs w:val="20"/>
          <w:color w:val="auto"/>
        </w:rPr>
      </w:pPr>
    </w:p>
    <w:p>
      <w:pPr>
        <w:jc w:val="both"/>
        <w:ind w:left="60" w:right="659" w:firstLine="270"/>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quarter ended June 30, 2016, that have materially affected, or are reasonably likely to materially affect, our internal control over financial reporting.</w:t>
      </w:r>
    </w:p>
    <w:p>
      <w:pPr>
        <w:spacing w:after="0" w:line="200" w:lineRule="exact"/>
        <w:rPr>
          <w:sz w:val="20"/>
          <w:szCs w:val="20"/>
          <w:color w:val="auto"/>
        </w:rPr>
      </w:pPr>
    </w:p>
    <w:p>
      <w:pPr>
        <w:spacing w:after="0" w:line="33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Although we and GSV Asset Management may, from time to time, be involved in litigation arising out of our and GSV Asset Management’s operations in the normal course of business or otherwise, except as set forth in “Item 3. Legal Proceedings” of our annual report on Form 10-K for the year ended December 31, 2015, filed with the SEC on March 15, 2016, neither we nor GSV Asset Management is currently a party to any pending material legal proceedings. There have been no material developments in the legal proceedings described in “Item 3. Legal Proceedings” of our annual report on Form 10-K for the fiscal year ended December 31, 2015, since the date such report was filed with the SEC.</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40" w:right="519" w:firstLine="270"/>
        <w:spacing w:after="0" w:line="272"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“Item 1A. Risk Factors” in our annual report on Form 10-K for the fiscal year ended December 31, 2015, filed with the SEC on March 15, 2016, which could materially affect our business, financial condition and/or operating results. The risks described in our annual report on Form 10-K are not the only risks we face. Additional risks and uncertainties not currently known to us, or that we currently deem to be immaterial, also may materially and adversely affect our business, financial condition and/or operating results. During the six months ended June 30, 2016, there have been no material changes to the risk factors discussed in “Item 1A. Risk Factors” of our annual report on Form 10-K for the fiscal year ended December 31, 2015.</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exhibits are filed as part of this report or hereby incorporated by reference to exhibits previously filed with the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51796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79695" cy="8890"/>
                    </a:xfrm>
                    <a:prstGeom prst="rect">
                      <a:avLst/>
                    </a:prstGeom>
                    <a:noFill/>
                  </pic:spPr>
                </pic:pic>
              </a:graphicData>
            </a:graphic>
          </wp:anchor>
        </w:drawing>
      </w:r>
    </w:p>
    <w:p>
      <w:pPr>
        <w:spacing w:after="0" w:line="48" w:lineRule="exact"/>
        <w:rPr>
          <w:sz w:val="20"/>
          <w:szCs w:val="20"/>
          <w:color w:val="auto"/>
        </w:rPr>
      </w:pPr>
    </w:p>
    <w:tbl>
      <w:tblPr>
        <w:tblLayout w:type="fixed"/>
        <w:tblInd w:w="220" w:type="dxa"/>
        <w:tblCellMar>
          <w:top w:w="0" w:type="dxa"/>
          <w:left w:w="0" w:type="dxa"/>
          <w:bottom w:w="0" w:type="dxa"/>
          <w:right w:w="0" w:type="dxa"/>
        </w:tblCellMar>
      </w:tblPr>
      <w:tr>
        <w:trPr>
          <w:trHeight w:val="345"/>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3.1</w:t>
            </w:r>
          </w:p>
        </w:tc>
        <w:tc>
          <w:tcPr>
            <w:tcW w:w="7460" w:type="dxa"/>
            <w:vAlign w:val="bottom"/>
          </w:tcPr>
          <w:p>
            <w:pPr>
              <w:ind w:left="200"/>
              <w:spacing w:after="0"/>
              <w:rPr>
                <w:sz w:val="20"/>
                <w:szCs w:val="20"/>
                <w:color w:val="auto"/>
              </w:rPr>
            </w:pPr>
            <w:r>
              <w:rPr>
                <w:rFonts w:ascii="Arial" w:cs="Arial" w:eastAsia="Arial" w:hAnsi="Arial"/>
                <w:sz w:val="18"/>
                <w:szCs w:val="18"/>
                <w:color w:val="auto"/>
              </w:rPr>
              <w:t>Articles of Amendment and Restatement</w:t>
            </w:r>
            <w:r>
              <w:rPr>
                <w:rFonts w:ascii="Arial" w:cs="Arial" w:eastAsia="Arial" w:hAnsi="Arial"/>
                <w:sz w:val="30"/>
                <w:szCs w:val="30"/>
                <w:color w:val="auto"/>
                <w:vertAlign w:val="superscript"/>
              </w:rPr>
              <w:t>(1)</w:t>
            </w:r>
          </w:p>
        </w:tc>
      </w:tr>
      <w:tr>
        <w:trPr>
          <w:trHeight w:val="257"/>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3.2</w:t>
            </w:r>
          </w:p>
        </w:tc>
        <w:tc>
          <w:tcPr>
            <w:tcW w:w="7460" w:type="dxa"/>
            <w:vAlign w:val="bottom"/>
          </w:tcPr>
          <w:p>
            <w:pPr>
              <w:ind w:left="200"/>
              <w:spacing w:after="0" w:line="256" w:lineRule="exact"/>
              <w:rPr>
                <w:sz w:val="20"/>
                <w:szCs w:val="20"/>
                <w:color w:val="auto"/>
              </w:rPr>
            </w:pPr>
            <w:r>
              <w:rPr>
                <w:rFonts w:ascii="Arial" w:cs="Arial" w:eastAsia="Arial" w:hAnsi="Arial"/>
                <w:sz w:val="18"/>
                <w:szCs w:val="18"/>
                <w:color w:val="auto"/>
              </w:rPr>
              <w:t>Articles of Amendment</w:t>
            </w:r>
            <w:r>
              <w:rPr>
                <w:rFonts w:ascii="Arial" w:cs="Arial" w:eastAsia="Arial" w:hAnsi="Arial"/>
                <w:sz w:val="29"/>
                <w:szCs w:val="29"/>
                <w:color w:val="auto"/>
                <w:vertAlign w:val="superscript"/>
              </w:rPr>
              <w:t>(2)</w:t>
            </w:r>
          </w:p>
        </w:tc>
      </w:tr>
      <w:tr>
        <w:trPr>
          <w:trHeight w:val="257"/>
        </w:trPr>
        <w:tc>
          <w:tcPr>
            <w:tcW w:w="500" w:type="dxa"/>
            <w:vAlign w:val="bottom"/>
          </w:tcPr>
          <w:p>
            <w:pPr>
              <w:jc w:val="center"/>
              <w:ind w:right="70"/>
              <w:spacing w:after="0"/>
              <w:rPr>
                <w:sz w:val="20"/>
                <w:szCs w:val="20"/>
                <w:color w:val="auto"/>
              </w:rPr>
            </w:pPr>
            <w:r>
              <w:rPr>
                <w:rFonts w:ascii="Arial" w:cs="Arial" w:eastAsia="Arial" w:hAnsi="Arial"/>
                <w:sz w:val="18"/>
                <w:szCs w:val="18"/>
                <w:color w:val="auto"/>
                <w:w w:val="87"/>
              </w:rPr>
              <w:t>3.3</w:t>
            </w:r>
          </w:p>
        </w:tc>
        <w:tc>
          <w:tcPr>
            <w:tcW w:w="7460" w:type="dxa"/>
            <w:vAlign w:val="bottom"/>
          </w:tcPr>
          <w:p>
            <w:pPr>
              <w:ind w:left="200"/>
              <w:spacing w:after="0" w:line="256" w:lineRule="exact"/>
              <w:rPr>
                <w:sz w:val="20"/>
                <w:szCs w:val="20"/>
                <w:color w:val="auto"/>
              </w:rPr>
            </w:pPr>
            <w:r>
              <w:rPr>
                <w:rFonts w:ascii="Arial" w:cs="Arial" w:eastAsia="Arial" w:hAnsi="Arial"/>
                <w:sz w:val="18"/>
                <w:szCs w:val="18"/>
                <w:color w:val="auto"/>
              </w:rPr>
              <w:t>Bylaws</w:t>
            </w:r>
            <w:r>
              <w:rPr>
                <w:rFonts w:ascii="Arial" w:cs="Arial" w:eastAsia="Arial" w:hAnsi="Arial"/>
                <w:sz w:val="29"/>
                <w:szCs w:val="29"/>
                <w:color w:val="auto"/>
                <w:vertAlign w:val="superscript"/>
              </w:rPr>
              <w:t>(1)</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11.1</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Computation of Per Share Earnings (Included in “Note 5 — Net Increase/(Decrease) in Net Assets</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Resulting from Operations per Common Share — Basic and Diluted” to our Condensed</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Consolidated Financial Statements contained in this report)</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31.1</w:t>
            </w:r>
          </w:p>
        </w:tc>
        <w:tc>
          <w:tcPr>
            <w:tcW w:w="7460" w:type="dxa"/>
            <w:vAlign w:val="bottom"/>
          </w:tcPr>
          <w:p>
            <w:pPr>
              <w:ind w:left="200"/>
              <w:spacing w:after="0"/>
              <w:rPr>
                <w:sz w:val="20"/>
                <w:szCs w:val="20"/>
                <w:color w:val="auto"/>
              </w:rPr>
            </w:pPr>
            <w:r>
              <w:rPr>
                <w:rFonts w:ascii="Arial" w:cs="Arial" w:eastAsia="Arial" w:hAnsi="Arial"/>
                <w:sz w:val="18"/>
                <w:szCs w:val="18"/>
                <w:color w:val="auto"/>
                <w:w w:val="93"/>
              </w:rPr>
              <w:t>Certification of Chief Executive Officer pursuant to Rule 13a-14 of the Securities Exchange Act of</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1934, as amended*</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31.2</w:t>
            </w:r>
          </w:p>
        </w:tc>
        <w:tc>
          <w:tcPr>
            <w:tcW w:w="7460" w:type="dxa"/>
            <w:vAlign w:val="bottom"/>
          </w:tcPr>
          <w:p>
            <w:pPr>
              <w:ind w:left="200"/>
              <w:spacing w:after="0"/>
              <w:rPr>
                <w:sz w:val="20"/>
                <w:szCs w:val="20"/>
                <w:color w:val="auto"/>
              </w:rPr>
            </w:pPr>
            <w:r>
              <w:rPr>
                <w:rFonts w:ascii="Arial" w:cs="Arial" w:eastAsia="Arial" w:hAnsi="Arial"/>
                <w:sz w:val="18"/>
                <w:szCs w:val="18"/>
                <w:color w:val="auto"/>
                <w:w w:val="94"/>
              </w:rPr>
              <w:t>Certification of Chief Financial Officer pursuant to Rule 13a-14 of the Securities Exchange Act of</w:t>
            </w:r>
          </w:p>
        </w:tc>
      </w:tr>
      <w:tr>
        <w:trPr>
          <w:trHeight w:val="216"/>
        </w:trPr>
        <w:tc>
          <w:tcPr>
            <w:tcW w:w="50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1934, as amended*</w:t>
            </w:r>
          </w:p>
        </w:tc>
      </w:tr>
      <w:tr>
        <w:trPr>
          <w:trHeight w:val="216"/>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32.1</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Certification of Chief Executive Officer pursuant to Section 906 of the Sarbanes-Oxley Act of 2002*</w:t>
            </w:r>
          </w:p>
        </w:tc>
      </w:tr>
      <w:tr>
        <w:trPr>
          <w:trHeight w:val="230"/>
        </w:trPr>
        <w:tc>
          <w:tcPr>
            <w:tcW w:w="500" w:type="dxa"/>
            <w:vAlign w:val="bottom"/>
          </w:tcPr>
          <w:p>
            <w:pPr>
              <w:jc w:val="center"/>
              <w:ind w:right="110"/>
              <w:spacing w:after="0"/>
              <w:rPr>
                <w:sz w:val="20"/>
                <w:szCs w:val="20"/>
                <w:color w:val="auto"/>
              </w:rPr>
            </w:pPr>
            <w:r>
              <w:rPr>
                <w:rFonts w:ascii="Arial" w:cs="Arial" w:eastAsia="Arial" w:hAnsi="Arial"/>
                <w:sz w:val="18"/>
                <w:szCs w:val="18"/>
                <w:color w:val="auto"/>
                <w:w w:val="85"/>
              </w:rPr>
              <w:t>32.2</w:t>
            </w:r>
          </w:p>
        </w:tc>
        <w:tc>
          <w:tcPr>
            <w:tcW w:w="7460" w:type="dxa"/>
            <w:vAlign w:val="bottom"/>
          </w:tcPr>
          <w:p>
            <w:pPr>
              <w:ind w:left="20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172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80" w:right="859" w:hanging="272"/>
        <w:spacing w:after="0" w:line="277"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62" w:lineRule="exact"/>
        <w:rPr>
          <w:rFonts w:ascii="Arial" w:cs="Arial" w:eastAsia="Arial" w:hAnsi="Arial"/>
          <w:sz w:val="18"/>
          <w:szCs w:val="18"/>
          <w:color w:val="auto"/>
        </w:rPr>
      </w:pPr>
    </w:p>
    <w:p>
      <w:pPr>
        <w:ind w:left="280" w:right="819" w:hanging="272"/>
        <w:spacing w:after="0" w:line="277" w:lineRule="auto"/>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62"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3" w:name="page64"/>
    <w:bookmarkEnd w:id="6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Schedule 12-14 — Schedule of Investments in and Advances to Affiliates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521398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Investment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780" w:type="dxa"/>
            <w:vAlign w:val="bottom"/>
            <w:gridSpan w:val="2"/>
          </w:tcPr>
          <w:p>
            <w:pPr>
              <w:jc w:val="center"/>
              <w:ind w:left="14"/>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June 30,</w:t>
            </w:r>
          </w:p>
        </w:tc>
      </w:tr>
      <w:tr>
        <w:trPr>
          <w:trHeight w:val="153"/>
        </w:trPr>
        <w:tc>
          <w:tcPr>
            <w:tcW w:w="188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2015</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2"/>
              </w:rPr>
              <w:t>Purchases</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2016</w:t>
            </w:r>
          </w:p>
        </w:tc>
        <w:tc>
          <w:tcPr>
            <w:tcW w:w="60" w:type="dxa"/>
            <w:vAlign w:val="bottom"/>
            <w:tcBorders>
              <w:bottom w:val="single" w:sz="8" w:color="auto"/>
            </w:tcBorders>
          </w:tcPr>
          <w:p>
            <w:pPr>
              <w:spacing w:after="0"/>
              <w:rPr>
                <w:sz w:val="13"/>
                <w:szCs w:val="13"/>
                <w:color w:val="auto"/>
              </w:rPr>
            </w:pPr>
          </w:p>
        </w:tc>
      </w:tr>
      <w:tr>
        <w:trPr>
          <w:trHeight w:val="129"/>
        </w:trPr>
        <w:tc>
          <w:tcPr>
            <w:tcW w:w="18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Control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69"/>
        </w:trPr>
        <w:tc>
          <w:tcPr>
            <w:tcW w:w="1880" w:type="dxa"/>
            <w:vAlign w:val="bottom"/>
            <w:gridSpan w:val="11"/>
          </w:tcPr>
          <w:p>
            <w:pPr>
              <w:ind w:left="20"/>
              <w:spacing w:after="0" w:line="169"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9"/>
                <w:szCs w:val="19"/>
                <w:color w:val="auto"/>
                <w:vertAlign w:val="superscript"/>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4,599,718</w:t>
            </w:r>
          </w:p>
        </w:tc>
        <w:tc>
          <w:tcPr>
            <w:tcW w:w="24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left w:val="single" w:sz="8" w:color="CCEEFF"/>
            </w:tcBorders>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524,650</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5,124,368</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4,633,228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292,335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4,925,563</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518,000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32,683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550,683</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NestGSV, Inc. (d/b/a GSV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600" w:type="dxa"/>
            <w:vAlign w:val="bottom"/>
            <w:tcBorders>
              <w:top w:val="single" w:sz="8" w:color="auto"/>
            </w:tcBorders>
            <w:gridSpan w:val="7"/>
          </w:tcPr>
          <w:p>
            <w:pPr>
              <w:ind w:left="180"/>
              <w:spacing w:after="0" w:line="129" w:lineRule="exact"/>
              <w:rPr>
                <w:sz w:val="20"/>
                <w:szCs w:val="20"/>
                <w:color w:val="auto"/>
              </w:rPr>
            </w:pPr>
            <w:r>
              <w:rPr>
                <w:rFonts w:ascii="Arial" w:cs="Arial" w:eastAsia="Arial" w:hAnsi="Arial"/>
                <w:sz w:val="14"/>
                <w:szCs w:val="14"/>
                <w:b w:val="1"/>
                <w:bCs w:val="1"/>
                <w:color w:val="auto"/>
              </w:rPr>
              <w:t>Labs, Inc.)</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3"/>
        </w:trPr>
        <w:tc>
          <w:tcPr>
            <w:tcW w:w="1880" w:type="dxa"/>
            <w:vAlign w:val="bottom"/>
            <w:gridSpan w:val="11"/>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10"/>
            <w:shd w:val="clear" w:color="auto" w:fill="CCEEFF"/>
          </w:tcPr>
          <w:p>
            <w:pPr>
              <w:ind w:left="180"/>
              <w:spacing w:after="0"/>
              <w:rPr>
                <w:sz w:val="20"/>
                <w:szCs w:val="20"/>
                <w:color w:val="auto"/>
              </w:rPr>
            </w:pPr>
            <w:r>
              <w:rPr>
                <w:rFonts w:ascii="Arial" w:cs="Arial" w:eastAsia="Arial" w:hAnsi="Arial"/>
                <w:sz w:val="14"/>
                <w:szCs w:val="14"/>
                <w:color w:val="auto"/>
              </w:rPr>
              <w:t>8% Due 07/31/2017***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501,160</w:t>
            </w:r>
          </w:p>
        </w:tc>
        <w:tc>
          <w:tcPr>
            <w:tcW w:w="1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500,000</w:t>
            </w:r>
          </w:p>
        </w:tc>
      </w:tr>
      <w:tr>
        <w:trPr>
          <w:trHeight w:val="130"/>
        </w:trPr>
        <w:tc>
          <w:tcPr>
            <w:tcW w:w="18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Unsecured Promissory Note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860" w:type="dxa"/>
            <w:vAlign w:val="bottom"/>
            <w:gridSpan w:val="10"/>
          </w:tcPr>
          <w:p>
            <w:pPr>
              <w:ind w:left="180"/>
              <w:spacing w:after="0"/>
              <w:rPr>
                <w:sz w:val="20"/>
                <w:szCs w:val="20"/>
                <w:color w:val="auto"/>
              </w:rPr>
            </w:pPr>
            <w:r>
              <w:rPr>
                <w:rFonts w:ascii="Arial" w:cs="Arial" w:eastAsia="Arial" w:hAnsi="Arial"/>
                <w:sz w:val="14"/>
                <w:szCs w:val="14"/>
                <w:color w:val="auto"/>
              </w:rPr>
              <w:t>10% Due 11/23/2016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5,417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500,000</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4,960,565</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(254,229)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4,706,336</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1,733,404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(83,023)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1,650,381</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284,626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284,626</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476,377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476,377</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11"/>
          </w:tcPr>
          <w:p>
            <w:pPr>
              <w:ind w:left="20"/>
              <w:spacing w:after="0" w:line="130" w:lineRule="exact"/>
              <w:rPr>
                <w:sz w:val="20"/>
                <w:szCs w:val="20"/>
                <w:color w:val="auto"/>
              </w:rPr>
            </w:pPr>
            <w:r>
              <w:rPr>
                <w:rFonts w:ascii="Arial" w:cs="Arial" w:eastAsia="Arial" w:hAnsi="Arial"/>
                <w:sz w:val="14"/>
                <w:szCs w:val="14"/>
                <w:color w:val="auto"/>
                <w:w w:val="97"/>
              </w:rPr>
              <w:t>Preferred warrants, Series C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rPr>
              <w:t>4/4/2019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31,875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9,375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41,250</w:t>
            </w:r>
          </w:p>
        </w:tc>
      </w:tr>
      <w:tr>
        <w:trPr>
          <w:trHeight w:val="130"/>
        </w:trPr>
        <w:tc>
          <w:tcPr>
            <w:tcW w:w="18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w w:val="99"/>
              </w:rPr>
              <w:t>Preferred warrants Series D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gridSpan w:val="9"/>
            <w:shd w:val="clear" w:color="auto" w:fill="CCEEFF"/>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10/6/2019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180,000</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w w:val="99"/>
              </w:rPr>
              <w:t>GSV Sustainability Partners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6,250,000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(1,523,289)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4,726,711</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8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Total Control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20,417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22,871,790</w:t>
            </w:r>
          </w:p>
        </w:tc>
        <w:tc>
          <w:tcPr>
            <w:tcW w:w="240" w:type="dxa"/>
            <w:vAlign w:val="bottom"/>
            <w:tcBorders>
              <w:left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20"/>
              <w:spacing w:after="0" w:line="12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u w:val="single" w:color="auto"/>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1,001,160</w:t>
            </w:r>
          </w:p>
        </w:tc>
        <w:tc>
          <w:tcPr>
            <w:tcW w:w="300" w:type="dxa"/>
            <w:vAlign w:val="bottom"/>
            <w:tcBorders>
              <w:left w:val="single" w:sz="8" w:color="CCEEFF"/>
            </w:tcBorders>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80"/>
              <w:spacing w:after="0" w:line="12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rPr>
              <w:t>(206,655)</w:t>
            </w: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23,666,295</w:t>
            </w:r>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Affiliate Investments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8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133,978</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(133,978)</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191,993</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(191,993)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$1.00 strike price, expire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rPr>
              <w:t>1/9/2017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188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3,000,000</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1,500,000</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w w:val="98"/>
              </w:rPr>
              <w:t>Circle Media (f/k/a S3 Digital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800" w:type="dxa"/>
            <w:vAlign w:val="bottom"/>
            <w:tcBorders>
              <w:top w:val="single" w:sz="8" w:color="auto"/>
            </w:tcBorders>
            <w:gridSpan w:val="9"/>
          </w:tcPr>
          <w:p>
            <w:pPr>
              <w:ind w:left="180"/>
              <w:spacing w:after="0" w:line="129" w:lineRule="exact"/>
              <w:rPr>
                <w:sz w:val="20"/>
                <w:szCs w:val="20"/>
                <w:color w:val="auto"/>
              </w:rPr>
            </w:pPr>
            <w:r>
              <w:rPr>
                <w:rFonts w:ascii="Arial" w:cs="Arial" w:eastAsia="Arial" w:hAnsi="Arial"/>
                <w:sz w:val="14"/>
                <w:szCs w:val="14"/>
                <w:b w:val="1"/>
                <w:bCs w:val="1"/>
                <w:color w:val="auto"/>
              </w:rPr>
              <w:t>Corp. (d/b/a S3i))</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3"/>
        </w:trPr>
        <w:tc>
          <w:tcPr>
            <w:tcW w:w="1880" w:type="dxa"/>
            <w:vAlign w:val="bottom"/>
            <w:gridSpan w:val="11"/>
            <w:shd w:val="clear" w:color="auto" w:fill="CCEEFF"/>
          </w:tcPr>
          <w:p>
            <w:pPr>
              <w:ind w:left="20"/>
              <w:spacing w:after="0" w:line="123" w:lineRule="exact"/>
              <w:rPr>
                <w:sz w:val="20"/>
                <w:szCs w:val="20"/>
                <w:color w:val="auto"/>
              </w:rPr>
            </w:pPr>
            <w:r>
              <w:rPr>
                <w:rFonts w:ascii="Arial" w:cs="Arial" w:eastAsia="Arial" w:hAnsi="Arial"/>
                <w:sz w:val="14"/>
                <w:szCs w:val="14"/>
                <w:color w:val="auto"/>
              </w:rPr>
              <w:t>Promissory Note, 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67"/>
        </w:trPr>
        <w:tc>
          <w:tcPr>
            <w:tcW w:w="1100" w:type="dxa"/>
            <w:vAlign w:val="bottom"/>
            <w:gridSpan w:val="5"/>
            <w:shd w:val="clear" w:color="auto" w:fill="CCEEFF"/>
          </w:tcPr>
          <w:p>
            <w:pPr>
              <w:ind w:left="200"/>
              <w:spacing w:after="0"/>
              <w:rPr>
                <w:sz w:val="20"/>
                <w:szCs w:val="20"/>
                <w:color w:val="auto"/>
              </w:rPr>
            </w:pPr>
            <w:r>
              <w:rPr>
                <w:rFonts w:ascii="Arial" w:cs="Arial" w:eastAsia="Arial" w:hAnsi="Arial"/>
                <w:sz w:val="14"/>
                <w:szCs w:val="14"/>
                <w:color w:val="auto"/>
              </w:rPr>
              <w:t>11/17/2016***</w:t>
            </w: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1,496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26,544</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1,156,175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(89,882)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1,066,293</w:t>
            </w:r>
          </w:p>
        </w:tc>
      </w:tr>
      <w:tr>
        <w:trPr>
          <w:trHeight w:val="130"/>
        </w:trPr>
        <w:tc>
          <w:tcPr>
            <w:tcW w:w="18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w w:val="91"/>
              </w:rPr>
              <w:t>11/18/2022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161</w:t>
            </w:r>
          </w:p>
        </w:tc>
      </w:tr>
      <w:tr>
        <w:trPr>
          <w:trHeight w:val="130"/>
        </w:trPr>
        <w:tc>
          <w:tcPr>
            <w:tcW w:w="1880" w:type="dxa"/>
            <w:vAlign w:val="bottom"/>
            <w:gridSpan w:val="11"/>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rPr>
              <w:t>8/29/2021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(8,791)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5,274</w:t>
            </w:r>
          </w:p>
        </w:tc>
      </w:tr>
      <w:tr>
        <w:trPr>
          <w:trHeight w:val="130"/>
        </w:trPr>
        <w:tc>
          <w:tcPr>
            <w:tcW w:w="18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6/26/2021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-2297430</wp:posOffset>
            </wp:positionV>
            <wp:extent cx="5213985" cy="1028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213985" cy="10287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4" w:name="page65"/>
    <w:bookmarkEnd w:id="6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right"/>
        <w:ind w:right="1539"/>
        <w:spacing w:after="0"/>
        <w:rPr>
          <w:sz w:val="20"/>
          <w:szCs w:val="20"/>
          <w:color w:val="auto"/>
        </w:rPr>
      </w:pPr>
      <w:r>
        <w:rPr>
          <w:rFonts w:ascii="Arial" w:cs="Arial" w:eastAsia="Arial" w:hAnsi="Arial"/>
          <w:sz w:val="18"/>
          <w:szCs w:val="18"/>
          <w:b w:val="1"/>
          <w:bCs w:val="1"/>
          <w:color w:val="auto"/>
        </w:rPr>
        <w:t>Schedule 12-14 — Schedule of Investments in and Advances to Affiliates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9"/>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Investment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Non-Control/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6"/>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Non-Affiliate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June 30,</w:t>
            </w:r>
          </w:p>
        </w:tc>
      </w:tr>
      <w:tr>
        <w:trPr>
          <w:trHeight w:val="153"/>
        </w:trPr>
        <w:tc>
          <w:tcPr>
            <w:tcW w:w="1880" w:type="dxa"/>
            <w:vAlign w:val="bottom"/>
            <w:gridSpan w:val="6"/>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48"/>
              <w:spacing w:after="0"/>
              <w:rPr>
                <w:sz w:val="20"/>
                <w:szCs w:val="20"/>
                <w:color w:val="auto"/>
              </w:rPr>
            </w:pPr>
            <w:r>
              <w:rPr>
                <w:rFonts w:ascii="Arial" w:cs="Arial" w:eastAsia="Arial" w:hAnsi="Arial"/>
                <w:sz w:val="13"/>
                <w:szCs w:val="13"/>
                <w:b w:val="1"/>
                <w:bCs w:val="1"/>
                <w:color w:val="auto"/>
                <w:w w:val="89"/>
              </w:rPr>
              <w:t>2015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9"/>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Purchases</w:t>
            </w:r>
          </w:p>
        </w:tc>
        <w:tc>
          <w:tcPr>
            <w:tcW w:w="600" w:type="dxa"/>
            <w:vAlign w:val="bottom"/>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2016</w:t>
            </w:r>
          </w:p>
        </w:tc>
      </w:tr>
      <w:tr>
        <w:trPr>
          <w:trHeight w:val="123"/>
        </w:trPr>
        <w:tc>
          <w:tcPr>
            <w:tcW w:w="1880" w:type="dxa"/>
            <w:vAlign w:val="bottom"/>
            <w:tcBorders>
              <w:top w:val="single" w:sz="8" w:color="auto"/>
            </w:tcBorders>
            <w:gridSpan w:val="6"/>
            <w:shd w:val="clear" w:color="auto" w:fill="CCEEFF"/>
          </w:tcPr>
          <w:p>
            <w:pPr>
              <w:ind w:left="20"/>
              <w:spacing w:after="0" w:line="123"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89"/>
              </w:rPr>
              <w:t>9/30/2020</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4,824</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2"/>
              </w:rPr>
              <w:t>Preferred warrants, $1.00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2"/>
          </w:tcPr>
          <w:p>
            <w:pPr>
              <w:ind w:left="200"/>
              <w:spacing w:after="0"/>
              <w:rPr>
                <w:sz w:val="20"/>
                <w:szCs w:val="20"/>
                <w:color w:val="auto"/>
              </w:rPr>
            </w:pPr>
            <w:r>
              <w:rPr>
                <w:rFonts w:ascii="Arial" w:cs="Arial" w:eastAsia="Arial" w:hAnsi="Arial"/>
                <w:sz w:val="14"/>
                <w:szCs w:val="14"/>
                <w:color w:val="auto"/>
                <w:w w:val="79"/>
              </w:rPr>
              <w:t>11/21/2017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w:t>
            </w:r>
          </w:p>
        </w:tc>
      </w:tr>
      <w:tr>
        <w:trPr>
          <w:trHeight w:val="135"/>
        </w:trPr>
        <w:tc>
          <w:tcPr>
            <w:tcW w:w="18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CUX, Inc. (d/b/a CorpU)</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880" w:type="dxa"/>
            <w:vAlign w:val="bottom"/>
            <w:gridSpan w:val="6"/>
          </w:tcPr>
          <w:p>
            <w:pPr>
              <w:ind w:left="20"/>
              <w:spacing w:after="0" w:line="123" w:lineRule="exact"/>
              <w:rPr>
                <w:sz w:val="20"/>
                <w:szCs w:val="20"/>
                <w:color w:val="auto"/>
              </w:rPr>
            </w:pPr>
            <w:r>
              <w:rPr>
                <w:rFonts w:ascii="Arial" w:cs="Arial" w:eastAsia="Arial" w:hAnsi="Arial"/>
                <w:sz w:val="14"/>
                <w:szCs w:val="14"/>
                <w:color w:val="auto"/>
              </w:rPr>
              <w:t>Senior Subordinated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8"/>
        </w:trPr>
        <w:tc>
          <w:tcPr>
            <w:tcW w:w="20" w:type="dxa"/>
            <w:vAlign w:val="bottom"/>
          </w:tcPr>
          <w:p>
            <w:pPr>
              <w:spacing w:after="0"/>
              <w:rPr>
                <w:sz w:val="13"/>
                <w:szCs w:val="13"/>
                <w:color w:val="auto"/>
              </w:rPr>
            </w:pPr>
          </w:p>
        </w:tc>
        <w:tc>
          <w:tcPr>
            <w:tcW w:w="1860" w:type="dxa"/>
            <w:vAlign w:val="bottom"/>
            <w:gridSpan w:val="5"/>
          </w:tcPr>
          <w:p>
            <w:pPr>
              <w:ind w:left="180"/>
              <w:spacing w:after="0" w:line="159" w:lineRule="exact"/>
              <w:rPr>
                <w:sz w:val="20"/>
                <w:szCs w:val="20"/>
                <w:color w:val="auto"/>
              </w:rPr>
            </w:pPr>
            <w:r>
              <w:rPr>
                <w:rFonts w:ascii="Arial" w:cs="Arial" w:eastAsia="Arial" w:hAnsi="Arial"/>
                <w:sz w:val="14"/>
                <w:szCs w:val="14"/>
                <w:color w:val="auto"/>
                <w:w w:val="93"/>
              </w:rPr>
              <w:t>Convertible Promissory Note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98"/>
        </w:trPr>
        <w:tc>
          <w:tcPr>
            <w:tcW w:w="20" w:type="dxa"/>
            <w:vAlign w:val="bottom"/>
          </w:tcPr>
          <w:p>
            <w:pPr>
              <w:spacing w:after="0"/>
              <w:rPr>
                <w:sz w:val="17"/>
                <w:szCs w:val="17"/>
                <w:color w:val="auto"/>
              </w:rPr>
            </w:pPr>
          </w:p>
        </w:tc>
        <w:tc>
          <w:tcPr>
            <w:tcW w:w="1860" w:type="dxa"/>
            <w:vAlign w:val="bottom"/>
            <w:gridSpan w:val="5"/>
          </w:tcPr>
          <w:p>
            <w:pPr>
              <w:ind w:left="180"/>
              <w:spacing w:after="0" w:line="198" w:lineRule="exact"/>
              <w:rPr>
                <w:sz w:val="20"/>
                <w:szCs w:val="20"/>
                <w:color w:val="auto"/>
              </w:rPr>
            </w:pPr>
            <w:r>
              <w:rPr>
                <w:rFonts w:ascii="Arial" w:cs="Arial" w:eastAsia="Arial" w:hAnsi="Arial"/>
                <w:sz w:val="14"/>
                <w:szCs w:val="14"/>
                <w:color w:val="auto"/>
              </w:rPr>
              <w:t>8% Due 11/26/2018***</w:t>
            </w:r>
            <w:r>
              <w:rPr>
                <w:rFonts w:ascii="Arial" w:cs="Arial" w:eastAsia="Arial" w:hAnsi="Arial"/>
                <w:sz w:val="22"/>
                <w:szCs w:val="22"/>
                <w:color w:val="auto"/>
                <w:vertAlign w:val="superscript"/>
              </w:rPr>
              <w:t>(4)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43,082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1,080,000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1,080,000</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Series D</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775,861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775,861</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860" w:type="dxa"/>
            <w:vAlign w:val="bottom"/>
            <w:gridSpan w:val="5"/>
          </w:tcPr>
          <w:p>
            <w:pPr>
              <w:ind w:left="180"/>
              <w:spacing w:after="0"/>
              <w:rPr>
                <w:sz w:val="20"/>
                <w:szCs w:val="20"/>
                <w:color w:val="auto"/>
              </w:rPr>
            </w:pPr>
            <w:r>
              <w:rPr>
                <w:rFonts w:ascii="Arial" w:cs="Arial" w:eastAsia="Arial" w:hAnsi="Arial"/>
                <w:sz w:val="14"/>
                <w:szCs w:val="14"/>
                <w:color w:val="auto"/>
              </w:rPr>
              <w:t>Series 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1,959,127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(45,643)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1,913,484</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$4.59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89"/>
              </w:rPr>
              <w:t>2/25/2018</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2,874</w:t>
            </w:r>
          </w:p>
        </w:tc>
      </w:tr>
      <w:tr>
        <w:trPr>
          <w:trHeight w:val="135"/>
        </w:trPr>
        <w:tc>
          <w:tcPr>
            <w:tcW w:w="1880" w:type="dxa"/>
            <w:vAlign w:val="bottom"/>
            <w:gridSpan w:val="6"/>
          </w:tcPr>
          <w:p>
            <w:pPr>
              <w:ind w:left="20"/>
              <w:spacing w:after="0" w:line="135" w:lineRule="exact"/>
              <w:rPr>
                <w:sz w:val="20"/>
                <w:szCs w:val="20"/>
                <w:color w:val="auto"/>
              </w:rPr>
            </w:pPr>
            <w:r>
              <w:rPr>
                <w:rFonts w:ascii="Arial" w:cs="Arial" w:eastAsia="Arial" w:hAnsi="Arial"/>
                <w:sz w:val="14"/>
                <w:szCs w:val="14"/>
                <w:b w:val="1"/>
                <w:bCs w:val="1"/>
                <w:color w:val="auto"/>
              </w:rPr>
              <w:t>Curious.com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6"/>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9,996,311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2,000,003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(358,501)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11,637,813</w:t>
            </w:r>
          </w:p>
        </w:tc>
      </w:tr>
      <w:tr>
        <w:trPr>
          <w:trHeight w:val="135"/>
        </w:trPr>
        <w:tc>
          <w:tcPr>
            <w:tcW w:w="1880" w:type="dxa"/>
            <w:vAlign w:val="bottom"/>
            <w:gridSpan w:val="6"/>
          </w:tcPr>
          <w:p>
            <w:pPr>
              <w:ind w:left="20"/>
              <w:spacing w:after="0" w:line="135" w:lineRule="exact"/>
              <w:rPr>
                <w:sz w:val="20"/>
                <w:szCs w:val="20"/>
                <w:color w:val="auto"/>
              </w:rPr>
            </w:pPr>
            <w:r>
              <w:rPr>
                <w:rFonts w:ascii="Arial" w:cs="Arial" w:eastAsia="Arial" w:hAnsi="Arial"/>
                <w:sz w:val="14"/>
                <w:szCs w:val="14"/>
                <w:b w:val="1"/>
                <w:bCs w:val="1"/>
                <w:color w:val="auto"/>
              </w:rPr>
              <w:t>Declara,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3"/>
        </w:trPr>
        <w:tc>
          <w:tcPr>
            <w:tcW w:w="1880" w:type="dxa"/>
            <w:vAlign w:val="bottom"/>
            <w:gridSpan w:val="6"/>
            <w:shd w:val="clear" w:color="auto" w:fill="CCEEFF"/>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5"/>
            <w:shd w:val="clear" w:color="auto" w:fill="CCEEFF"/>
          </w:tcPr>
          <w:p>
            <w:pPr>
              <w:ind w:left="180"/>
              <w:spacing w:after="0"/>
              <w:rPr>
                <w:sz w:val="20"/>
                <w:szCs w:val="20"/>
                <w:color w:val="auto"/>
              </w:rPr>
            </w:pPr>
            <w:r>
              <w:rPr>
                <w:rFonts w:ascii="Arial" w:cs="Arial" w:eastAsia="Arial" w:hAnsi="Arial"/>
                <w:sz w:val="14"/>
                <w:szCs w:val="14"/>
                <w:color w:val="auto"/>
              </w:rPr>
              <w:t>6% Due 12/30/2016***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59,835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r>
      <w:tr>
        <w:trPr>
          <w:trHeight w:val="149"/>
        </w:trPr>
        <w:tc>
          <w:tcPr>
            <w:tcW w:w="18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9"/>
              </w:rPr>
              <w:t>9,999,999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9,999,999</w:t>
            </w:r>
          </w:p>
        </w:tc>
      </w:tr>
      <w:tr>
        <w:trPr>
          <w:trHeight w:val="135"/>
        </w:trPr>
        <w:tc>
          <w:tcPr>
            <w:tcW w:w="188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EdSurge,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6"/>
          </w:tcPr>
          <w:p>
            <w:pPr>
              <w:ind w:left="20"/>
              <w:spacing w:after="0" w:line="142" w:lineRule="exact"/>
              <w:rPr>
                <w:sz w:val="20"/>
                <w:szCs w:val="20"/>
                <w:color w:val="auto"/>
              </w:rPr>
            </w:pPr>
            <w:r>
              <w:rPr>
                <w:rFonts w:ascii="Arial" w:cs="Arial" w:eastAsia="Arial" w:hAnsi="Arial"/>
                <w:sz w:val="14"/>
                <w:szCs w:val="14"/>
                <w:color w:val="auto"/>
              </w:rPr>
              <w:t>Preferred shares, Series A-1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4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400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9"/>
              <w:spacing w:after="0" w:line="142" w:lineRule="exact"/>
              <w:rPr>
                <w:sz w:val="20"/>
                <w:szCs w:val="20"/>
                <w:color w:val="auto"/>
              </w:rPr>
            </w:pPr>
            <w:r>
              <w:rPr>
                <w:rFonts w:ascii="Arial" w:cs="Arial" w:eastAsia="Arial" w:hAnsi="Arial"/>
                <w:sz w:val="14"/>
                <w:szCs w:val="14"/>
                <w:color w:val="auto"/>
              </w:rPr>
              <w:t>30,487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530,887</w:t>
            </w:r>
          </w:p>
        </w:tc>
      </w:tr>
      <w:tr>
        <w:trPr>
          <w:trHeight w:val="149"/>
        </w:trPr>
        <w:tc>
          <w:tcPr>
            <w:tcW w:w="18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524,867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24,891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549,758</w:t>
            </w:r>
          </w:p>
        </w:tc>
      </w:tr>
      <w:tr>
        <w:trPr>
          <w:trHeight w:val="135"/>
        </w:trPr>
        <w:tc>
          <w:tcPr>
            <w:tcW w:w="1880" w:type="dxa"/>
            <w:vAlign w:val="bottom"/>
            <w:gridSpan w:val="6"/>
          </w:tcPr>
          <w:p>
            <w:pPr>
              <w:ind w:left="20"/>
              <w:spacing w:after="0" w:line="135" w:lineRule="exact"/>
              <w:rPr>
                <w:sz w:val="20"/>
                <w:szCs w:val="20"/>
                <w:color w:val="auto"/>
              </w:rPr>
            </w:pPr>
            <w:r>
              <w:rPr>
                <w:rFonts w:ascii="Arial" w:cs="Arial" w:eastAsia="Arial" w:hAnsi="Arial"/>
                <w:sz w:val="14"/>
                <w:szCs w:val="14"/>
                <w:b w:val="1"/>
                <w:bCs w:val="1"/>
                <w:color w:val="auto"/>
              </w:rPr>
              <w:t>Fullbridge,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33"/>
        </w:trPr>
        <w:tc>
          <w:tcPr>
            <w:tcW w:w="1880" w:type="dxa"/>
            <w:vAlign w:val="bottom"/>
            <w:gridSpan w:val="6"/>
            <w:shd w:val="clear" w:color="auto" w:fill="CCEEFF"/>
          </w:tcPr>
          <w:p>
            <w:pPr>
              <w:ind w:left="20"/>
              <w:spacing w:after="0" w:line="133" w:lineRule="exact"/>
              <w:rPr>
                <w:sz w:val="20"/>
                <w:szCs w:val="20"/>
                <w:color w:val="auto"/>
              </w:rPr>
            </w:pPr>
            <w:r>
              <w:rPr>
                <w:rFonts w:ascii="Arial" w:cs="Arial" w:eastAsia="Arial" w:hAnsi="Arial"/>
                <w:sz w:val="14"/>
                <w:szCs w:val="14"/>
                <w:color w:val="auto"/>
              </w:rPr>
              <w:t>Convertible Promissory Note,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98"/>
        </w:trPr>
        <w:tc>
          <w:tcPr>
            <w:tcW w:w="20" w:type="dxa"/>
            <w:vAlign w:val="bottom"/>
            <w:shd w:val="clear" w:color="auto" w:fill="CCEEFF"/>
          </w:tcPr>
          <w:p>
            <w:pPr>
              <w:spacing w:after="0"/>
              <w:rPr>
                <w:sz w:val="17"/>
                <w:szCs w:val="17"/>
                <w:color w:val="auto"/>
              </w:rPr>
            </w:pPr>
          </w:p>
        </w:tc>
        <w:tc>
          <w:tcPr>
            <w:tcW w:w="1860" w:type="dxa"/>
            <w:vAlign w:val="bottom"/>
            <w:gridSpan w:val="5"/>
            <w:shd w:val="clear" w:color="auto" w:fill="CCEEFF"/>
          </w:tcPr>
          <w:p>
            <w:pPr>
              <w:ind w:left="180"/>
              <w:spacing w:after="0" w:line="198" w:lineRule="exact"/>
              <w:rPr>
                <w:sz w:val="20"/>
                <w:szCs w:val="20"/>
                <w:color w:val="auto"/>
              </w:rPr>
            </w:pPr>
            <w:r>
              <w:rPr>
                <w:rFonts w:ascii="Arial" w:cs="Arial" w:eastAsia="Arial" w:hAnsi="Arial"/>
                <w:sz w:val="14"/>
                <w:szCs w:val="14"/>
                <w:color w:val="auto"/>
              </w:rPr>
              <w:t>10% Due 3/2/2016</w:t>
            </w:r>
            <w:r>
              <w:rPr>
                <w:rFonts w:ascii="Arial" w:cs="Arial" w:eastAsia="Arial" w:hAnsi="Arial"/>
                <w:sz w:val="22"/>
                <w:szCs w:val="22"/>
                <w:color w:val="auto"/>
                <w:vertAlign w:val="superscript"/>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(85,829)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1,020,859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(804,397)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216,862</w:t>
            </w:r>
          </w:p>
        </w:tc>
      </w:tr>
      <w:tr>
        <w:trPr>
          <w:trHeight w:val="140"/>
        </w:trPr>
        <w:tc>
          <w:tcPr>
            <w:tcW w:w="1880" w:type="dxa"/>
            <w:vAlign w:val="bottom"/>
            <w:gridSpan w:val="6"/>
          </w:tcPr>
          <w:p>
            <w:pPr>
              <w:ind w:left="20"/>
              <w:spacing w:after="0" w:line="140" w:lineRule="exact"/>
              <w:rPr>
                <w:sz w:val="20"/>
                <w:szCs w:val="20"/>
                <w:color w:val="auto"/>
              </w:rPr>
            </w:pPr>
            <w:r>
              <w:rPr>
                <w:rFonts w:ascii="Arial" w:cs="Arial" w:eastAsia="Arial" w:hAnsi="Arial"/>
                <w:sz w:val="14"/>
                <w:szCs w:val="14"/>
                <w:color w:val="auto"/>
              </w:rPr>
              <w:t>Convertible Promissory Note,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98"/>
        </w:trPr>
        <w:tc>
          <w:tcPr>
            <w:tcW w:w="20" w:type="dxa"/>
            <w:vAlign w:val="bottom"/>
          </w:tcPr>
          <w:p>
            <w:pPr>
              <w:spacing w:after="0"/>
              <w:rPr>
                <w:sz w:val="17"/>
                <w:szCs w:val="17"/>
                <w:color w:val="auto"/>
              </w:rPr>
            </w:pPr>
          </w:p>
        </w:tc>
        <w:tc>
          <w:tcPr>
            <w:tcW w:w="1860" w:type="dxa"/>
            <w:vAlign w:val="bottom"/>
            <w:gridSpan w:val="5"/>
          </w:tcPr>
          <w:p>
            <w:pPr>
              <w:ind w:left="180"/>
              <w:spacing w:after="0" w:line="198" w:lineRule="exact"/>
              <w:rPr>
                <w:sz w:val="20"/>
                <w:szCs w:val="20"/>
                <w:color w:val="auto"/>
              </w:rPr>
            </w:pPr>
            <w:r>
              <w:rPr>
                <w:rFonts w:ascii="Arial" w:cs="Arial" w:eastAsia="Arial" w:hAnsi="Arial"/>
                <w:sz w:val="14"/>
                <w:szCs w:val="14"/>
                <w:color w:val="auto"/>
              </w:rPr>
              <w:t>10% Due 3/14/2017</w:t>
            </w:r>
            <w:r>
              <w:rPr>
                <w:rFonts w:ascii="Arial" w:cs="Arial" w:eastAsia="Arial" w:hAnsi="Arial"/>
                <w:sz w:val="22"/>
                <w:szCs w:val="22"/>
                <w:color w:val="auto"/>
                <w:vertAlign w:val="superscript"/>
              </w:rPr>
              <w:t>(3)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1,000,000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(94,014)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905,986</w:t>
            </w:r>
          </w:p>
        </w:tc>
      </w:tr>
      <w:tr>
        <w:trPr>
          <w:trHeight w:val="149"/>
        </w:trPr>
        <w:tc>
          <w:tcPr>
            <w:tcW w:w="1880" w:type="dxa"/>
            <w:vAlign w:val="bottom"/>
            <w:gridSpan w:val="6"/>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3,111,714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(3,112,754)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6"/>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9"/>
              </w:rPr>
              <w:t>1,625,001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(1,625,001)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3/2/2020</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2"/>
          </w:tcPr>
          <w:p>
            <w:pPr>
              <w:ind w:left="200"/>
              <w:spacing w:after="0"/>
              <w:rPr>
                <w:sz w:val="20"/>
                <w:szCs w:val="20"/>
                <w:color w:val="auto"/>
              </w:rPr>
            </w:pPr>
            <w:r>
              <w:rPr>
                <w:rFonts w:ascii="Arial" w:cs="Arial" w:eastAsia="Arial" w:hAnsi="Arial"/>
                <w:sz w:val="14"/>
                <w:szCs w:val="14"/>
                <w:color w:val="auto"/>
                <w:w w:val="89"/>
              </w:rPr>
              <w:t>3/22/2020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89"/>
              </w:rPr>
              <w:t>5/16/2019</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2"/>
          </w:tcPr>
          <w:p>
            <w:pPr>
              <w:ind w:left="200"/>
              <w:spacing w:after="0"/>
              <w:rPr>
                <w:sz w:val="20"/>
                <w:szCs w:val="20"/>
                <w:color w:val="auto"/>
              </w:rPr>
            </w:pPr>
            <w:r>
              <w:rPr>
                <w:rFonts w:ascii="Arial" w:cs="Arial" w:eastAsia="Arial" w:hAnsi="Arial"/>
                <w:sz w:val="14"/>
                <w:szCs w:val="14"/>
                <w:color w:val="auto"/>
              </w:rPr>
              <w:t>4/3/2019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79"/>
              </w:rPr>
              <w:t>10/10/2018</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5"/>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00" w:type="dxa"/>
            <w:vAlign w:val="bottom"/>
            <w:gridSpan w:val="2"/>
          </w:tcPr>
          <w:p>
            <w:pPr>
              <w:ind w:left="200"/>
              <w:spacing w:after="0"/>
              <w:rPr>
                <w:sz w:val="20"/>
                <w:szCs w:val="20"/>
                <w:color w:val="auto"/>
              </w:rPr>
            </w:pPr>
            <w:r>
              <w:rPr>
                <w:rFonts w:ascii="Arial" w:cs="Arial" w:eastAsia="Arial" w:hAnsi="Arial"/>
                <w:sz w:val="14"/>
                <w:szCs w:val="14"/>
                <w:color w:val="auto"/>
                <w:w w:val="79"/>
              </w:rPr>
              <w:t>12/11/2018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6"/>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89"/>
              </w:rPr>
              <w:t>2/18/2019</w:t>
            </w:r>
          </w:p>
        </w:tc>
        <w:tc>
          <w:tcPr>
            <w:tcW w:w="1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5" w:name="page66"/>
    <w:bookmarkEnd w:id="6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Schedule 12-14 — Schedule of Investments in and Advances to Affiliates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52139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Investment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10"/>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Non-Affiliate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June 30,</w:t>
            </w:r>
          </w:p>
        </w:tc>
      </w:tr>
      <w:tr>
        <w:trPr>
          <w:trHeight w:val="153"/>
        </w:trPr>
        <w:tc>
          <w:tcPr>
            <w:tcW w:w="1880" w:type="dxa"/>
            <w:vAlign w:val="bottom"/>
            <w:tcBorders>
              <w:bottom w:val="single" w:sz="8" w:color="auto"/>
            </w:tcBorders>
            <w:gridSpan w:val="10"/>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9"/>
              </w:rPr>
              <w:t>2015</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Purchases</w:t>
            </w: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2016</w:t>
            </w:r>
          </w:p>
        </w:tc>
      </w:tr>
      <w:tr>
        <w:trPr>
          <w:trHeight w:val="129"/>
        </w:trPr>
        <w:tc>
          <w:tcPr>
            <w:tcW w:w="1880" w:type="dxa"/>
            <w:vAlign w:val="bottom"/>
            <w:gridSpan w:val="10"/>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Global Education Learning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gridSpan w:val="8"/>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(Holdings) Ltd.**</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120</w:t>
            </w:r>
          </w:p>
        </w:tc>
        <w:tc>
          <w:tcPr>
            <w:tcW w:w="2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(120)</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10"/>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Maven Research,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0"/>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1,999,998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1,999,998</w:t>
            </w:r>
          </w:p>
        </w:tc>
      </w:tr>
      <w:tr>
        <w:trPr>
          <w:trHeight w:val="149"/>
        </w:trPr>
        <w:tc>
          <w:tcPr>
            <w:tcW w:w="18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249,691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249,691</w:t>
            </w:r>
          </w:p>
        </w:tc>
      </w:tr>
      <w:tr>
        <w:trPr>
          <w:trHeight w:val="135"/>
        </w:trPr>
        <w:tc>
          <w:tcPr>
            <w:tcW w:w="188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Orchestra One, Inc. (f/k/a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580" w:type="dxa"/>
            <w:vAlign w:val="bottom"/>
            <w:tcBorders>
              <w:top w:val="single" w:sz="8" w:color="auto"/>
            </w:tcBorders>
            <w:gridSpan w:val="6"/>
          </w:tcPr>
          <w:p>
            <w:pPr>
              <w:ind w:left="180"/>
              <w:spacing w:after="0" w:line="169" w:lineRule="exact"/>
              <w:rPr>
                <w:sz w:val="20"/>
                <w:szCs w:val="20"/>
                <w:color w:val="auto"/>
              </w:rPr>
            </w:pPr>
            <w:r>
              <w:rPr>
                <w:rFonts w:ascii="Arial" w:cs="Arial" w:eastAsia="Arial" w:hAnsi="Arial"/>
                <w:sz w:val="12"/>
                <w:szCs w:val="12"/>
                <w:b w:val="1"/>
                <w:bCs w:val="1"/>
                <w:color w:val="auto"/>
              </w:rPr>
              <w:t xml:space="preserve">Learnist Inc.) </w:t>
            </w:r>
            <w:r>
              <w:rPr>
                <w:rFonts w:ascii="Arial" w:cs="Arial" w:eastAsia="Arial" w:hAnsi="Arial"/>
                <w:sz w:val="19"/>
                <w:szCs w:val="19"/>
                <w:b w:val="1"/>
                <w:bCs w:val="1"/>
                <w:color w:val="auto"/>
                <w:vertAlign w:val="superscript"/>
              </w:rPr>
              <w:t>(5)</w:t>
            </w:r>
          </w:p>
        </w:tc>
        <w:tc>
          <w:tcPr>
            <w:tcW w:w="2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(4,364)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Ozy Media,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4,690,178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(43,037)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4,647,141</w:t>
            </w:r>
          </w:p>
        </w:tc>
      </w:tr>
      <w:tr>
        <w:trPr>
          <w:trHeight w:val="149"/>
        </w:trPr>
        <w:tc>
          <w:tcPr>
            <w:tcW w:w="1880" w:type="dxa"/>
            <w:vAlign w:val="bottom"/>
            <w:gridSpan w:val="10"/>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3,907,004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(35,850)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3,871,154</w:t>
            </w:r>
          </w:p>
        </w:tc>
      </w:tr>
      <w:tr>
        <w:trPr>
          <w:trHeight w:val="149"/>
        </w:trPr>
        <w:tc>
          <w:tcPr>
            <w:tcW w:w="1880" w:type="dxa"/>
            <w:vAlign w:val="bottom"/>
            <w:gridSpan w:val="10"/>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Preferred shares, Series Seed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1,531,812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1,517,757</w:t>
            </w:r>
          </w:p>
        </w:tc>
      </w:tr>
      <w:tr>
        <w:trPr>
          <w:trHeight w:val="135"/>
        </w:trPr>
        <w:tc>
          <w:tcPr>
            <w:tcW w:w="188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PayNearMe,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13,974,887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13,974,887</w:t>
            </w:r>
          </w:p>
        </w:tc>
      </w:tr>
      <w:tr>
        <w:trPr>
          <w:trHeight w:val="135"/>
        </w:trPr>
        <w:tc>
          <w:tcPr>
            <w:tcW w:w="1880" w:type="dxa"/>
            <w:vAlign w:val="bottom"/>
            <w:gridSpan w:val="10"/>
          </w:tcPr>
          <w:p>
            <w:pPr>
              <w:ind w:left="20"/>
              <w:spacing w:after="0" w:line="135" w:lineRule="exact"/>
              <w:rPr>
                <w:sz w:val="20"/>
                <w:szCs w:val="20"/>
                <w:color w:val="auto"/>
              </w:rPr>
            </w:pPr>
            <w:r>
              <w:rPr>
                <w:rFonts w:ascii="Arial" w:cs="Arial" w:eastAsia="Arial" w:hAnsi="Arial"/>
                <w:sz w:val="14"/>
                <w:szCs w:val="14"/>
                <w:b w:val="1"/>
                <w:bCs w:val="1"/>
                <w:color w:val="auto"/>
              </w:rPr>
              <w:t>Strategic Data Command,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9"/>
        </w:trPr>
        <w:tc>
          <w:tcPr>
            <w:tcW w:w="20" w:type="dxa"/>
            <w:vAlign w:val="bottom"/>
          </w:tcPr>
          <w:p>
            <w:pPr>
              <w:spacing w:after="0"/>
              <w:rPr>
                <w:sz w:val="14"/>
                <w:szCs w:val="14"/>
                <w:color w:val="auto"/>
              </w:rPr>
            </w:pPr>
          </w:p>
        </w:tc>
        <w:tc>
          <w:tcPr>
            <w:tcW w:w="1600" w:type="dxa"/>
            <w:vAlign w:val="bottom"/>
            <w:tcBorders>
              <w:top w:val="single" w:sz="8" w:color="auto"/>
            </w:tcBorders>
            <w:gridSpan w:val="7"/>
          </w:tcPr>
          <w:p>
            <w:pPr>
              <w:ind w:left="180"/>
              <w:spacing w:after="0" w:line="169" w:lineRule="exact"/>
              <w:rPr>
                <w:sz w:val="20"/>
                <w:szCs w:val="20"/>
                <w:color w:val="auto"/>
              </w:rPr>
            </w:pPr>
            <w:r>
              <w:rPr>
                <w:rFonts w:ascii="Arial" w:cs="Arial" w:eastAsia="Arial" w:hAnsi="Arial"/>
                <w:sz w:val="12"/>
                <w:szCs w:val="12"/>
                <w:b w:val="1"/>
                <w:bCs w:val="1"/>
                <w:color w:val="auto"/>
              </w:rPr>
              <w:t>LLC</w:t>
            </w:r>
            <w:r>
              <w:rPr>
                <w:rFonts w:ascii="Arial" w:cs="Arial" w:eastAsia="Arial" w:hAnsi="Arial"/>
                <w:sz w:val="19"/>
                <w:szCs w:val="19"/>
                <w:b w:val="1"/>
                <w:bCs w:val="1"/>
                <w:color w:val="auto"/>
                <w:vertAlign w:val="superscript"/>
              </w:rPr>
              <w:t>(6)</w:t>
            </w:r>
          </w:p>
        </w:tc>
        <w:tc>
          <w:tcPr>
            <w:tcW w:w="2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10"/>
            <w:shd w:val="clear" w:color="auto" w:fill="CCEEFF"/>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1,001,650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205,750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1,207,400</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42"/>
        </w:trPr>
        <w:tc>
          <w:tcPr>
            <w:tcW w:w="1880" w:type="dxa"/>
            <w:vAlign w:val="bottom"/>
            <w:gridSpan w:val="10"/>
          </w:tcPr>
          <w:p>
            <w:pPr>
              <w:ind w:left="20"/>
              <w:spacing w:after="0" w:line="142" w:lineRule="exact"/>
              <w:rPr>
                <w:sz w:val="20"/>
                <w:szCs w:val="20"/>
                <w:color w:val="auto"/>
              </w:rPr>
            </w:pPr>
            <w:r>
              <w:rPr>
                <w:rFonts w:ascii="Arial" w:cs="Arial" w:eastAsia="Arial" w:hAnsi="Arial"/>
                <w:sz w:val="14"/>
                <w:szCs w:val="14"/>
                <w:b w:val="1"/>
                <w:bCs w:val="1"/>
                <w:color w:val="auto"/>
              </w:rPr>
              <w:t>Total Affiliate Investments</w:t>
            </w:r>
          </w:p>
        </w:tc>
        <w:tc>
          <w:tcPr>
            <w:tcW w:w="8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18,584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4"/>
              </w:rPr>
              <w:t>66,075,585</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(4,364)</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u w:val="single" w:color="auto"/>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89"/>
              </w:rPr>
              <w:t>3,002,403</w:t>
            </w:r>
          </w:p>
        </w:tc>
        <w:tc>
          <w:tcPr>
            <w:tcW w:w="2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(6,367,818)</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62,705,806</w:t>
            </w:r>
          </w:p>
        </w:tc>
      </w:tr>
      <w:tr>
        <w:trPr>
          <w:trHeight w:val="264"/>
        </w:trPr>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213985" cy="1117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jc w:val="both"/>
        <w:ind w:left="300" w:right="559" w:hanging="272"/>
        <w:spacing w:after="0" w:line="264"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73" w:lineRule="exact"/>
        <w:rPr>
          <w:rFonts w:ascii="Arial" w:cs="Arial" w:eastAsia="Arial" w:hAnsi="Arial"/>
          <w:sz w:val="18"/>
          <w:szCs w:val="18"/>
          <w:color w:val="auto"/>
        </w:rPr>
      </w:pPr>
    </w:p>
    <w:p>
      <w:pPr>
        <w:ind w:left="300" w:hanging="272"/>
        <w:spacing w:after="0"/>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Investments were on non-accrual status as of June 30, 2016.</w:t>
      </w:r>
    </w:p>
    <w:p>
      <w:pPr>
        <w:spacing w:after="0" w:line="117" w:lineRule="exact"/>
        <w:rPr>
          <w:rFonts w:ascii="Arial" w:cs="Arial" w:eastAsia="Arial" w:hAnsi="Arial"/>
          <w:sz w:val="18"/>
          <w:szCs w:val="18"/>
          <w:color w:val="auto"/>
        </w:rPr>
      </w:pPr>
    </w:p>
    <w:p>
      <w:pPr>
        <w:ind w:left="300" w:right="739" w:hanging="272"/>
        <w:spacing w:after="0" w:line="264"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(d/b/a CorpU), or (b) the maturity of the note (November 26, 2018). Interest began compounding annually on November 26, 2015.</w:t>
      </w:r>
    </w:p>
    <w:p>
      <w:pPr>
        <w:spacing w:after="0" w:line="73" w:lineRule="exact"/>
        <w:rPr>
          <w:rFonts w:ascii="Arial" w:cs="Arial" w:eastAsia="Arial" w:hAnsi="Arial"/>
          <w:sz w:val="18"/>
          <w:szCs w:val="18"/>
          <w:color w:val="auto"/>
        </w:rPr>
      </w:pPr>
    </w:p>
    <w:p>
      <w:pPr>
        <w:ind w:left="300" w:right="579" w:hanging="272"/>
        <w:spacing w:after="0" w:line="257"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GSV Capital Corp.’s ownership percentage in Orchestra One, Inc. (f/k/a Learnist Inc.) decreased to below 5% and, as such, Orchestra One, Inc. is no longer classified as an “Affiliate Investment” as of June 30, 2016. As such, the Company has reflected a “transfer out” of the “Affiliate Investment” category above as of June 30, 2016 to indicate that the investment in Orchestra One, Inc., while still held as of June 30, 2016, does not meet the criteria of an Affiliate Investment as defined in the Investment Company Act of 1940, as amended.</w:t>
      </w:r>
    </w:p>
    <w:p>
      <w:pPr>
        <w:spacing w:after="0" w:line="80" w:lineRule="exact"/>
        <w:rPr>
          <w:rFonts w:ascii="Arial" w:cs="Arial" w:eastAsia="Arial" w:hAnsi="Arial"/>
          <w:sz w:val="18"/>
          <w:szCs w:val="18"/>
          <w:color w:val="auto"/>
        </w:rPr>
      </w:pPr>
    </w:p>
    <w:p>
      <w:pPr>
        <w:ind w:left="300" w:right="759" w:hanging="272"/>
        <w:spacing w:after="0" w:line="277" w:lineRule="auto"/>
        <w:tabs>
          <w:tab w:leader="none" w:pos="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200" w:lineRule="exact"/>
        <w:rPr>
          <w:sz w:val="20"/>
          <w:szCs w:val="20"/>
          <w:color w:val="auto"/>
        </w:rPr>
      </w:pPr>
    </w:p>
    <w:p>
      <w:pPr>
        <w:spacing w:after="0" w:line="30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6" w:name="page67"/>
    <w:bookmarkEnd w:id="66"/>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right"/>
        <w:ind w:right="1539"/>
        <w:spacing w:after="0"/>
        <w:rPr>
          <w:sz w:val="20"/>
          <w:szCs w:val="20"/>
          <w:color w:val="auto"/>
        </w:rPr>
      </w:pPr>
      <w:r>
        <w:rPr>
          <w:rFonts w:ascii="Arial" w:cs="Arial" w:eastAsia="Arial" w:hAnsi="Arial"/>
          <w:sz w:val="18"/>
          <w:szCs w:val="18"/>
          <w:b w:val="1"/>
          <w:bCs w:val="1"/>
          <w:color w:val="auto"/>
        </w:rPr>
        <w:t>Schedule 12-14 — Schedule of Investments in and Advances to Affiliates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780" w:type="dxa"/>
            <w:vAlign w:val="bottom"/>
            <w:gridSpan w:val="2"/>
          </w:tcPr>
          <w:p>
            <w:pPr>
              <w:jc w:val="center"/>
              <w:ind w:left="17"/>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To 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880" w:type="dxa"/>
            <w:vAlign w:val="bottom"/>
            <w:tcBorders>
              <w:bottom w:val="single" w:sz="8" w:color="auto"/>
            </w:tcBorders>
            <w:gridSpan w:val="11"/>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2"/>
              </w:rPr>
              <w:t>Purchases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2015</w:t>
            </w:r>
          </w:p>
        </w:tc>
        <w:tc>
          <w:tcPr>
            <w:tcW w:w="60" w:type="dxa"/>
            <w:vAlign w:val="bottom"/>
            <w:tcBorders>
              <w:bottom w:val="single" w:sz="8" w:color="auto"/>
            </w:tcBorders>
          </w:tcPr>
          <w:p>
            <w:pPr>
              <w:spacing w:after="0"/>
              <w:rPr>
                <w:sz w:val="13"/>
                <w:szCs w:val="13"/>
                <w:color w:val="auto"/>
              </w:rPr>
            </w:pPr>
          </w:p>
        </w:tc>
      </w:tr>
      <w:tr>
        <w:trPr>
          <w:trHeight w:val="129"/>
        </w:trPr>
        <w:tc>
          <w:tcPr>
            <w:tcW w:w="18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Control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29"/>
        </w:trPr>
        <w:tc>
          <w:tcPr>
            <w:tcW w:w="1880" w:type="dxa"/>
            <w:vAlign w:val="bottom"/>
            <w:gridSpan w:val="11"/>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629,309</w:t>
            </w:r>
          </w:p>
        </w:tc>
        <w:tc>
          <w:tcPr>
            <w:tcW w:w="240" w:type="dxa"/>
            <w:vAlign w:val="bottom"/>
            <w:tcBorders>
              <w:left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(629,309)</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left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491,252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(491,252)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$1.00 strike price, expire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1/9/2017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1880" w:type="dxa"/>
            <w:vAlign w:val="bottom"/>
            <w:gridSpan w:val="11"/>
          </w:tcPr>
          <w:p>
            <w:pPr>
              <w:ind w:left="20"/>
              <w:spacing w:after="0" w:line="176" w:lineRule="exact"/>
              <w:rPr>
                <w:sz w:val="20"/>
                <w:szCs w:val="20"/>
                <w:color w:val="auto"/>
              </w:rPr>
            </w:pPr>
            <w:r>
              <w:rPr>
                <w:rFonts w:ascii="Arial" w:cs="Arial" w:eastAsia="Arial" w:hAnsi="Arial"/>
                <w:sz w:val="13"/>
                <w:szCs w:val="13"/>
                <w:b w:val="1"/>
                <w:bCs w:val="1"/>
                <w:color w:val="auto"/>
              </w:rPr>
              <w:t>StormWind, LLC</w:t>
            </w:r>
            <w:r>
              <w:rPr>
                <w:rFonts w:ascii="Arial" w:cs="Arial" w:eastAsia="Arial" w:hAnsi="Arial"/>
                <w:sz w:val="20"/>
                <w:szCs w:val="20"/>
                <w:b w:val="1"/>
                <w:bCs w:val="1"/>
                <w:color w:val="auto"/>
                <w:vertAlign w:val="superscript"/>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4,338,830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260,888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4,599,718</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4,347,608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285,620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4,633,228</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391,592</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126,408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518,000</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NestGSV, Inc. (d/b/a GSV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600" w:type="dxa"/>
            <w:vAlign w:val="bottom"/>
            <w:tcBorders>
              <w:top w:val="single" w:sz="8" w:color="auto"/>
            </w:tcBorders>
            <w:gridSpan w:val="7"/>
          </w:tcPr>
          <w:p>
            <w:pPr>
              <w:ind w:left="180"/>
              <w:spacing w:after="0" w:line="129" w:lineRule="exact"/>
              <w:rPr>
                <w:sz w:val="20"/>
                <w:szCs w:val="20"/>
                <w:color w:val="auto"/>
              </w:rPr>
            </w:pPr>
            <w:r>
              <w:rPr>
                <w:rFonts w:ascii="Arial" w:cs="Arial" w:eastAsia="Arial" w:hAnsi="Arial"/>
                <w:sz w:val="14"/>
                <w:szCs w:val="14"/>
                <w:b w:val="1"/>
                <w:bCs w:val="1"/>
                <w:color w:val="auto"/>
              </w:rPr>
              <w:t>Labs, Inc.)</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1,460,557</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3,499,999</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4,960,565</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1,503,832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229,572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1,733,404</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265,980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(265,980)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30"/>
        </w:trPr>
        <w:tc>
          <w:tcPr>
            <w:tcW w:w="1880" w:type="dxa"/>
            <w:vAlign w:val="bottom"/>
            <w:gridSpan w:val="11"/>
          </w:tcPr>
          <w:p>
            <w:pPr>
              <w:ind w:left="20"/>
              <w:spacing w:after="0" w:line="130" w:lineRule="exact"/>
              <w:rPr>
                <w:sz w:val="20"/>
                <w:szCs w:val="20"/>
                <w:color w:val="auto"/>
              </w:rPr>
            </w:pPr>
            <w:r>
              <w:rPr>
                <w:rFonts w:ascii="Arial" w:cs="Arial" w:eastAsia="Arial" w:hAnsi="Arial"/>
                <w:sz w:val="14"/>
                <w:szCs w:val="14"/>
                <w:color w:val="auto"/>
                <w:w w:val="99"/>
              </w:rPr>
              <w:t>Preferred warrants Series D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9"/>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rPr>
              <w:t>10/6/2019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80,000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145,000</w:t>
            </w:r>
          </w:p>
        </w:tc>
      </w:tr>
      <w:tr>
        <w:trPr>
          <w:trHeight w:val="130"/>
        </w:trPr>
        <w:tc>
          <w:tcPr>
            <w:tcW w:w="18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w w:val="97"/>
              </w:rPr>
              <w:t>Preferred warrants, Series C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80" w:type="dxa"/>
            <w:vAlign w:val="bottom"/>
            <w:gridSpan w:val="9"/>
            <w:shd w:val="clear" w:color="auto" w:fill="CCEEFF"/>
          </w:tcPr>
          <w:p>
            <w:pPr>
              <w:ind w:left="40"/>
              <w:spacing w:after="0" w:line="149" w:lineRule="exact"/>
              <w:rPr>
                <w:sz w:val="20"/>
                <w:szCs w:val="20"/>
                <w:color w:val="auto"/>
              </w:rPr>
            </w:pPr>
            <w:r>
              <w:rPr>
                <w:rFonts w:ascii="Arial" w:cs="Arial" w:eastAsia="Arial" w:hAnsi="Arial"/>
                <w:sz w:val="14"/>
                <w:szCs w:val="14"/>
                <w:color w:val="auto"/>
              </w:rPr>
              <w:t>$1.33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4/9/2019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24,375</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7,500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31,875</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w w:val="99"/>
              </w:rPr>
              <w:t>GSV Sustainability Partners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Class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4,850,000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2,300,156</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(900,156)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6,250,000</w:t>
            </w:r>
          </w:p>
        </w:tc>
      </w:tr>
      <w:tr>
        <w:trPr>
          <w:trHeight w:val="149"/>
        </w:trPr>
        <w:tc>
          <w:tcPr>
            <w:tcW w:w="1880" w:type="dxa"/>
            <w:vAlign w:val="bottom"/>
            <w:gridSpan w:val="11"/>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8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Total Control Investments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18,819,335</w:t>
            </w:r>
          </w:p>
        </w:tc>
        <w:tc>
          <w:tcPr>
            <w:tcW w:w="240" w:type="dxa"/>
            <w:vAlign w:val="bottom"/>
            <w:tcBorders>
              <w:left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4"/>
                <w:szCs w:val="14"/>
                <w:color w:val="auto"/>
                <w:w w:val="92"/>
              </w:rPr>
              <w:t>(1,120,561)</w:t>
            </w: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u w:val="single" w:color="auto"/>
                <w:color w:val="auto"/>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w w:val="89"/>
              </w:rPr>
              <w:t>5,800,155</w:t>
            </w:r>
          </w:p>
        </w:tc>
        <w:tc>
          <w:tcPr>
            <w:tcW w:w="240" w:type="dxa"/>
            <w:vAlign w:val="bottom"/>
            <w:tcBorders>
              <w:left w:val="single" w:sz="8" w:color="CCEEFF"/>
            </w:tcBorders>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29" w:lineRule="exact"/>
              <w:rPr>
                <w:sz w:val="20"/>
                <w:szCs w:val="20"/>
                <w:color w:val="auto"/>
              </w:rPr>
            </w:pPr>
            <w:r>
              <w:rPr>
                <w:rFonts w:ascii="Arial" w:cs="Arial" w:eastAsia="Arial" w:hAnsi="Arial"/>
                <w:sz w:val="14"/>
                <w:szCs w:val="14"/>
                <w:color w:val="auto"/>
              </w:rPr>
              <w:t>(627,139)</w:t>
            </w:r>
          </w:p>
        </w:tc>
        <w:tc>
          <w:tcPr>
            <w:tcW w:w="1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4"/>
                <w:szCs w:val="14"/>
                <w:color w:val="auto"/>
              </w:rPr>
              <w:t>22,871,790</w:t>
            </w:r>
          </w:p>
        </w:tc>
      </w:tr>
      <w:tr>
        <w:trPr>
          <w:trHeight w:val="27"/>
        </w:trPr>
        <w:tc>
          <w:tcPr>
            <w:tcW w:w="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rPr>
              <w:t>Affiliate Investments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880" w:type="dxa"/>
            <w:vAlign w:val="bottom"/>
            <w:gridSpan w:val="11"/>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AlwaysOn,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629,309</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(437,316)</w:t>
            </w:r>
          </w:p>
        </w:tc>
        <w:tc>
          <w:tcPr>
            <w:tcW w:w="1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191,993</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491,252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(357,594)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133,978</w:t>
            </w:r>
          </w:p>
        </w:tc>
      </w:tr>
      <w:tr>
        <w:trPr>
          <w:trHeight w:val="130"/>
        </w:trPr>
        <w:tc>
          <w:tcPr>
            <w:tcW w:w="18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Preferred warrants Series A,</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$1.00 strike price, expire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rPr>
              <w:t>1/9/2017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76"/>
        </w:trPr>
        <w:tc>
          <w:tcPr>
            <w:tcW w:w="1880" w:type="dxa"/>
            <w:vAlign w:val="bottom"/>
            <w:gridSpan w:val="11"/>
            <w:shd w:val="clear" w:color="auto" w:fill="CCEEFF"/>
          </w:tcPr>
          <w:p>
            <w:pPr>
              <w:ind w:left="20"/>
              <w:spacing w:after="0" w:line="176" w:lineRule="exact"/>
              <w:rPr>
                <w:sz w:val="20"/>
                <w:szCs w:val="20"/>
                <w:color w:val="auto"/>
              </w:rPr>
            </w:pPr>
            <w:r>
              <w:rPr>
                <w:rFonts w:ascii="Arial" w:cs="Arial" w:eastAsia="Arial" w:hAnsi="Arial"/>
                <w:sz w:val="13"/>
                <w:szCs w:val="13"/>
                <w:b w:val="1"/>
                <w:bCs w:val="1"/>
                <w:color w:val="auto"/>
              </w:rPr>
              <w:t>Whittle Schools, LLC</w:t>
            </w:r>
            <w:r>
              <w:rPr>
                <w:rFonts w:ascii="Arial" w:cs="Arial" w:eastAsia="Arial" w:hAnsi="Arial"/>
                <w:sz w:val="20"/>
                <w:szCs w:val="20"/>
                <w:b w:val="1"/>
                <w:bCs w:val="1"/>
                <w:color w:val="auto"/>
                <w:vertAlign w:val="superscript"/>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11"/>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3,000,000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3,000,000</w:t>
            </w:r>
          </w:p>
        </w:tc>
      </w:tr>
      <w:tr>
        <w:trPr>
          <w:trHeight w:val="149"/>
        </w:trPr>
        <w:tc>
          <w:tcPr>
            <w:tcW w:w="1880" w:type="dxa"/>
            <w:vAlign w:val="bottom"/>
            <w:gridSpan w:val="11"/>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1,500,000</w:t>
            </w:r>
          </w:p>
        </w:tc>
      </w:tr>
      <w:tr>
        <w:trPr>
          <w:trHeight w:val="135"/>
        </w:trPr>
        <w:tc>
          <w:tcPr>
            <w:tcW w:w="1880" w:type="dxa"/>
            <w:vAlign w:val="bottom"/>
            <w:gridSpan w:val="11"/>
          </w:tcPr>
          <w:p>
            <w:pPr>
              <w:ind w:left="20"/>
              <w:spacing w:after="0" w:line="135" w:lineRule="exact"/>
              <w:rPr>
                <w:sz w:val="20"/>
                <w:szCs w:val="20"/>
                <w:color w:val="auto"/>
              </w:rPr>
            </w:pPr>
            <w:r>
              <w:rPr>
                <w:rFonts w:ascii="Arial" w:cs="Arial" w:eastAsia="Arial" w:hAnsi="Arial"/>
                <w:sz w:val="14"/>
                <w:szCs w:val="14"/>
                <w:b w:val="1"/>
                <w:bCs w:val="1"/>
                <w:color w:val="auto"/>
                <w:w w:val="98"/>
              </w:rPr>
              <w:t>Circle Media (f/k/a S3 Digital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1800" w:type="dxa"/>
            <w:vAlign w:val="bottom"/>
            <w:tcBorders>
              <w:top w:val="single" w:sz="8" w:color="auto"/>
            </w:tcBorders>
            <w:gridSpan w:val="9"/>
          </w:tcPr>
          <w:p>
            <w:pPr>
              <w:ind w:left="180"/>
              <w:spacing w:after="0" w:line="129" w:lineRule="exact"/>
              <w:rPr>
                <w:sz w:val="20"/>
                <w:szCs w:val="20"/>
                <w:color w:val="auto"/>
              </w:rPr>
            </w:pPr>
            <w:r>
              <w:rPr>
                <w:rFonts w:ascii="Arial" w:cs="Arial" w:eastAsia="Arial" w:hAnsi="Arial"/>
                <w:sz w:val="14"/>
                <w:szCs w:val="14"/>
                <w:b w:val="1"/>
                <w:bCs w:val="1"/>
                <w:color w:val="auto"/>
              </w:rPr>
              <w:t>Corp. (d/b/a S3i))</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2"/>
        </w:trPr>
        <w:tc>
          <w:tcPr>
            <w:tcW w:w="1880" w:type="dxa"/>
            <w:vAlign w:val="bottom"/>
            <w:gridSpan w:val="11"/>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1,705,006</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293,558</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(842,389)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1,156,175</w:t>
            </w:r>
          </w:p>
        </w:tc>
      </w:tr>
      <w:tr>
        <w:trPr>
          <w:trHeight w:val="130"/>
        </w:trPr>
        <w:tc>
          <w:tcPr>
            <w:tcW w:w="1880" w:type="dxa"/>
            <w:vAlign w:val="bottom"/>
            <w:gridSpan w:val="11"/>
          </w:tcPr>
          <w:p>
            <w:pPr>
              <w:ind w:left="20"/>
              <w:spacing w:after="0" w:line="130" w:lineRule="exact"/>
              <w:rPr>
                <w:sz w:val="20"/>
                <w:szCs w:val="20"/>
                <w:color w:val="auto"/>
              </w:rPr>
            </w:pPr>
            <w:r>
              <w:rPr>
                <w:rFonts w:ascii="Arial" w:cs="Arial" w:eastAsia="Arial" w:hAnsi="Arial"/>
                <w:sz w:val="14"/>
                <w:szCs w:val="14"/>
                <w:color w:val="auto"/>
              </w:rPr>
              <w:t>Term Loan, 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1100" w:type="dxa"/>
            <w:vAlign w:val="bottom"/>
            <w:gridSpan w:val="5"/>
          </w:tcPr>
          <w:p>
            <w:pPr>
              <w:ind w:left="200"/>
              <w:spacing w:after="0"/>
              <w:rPr>
                <w:sz w:val="20"/>
                <w:szCs w:val="20"/>
                <w:color w:val="auto"/>
              </w:rPr>
            </w:pPr>
            <w:r>
              <w:rPr>
                <w:rFonts w:ascii="Arial" w:cs="Arial" w:eastAsia="Arial" w:hAnsi="Arial"/>
                <w:sz w:val="14"/>
                <w:szCs w:val="14"/>
                <w:color w:val="auto"/>
              </w:rPr>
              <w:t>09/30/2015***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(6,440)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288,114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(292,798)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4,684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140"/>
        </w:trPr>
        <w:tc>
          <w:tcPr>
            <w:tcW w:w="1880" w:type="dxa"/>
            <w:vAlign w:val="bottom"/>
            <w:gridSpan w:val="11"/>
            <w:shd w:val="clear" w:color="auto" w:fill="CCEEFF"/>
          </w:tcPr>
          <w:p>
            <w:pPr>
              <w:ind w:left="20"/>
              <w:spacing w:after="0" w:line="140" w:lineRule="exact"/>
              <w:rPr>
                <w:sz w:val="20"/>
                <w:szCs w:val="20"/>
                <w:color w:val="auto"/>
              </w:rPr>
            </w:pPr>
            <w:r>
              <w:rPr>
                <w:rFonts w:ascii="Arial" w:cs="Arial" w:eastAsia="Arial" w:hAnsi="Arial"/>
                <w:sz w:val="14"/>
                <w:szCs w:val="14"/>
                <w:color w:val="auto"/>
              </w:rPr>
              <w:t>Term Loan, 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98"/>
        </w:trPr>
        <w:tc>
          <w:tcPr>
            <w:tcW w:w="1260" w:type="dxa"/>
            <w:vAlign w:val="bottom"/>
            <w:gridSpan w:val="6"/>
            <w:shd w:val="clear" w:color="auto" w:fill="CCEEFF"/>
          </w:tcPr>
          <w:p>
            <w:pPr>
              <w:ind w:left="200"/>
              <w:spacing w:after="0" w:line="198" w:lineRule="exact"/>
              <w:rPr>
                <w:sz w:val="20"/>
                <w:szCs w:val="20"/>
                <w:color w:val="auto"/>
              </w:rPr>
            </w:pPr>
            <w:r>
              <w:rPr>
                <w:rFonts w:ascii="Arial" w:cs="Arial" w:eastAsia="Arial" w:hAnsi="Arial"/>
                <w:sz w:val="14"/>
                <w:szCs w:val="14"/>
                <w:color w:val="auto"/>
                <w:w w:val="97"/>
              </w:rPr>
              <w:t>11/18/2016***</w:t>
            </w:r>
            <w:r>
              <w:rPr>
                <w:rFonts w:ascii="Arial" w:cs="Arial" w:eastAsia="Arial" w:hAnsi="Arial"/>
                <w:sz w:val="22"/>
                <w:szCs w:val="22"/>
                <w:color w:val="auto"/>
                <w:w w:val="97"/>
                <w:vertAlign w:val="superscript"/>
              </w:rPr>
              <w:t>(7)</w:t>
            </w:r>
          </w:p>
        </w:tc>
        <w:tc>
          <w:tcPr>
            <w:tcW w:w="80" w:type="dxa"/>
            <w:vAlign w:val="bottom"/>
            <w:tcBorders>
              <w:left w:val="single" w:sz="8" w:color="CCEEFF"/>
            </w:tcBorders>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26,104</w:t>
            </w:r>
          </w:p>
        </w:tc>
        <w:tc>
          <w:tcPr>
            <w:tcW w:w="12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25,000</w:t>
            </w:r>
          </w:p>
        </w:tc>
      </w:tr>
      <w:tr>
        <w:trPr>
          <w:trHeight w:val="130"/>
        </w:trPr>
        <w:tc>
          <w:tcPr>
            <w:tcW w:w="1880" w:type="dxa"/>
            <w:vAlign w:val="bottom"/>
            <w:gridSpan w:val="11"/>
          </w:tcPr>
          <w:p>
            <w:pPr>
              <w:ind w:left="20"/>
              <w:spacing w:after="0" w:line="130" w:lineRule="exact"/>
              <w:rPr>
                <w:sz w:val="20"/>
                <w:szCs w:val="20"/>
                <w:color w:val="auto"/>
              </w:rPr>
            </w:pPr>
            <w:r>
              <w:rPr>
                <w:rFonts w:ascii="Arial" w:cs="Arial" w:eastAsia="Arial" w:hAnsi="Arial"/>
                <w:sz w:val="14"/>
                <w:szCs w:val="14"/>
                <w:color w:val="auto"/>
                <w:w w:val="92"/>
              </w:rPr>
              <w:t>Preferred warrants, $1.00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10"/>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860" w:type="dxa"/>
            <w:vAlign w:val="bottom"/>
            <w:gridSpan w:val="3"/>
          </w:tcPr>
          <w:p>
            <w:pPr>
              <w:ind w:left="200"/>
              <w:spacing w:after="0"/>
              <w:rPr>
                <w:sz w:val="20"/>
                <w:szCs w:val="20"/>
                <w:color w:val="auto"/>
              </w:rPr>
            </w:pPr>
            <w:r>
              <w:rPr>
                <w:rFonts w:ascii="Arial" w:cs="Arial" w:eastAsia="Arial" w:hAnsi="Arial"/>
                <w:sz w:val="14"/>
                <w:szCs w:val="14"/>
                <w:color w:val="auto"/>
                <w:w w:val="91"/>
              </w:rPr>
              <w:t>11/21/2017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165,000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(110,000)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55,000</w:t>
            </w:r>
          </w:p>
        </w:tc>
      </w:tr>
      <w:tr>
        <w:trPr>
          <w:trHeight w:val="130"/>
        </w:trPr>
        <w:tc>
          <w:tcPr>
            <w:tcW w:w="1880" w:type="dxa"/>
            <w:vAlign w:val="bottom"/>
            <w:gridSpan w:val="11"/>
            <w:shd w:val="clear" w:color="auto" w:fill="CCEEFF"/>
          </w:tcPr>
          <w:p>
            <w:pPr>
              <w:ind w:left="20"/>
              <w:spacing w:after="0" w:line="130"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10"/>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7"/>
        </w:trPr>
        <w:tc>
          <w:tcPr>
            <w:tcW w:w="86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8/29/2021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left w:val="single" w:sz="8" w:color="CCEEFF"/>
            </w:tcBorders>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58,019</w:t>
            </w:r>
          </w:p>
        </w:tc>
        <w:tc>
          <w:tcPr>
            <w:tcW w:w="14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(43,954)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-2228850</wp:posOffset>
            </wp:positionV>
            <wp:extent cx="5213985"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213985" cy="10287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7" w:name="page68"/>
    <w:bookmarkEnd w:id="67"/>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right"/>
        <w:ind w:right="1539"/>
        <w:spacing w:after="0"/>
        <w:rPr>
          <w:sz w:val="20"/>
          <w:szCs w:val="20"/>
          <w:color w:val="auto"/>
        </w:rPr>
      </w:pPr>
      <w:r>
        <w:rPr>
          <w:rFonts w:ascii="Arial" w:cs="Arial" w:eastAsia="Arial" w:hAnsi="Arial"/>
          <w:sz w:val="18"/>
          <w:szCs w:val="18"/>
          <w:b w:val="1"/>
          <w:bCs w:val="1"/>
          <w:color w:val="auto"/>
        </w:rPr>
        <w:t>Schedule 12-14 — Schedule of Investments in and Advances to Affiliates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26035</wp:posOffset>
            </wp:positionV>
            <wp:extent cx="52139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9"/>
              <w:spacing w:after="0"/>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9"/>
              <w:spacing w:after="0" w:line="135" w:lineRule="exact"/>
              <w:rPr>
                <w:sz w:val="20"/>
                <w:szCs w:val="20"/>
                <w:color w:val="auto"/>
              </w:rPr>
            </w:pPr>
            <w:r>
              <w:rPr>
                <w:rFonts w:ascii="Arial" w:cs="Arial" w:eastAsia="Arial" w:hAnsi="Arial"/>
                <w:sz w:val="13"/>
                <w:szCs w:val="13"/>
                <w:b w:val="1"/>
                <w:bCs w:val="1"/>
                <w:color w:val="auto"/>
                <w:w w:val="92"/>
              </w:rPr>
              <w:t>To 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9"/>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880" w:type="dxa"/>
            <w:vAlign w:val="bottom"/>
            <w:gridSpan w:val="9"/>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28"/>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ind w:right="29"/>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Purchases</w:t>
            </w:r>
          </w:p>
        </w:tc>
        <w:tc>
          <w:tcPr>
            <w:tcW w:w="600" w:type="dxa"/>
            <w:vAlign w:val="bottom"/>
          </w:tcPr>
          <w:p>
            <w:pPr>
              <w:ind w:left="80"/>
              <w:spacing w:after="0"/>
              <w:rPr>
                <w:sz w:val="20"/>
                <w:szCs w:val="20"/>
                <w:color w:val="auto"/>
              </w:rPr>
            </w:pPr>
            <w:r>
              <w:rPr>
                <w:rFonts w:ascii="Arial" w:cs="Arial" w:eastAsia="Arial" w:hAnsi="Arial"/>
                <w:sz w:val="13"/>
                <w:szCs w:val="13"/>
                <w:b w:val="1"/>
                <w:bCs w:val="1"/>
                <w:color w:val="auto"/>
              </w:rPr>
              <w:t>Sales</w:t>
            </w:r>
          </w:p>
        </w:tc>
        <w:tc>
          <w:tcPr>
            <w:tcW w:w="10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2015</w:t>
            </w:r>
          </w:p>
        </w:tc>
      </w:tr>
      <w:tr>
        <w:trPr>
          <w:trHeight w:val="123"/>
        </w:trPr>
        <w:tc>
          <w:tcPr>
            <w:tcW w:w="1880" w:type="dxa"/>
            <w:vAlign w:val="bottom"/>
            <w:tcBorders>
              <w:top w:val="single" w:sz="8" w:color="auto"/>
            </w:tcBorders>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w w:val="92"/>
              </w:rPr>
              <w:t>Preferred warrants, $1.17 Strike</w:t>
            </w: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99"/>
              </w:rPr>
              <w:t>9/30/2020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  $</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(51,458)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12,864</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2"/>
              </w:rPr>
              <w:t>Preferred warrants, $1.16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99"/>
              </w:rPr>
              <w:t>6/26/2021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12,736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(9,648)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3,088</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Circle Media, Inc. – Preferred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w w:val="97"/>
              </w:rPr>
              <w:t>Warrants Series A (f/k/a S3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w w:val="98"/>
              </w:rPr>
              <w:t>Digital Corp.) – Strike Price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$1.166,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88"/>
              </w:rPr>
              <w:t>11/18/2022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CUX, Inc. (d/b/a CorpU)</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23"/>
        </w:trPr>
        <w:tc>
          <w:tcPr>
            <w:tcW w:w="1880" w:type="dxa"/>
            <w:vAlign w:val="bottom"/>
            <w:gridSpan w:val="9"/>
            <w:shd w:val="clear" w:color="auto" w:fill="CCEEFF"/>
          </w:tcPr>
          <w:p>
            <w:pPr>
              <w:ind w:left="20"/>
              <w:spacing w:after="0" w:line="123" w:lineRule="exact"/>
              <w:rPr>
                <w:sz w:val="20"/>
                <w:szCs w:val="20"/>
                <w:color w:val="auto"/>
              </w:rPr>
            </w:pPr>
            <w:r>
              <w:rPr>
                <w:rFonts w:ascii="Arial" w:cs="Arial" w:eastAsia="Arial" w:hAnsi="Arial"/>
                <w:sz w:val="14"/>
                <w:szCs w:val="14"/>
                <w:color w:val="auto"/>
              </w:rPr>
              <w:t>Senior Subordinated</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58"/>
        </w:trPr>
        <w:tc>
          <w:tcPr>
            <w:tcW w:w="20" w:type="dxa"/>
            <w:vAlign w:val="bottom"/>
            <w:shd w:val="clear" w:color="auto" w:fill="CCEEFF"/>
          </w:tcPr>
          <w:p>
            <w:pPr>
              <w:spacing w:after="0"/>
              <w:rPr>
                <w:sz w:val="13"/>
                <w:szCs w:val="13"/>
                <w:color w:val="auto"/>
              </w:rPr>
            </w:pPr>
          </w:p>
        </w:tc>
        <w:tc>
          <w:tcPr>
            <w:tcW w:w="1860" w:type="dxa"/>
            <w:vAlign w:val="bottom"/>
            <w:gridSpan w:val="8"/>
            <w:shd w:val="clear" w:color="auto" w:fill="CCEEFF"/>
          </w:tcPr>
          <w:p>
            <w:pPr>
              <w:ind w:left="180"/>
              <w:spacing w:after="0" w:line="159" w:lineRule="exact"/>
              <w:rPr>
                <w:sz w:val="20"/>
                <w:szCs w:val="20"/>
                <w:color w:val="auto"/>
              </w:rPr>
            </w:pPr>
            <w:r>
              <w:rPr>
                <w:rFonts w:ascii="Arial" w:cs="Arial" w:eastAsia="Arial" w:hAnsi="Arial"/>
                <w:sz w:val="14"/>
                <w:szCs w:val="14"/>
                <w:color w:val="auto"/>
                <w:w w:val="93"/>
              </w:rPr>
              <w:t>Convertible Promissory Note</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98"/>
        </w:trPr>
        <w:tc>
          <w:tcPr>
            <w:tcW w:w="20" w:type="dxa"/>
            <w:vAlign w:val="bottom"/>
            <w:shd w:val="clear" w:color="auto" w:fill="CCEEFF"/>
          </w:tcPr>
          <w:p>
            <w:pPr>
              <w:spacing w:after="0"/>
              <w:rPr>
                <w:sz w:val="17"/>
                <w:szCs w:val="17"/>
                <w:color w:val="auto"/>
              </w:rPr>
            </w:pPr>
          </w:p>
        </w:tc>
        <w:tc>
          <w:tcPr>
            <w:tcW w:w="1860" w:type="dxa"/>
            <w:vAlign w:val="bottom"/>
            <w:gridSpan w:val="8"/>
            <w:shd w:val="clear" w:color="auto" w:fill="CCEEFF"/>
          </w:tcPr>
          <w:p>
            <w:pPr>
              <w:ind w:left="180"/>
              <w:spacing w:after="0" w:line="198" w:lineRule="exact"/>
              <w:rPr>
                <w:sz w:val="20"/>
                <w:szCs w:val="20"/>
                <w:color w:val="auto"/>
              </w:rPr>
            </w:pPr>
            <w:r>
              <w:rPr>
                <w:rFonts w:ascii="Arial" w:cs="Arial" w:eastAsia="Arial" w:hAnsi="Arial"/>
                <w:sz w:val="14"/>
                <w:szCs w:val="14"/>
                <w:color w:val="auto"/>
              </w:rPr>
              <w:t>8% Due 11/26/2018 ***</w:t>
            </w:r>
            <w:r>
              <w:rPr>
                <w:rFonts w:ascii="Arial" w:cs="Arial" w:eastAsia="Arial" w:hAnsi="Arial"/>
                <w:sz w:val="22"/>
                <w:szCs w:val="22"/>
                <w:color w:val="auto"/>
                <w:vertAlign w:val="superscript"/>
              </w:rPr>
              <w:t>(5)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1,007,671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(7,671)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1,080,000</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860" w:type="dxa"/>
            <w:vAlign w:val="bottom"/>
            <w:gridSpan w:val="8"/>
          </w:tcPr>
          <w:p>
            <w:pPr>
              <w:ind w:left="180"/>
              <w:spacing w:after="0"/>
              <w:rPr>
                <w:sz w:val="20"/>
                <w:szCs w:val="20"/>
                <w:color w:val="auto"/>
              </w:rPr>
            </w:pPr>
            <w:r>
              <w:rPr>
                <w:rFonts w:ascii="Arial" w:cs="Arial" w:eastAsia="Arial" w:hAnsi="Arial"/>
                <w:sz w:val="14"/>
                <w:szCs w:val="14"/>
                <w:color w:val="auto"/>
              </w:rPr>
              <w:t>Series C</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2,292,582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(333,455)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1,959,127</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rPr>
              <w:t>Convertible preferred shares,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7"/>
        </w:trPr>
        <w:tc>
          <w:tcPr>
            <w:tcW w:w="20" w:type="dxa"/>
            <w:vAlign w:val="bottom"/>
            <w:shd w:val="clear" w:color="auto" w:fill="CCEEFF"/>
          </w:tcPr>
          <w:p>
            <w:pPr>
              <w:spacing w:after="0"/>
              <w:rPr>
                <w:sz w:val="14"/>
                <w:szCs w:val="14"/>
                <w:color w:val="auto"/>
              </w:rPr>
            </w:pPr>
          </w:p>
        </w:tc>
        <w:tc>
          <w:tcPr>
            <w:tcW w:w="1860" w:type="dxa"/>
            <w:vAlign w:val="bottom"/>
            <w:gridSpan w:val="8"/>
            <w:shd w:val="clear" w:color="auto" w:fill="CCEEFF"/>
          </w:tcPr>
          <w:p>
            <w:pPr>
              <w:ind w:left="180"/>
              <w:spacing w:after="0"/>
              <w:rPr>
                <w:sz w:val="20"/>
                <w:szCs w:val="20"/>
                <w:color w:val="auto"/>
              </w:rPr>
            </w:pPr>
            <w:r>
              <w:rPr>
                <w:rFonts w:ascii="Arial" w:cs="Arial" w:eastAsia="Arial" w:hAnsi="Arial"/>
                <w:sz w:val="14"/>
                <w:szCs w:val="14"/>
                <w:color w:val="auto"/>
              </w:rPr>
              <w:t>Series D</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716,066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59,795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775,861</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2"/>
              </w:rPr>
              <w:t>Preferred warrants, $4.59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99"/>
              </w:rPr>
              <w:t>2/25/2018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(2,366)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10,142</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Cricket Media (f/k/a ePals</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7"/>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Inc.)**</w:t>
            </w:r>
            <w:r>
              <w:rPr>
                <w:rFonts w:ascii="Arial" w:cs="Arial" w:eastAsia="Arial" w:hAnsi="Arial"/>
                <w:sz w:val="19"/>
                <w:szCs w:val="19"/>
                <w:b w:val="1"/>
                <w:bCs w:val="1"/>
                <w:color w:val="auto"/>
                <w:vertAlign w:val="superscript"/>
              </w:rPr>
              <w:t>(4)(6)</w:t>
            </w: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331,126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9"/>
              <w:spacing w:after="0" w:line="142" w:lineRule="exact"/>
              <w:rPr>
                <w:sz w:val="20"/>
                <w:szCs w:val="20"/>
                <w:color w:val="auto"/>
              </w:rPr>
            </w:pPr>
            <w:r>
              <w:rPr>
                <w:rFonts w:ascii="Arial" w:cs="Arial" w:eastAsia="Arial" w:hAnsi="Arial"/>
                <w:sz w:val="14"/>
                <w:szCs w:val="14"/>
                <w:color w:val="auto"/>
              </w:rPr>
              <w:t>(331,126)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Curious.com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42"/>
        </w:trPr>
        <w:tc>
          <w:tcPr>
            <w:tcW w:w="1880" w:type="dxa"/>
            <w:vAlign w:val="bottom"/>
            <w:gridSpan w:val="9"/>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9,996,311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9,996,311</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Declara,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8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Declara, Inc., Convertible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Promissory Note 6% Due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88"/>
              </w:rPr>
              <w:t>12/30/2016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2,000,000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2,000,000</w:t>
            </w:r>
          </w:p>
        </w:tc>
      </w:tr>
      <w:tr>
        <w:trPr>
          <w:trHeight w:val="149"/>
        </w:trPr>
        <w:tc>
          <w:tcPr>
            <w:tcW w:w="18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10,019,825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(19,826)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9,999,999</w:t>
            </w:r>
          </w:p>
        </w:tc>
      </w:tr>
      <w:tr>
        <w:trPr>
          <w:trHeight w:val="135"/>
        </w:trPr>
        <w:tc>
          <w:tcPr>
            <w:tcW w:w="1880" w:type="dxa"/>
            <w:vAlign w:val="bottom"/>
            <w:gridSpan w:val="9"/>
          </w:tcPr>
          <w:p>
            <w:pPr>
              <w:ind w:left="20"/>
              <w:spacing w:after="0" w:line="135" w:lineRule="exact"/>
              <w:rPr>
                <w:sz w:val="20"/>
                <w:szCs w:val="20"/>
                <w:color w:val="auto"/>
              </w:rPr>
            </w:pPr>
            <w:r>
              <w:rPr>
                <w:rFonts w:ascii="Arial" w:cs="Arial" w:eastAsia="Arial" w:hAnsi="Arial"/>
                <w:sz w:val="14"/>
                <w:szCs w:val="14"/>
                <w:b w:val="1"/>
                <w:bCs w:val="1"/>
                <w:color w:val="auto"/>
              </w:rPr>
              <w:t>EdSurge,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9"/>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505,328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2" w:lineRule="exact"/>
              <w:rPr>
                <w:sz w:val="20"/>
                <w:szCs w:val="20"/>
                <w:color w:val="auto"/>
              </w:rPr>
            </w:pPr>
            <w:r>
              <w:rPr>
                <w:rFonts w:ascii="Arial" w:cs="Arial" w:eastAsia="Arial" w:hAnsi="Arial"/>
                <w:sz w:val="14"/>
                <w:szCs w:val="14"/>
                <w:color w:val="auto"/>
              </w:rPr>
              <w:t>19,539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524,867</w:t>
            </w:r>
          </w:p>
        </w:tc>
      </w:tr>
      <w:tr>
        <w:trPr>
          <w:trHeight w:val="149"/>
        </w:trPr>
        <w:tc>
          <w:tcPr>
            <w:tcW w:w="18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A-1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500,960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9"/>
              <w:spacing w:after="0" w:line="149" w:lineRule="exact"/>
              <w:rPr>
                <w:sz w:val="20"/>
                <w:szCs w:val="20"/>
                <w:color w:val="auto"/>
              </w:rPr>
            </w:pPr>
            <w:r>
              <w:rPr>
                <w:rFonts w:ascii="Arial" w:cs="Arial" w:eastAsia="Arial" w:hAnsi="Arial"/>
                <w:sz w:val="14"/>
                <w:szCs w:val="14"/>
                <w:color w:val="auto"/>
              </w:rPr>
              <w:t>(960)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r>
      <w:tr>
        <w:trPr>
          <w:trHeight w:val="135"/>
        </w:trPr>
        <w:tc>
          <w:tcPr>
            <w:tcW w:w="1880" w:type="dxa"/>
            <w:vAlign w:val="bottom"/>
            <w:gridSpan w:val="9"/>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Fullbridge,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r>
        <w:trPr>
          <w:trHeight w:val="123"/>
        </w:trPr>
        <w:tc>
          <w:tcPr>
            <w:tcW w:w="1880" w:type="dxa"/>
            <w:vAlign w:val="bottom"/>
            <w:gridSpan w:val="9"/>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10% Interest rate,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960" w:type="dxa"/>
            <w:vAlign w:val="bottom"/>
            <w:gridSpan w:val="5"/>
          </w:tcPr>
          <w:p>
            <w:pPr>
              <w:ind w:left="200"/>
              <w:spacing w:after="0"/>
              <w:rPr>
                <w:sz w:val="20"/>
                <w:szCs w:val="20"/>
                <w:color w:val="auto"/>
              </w:rPr>
            </w:pPr>
            <w:r>
              <w:rPr>
                <w:rFonts w:ascii="Arial" w:cs="Arial" w:eastAsia="Arial" w:hAnsi="Arial"/>
                <w:sz w:val="14"/>
                <w:szCs w:val="14"/>
                <w:color w:val="auto"/>
              </w:rPr>
              <w:t>3/2/2016***</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142,645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1,014,395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6,464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1,020,859</w:t>
            </w:r>
          </w:p>
        </w:tc>
      </w:tr>
      <w:tr>
        <w:trPr>
          <w:trHeight w:val="149"/>
        </w:trPr>
        <w:tc>
          <w:tcPr>
            <w:tcW w:w="1880" w:type="dxa"/>
            <w:vAlign w:val="bottom"/>
            <w:gridSpan w:val="9"/>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3,111,714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3,111,714</w:t>
            </w:r>
          </w:p>
        </w:tc>
      </w:tr>
      <w:tr>
        <w:trPr>
          <w:trHeight w:val="149"/>
        </w:trPr>
        <w:tc>
          <w:tcPr>
            <w:tcW w:w="1880" w:type="dxa"/>
            <w:vAlign w:val="bottom"/>
            <w:gridSpan w:val="9"/>
          </w:tcPr>
          <w:p>
            <w:pPr>
              <w:ind w:left="20"/>
              <w:spacing w:after="0" w:line="149" w:lineRule="exact"/>
              <w:rPr>
                <w:sz w:val="20"/>
                <w:szCs w:val="20"/>
                <w:color w:val="auto"/>
              </w:rPr>
            </w:pPr>
            <w:r>
              <w:rPr>
                <w:rFonts w:ascii="Arial" w:cs="Arial" w:eastAsia="Arial" w:hAnsi="Arial"/>
                <w:sz w:val="14"/>
                <w:szCs w:val="14"/>
                <w:color w:val="auto"/>
              </w:rPr>
              <w:t>Preferred shares, Series 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1,625,001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1,625,001</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99"/>
              </w:rPr>
              <w:t>2/18/2019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5,281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rPr>
              <w:t>4/3/2019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3,297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4,121</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rPr>
              <w:t>3/2/2020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w:t>
            </w:r>
          </w:p>
        </w:tc>
      </w:tr>
      <w:tr>
        <w:trPr>
          <w:trHeight w:val="130"/>
        </w:trPr>
        <w:tc>
          <w:tcPr>
            <w:tcW w:w="1880" w:type="dxa"/>
            <w:vAlign w:val="bottom"/>
            <w:gridSpan w:val="9"/>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8"/>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860" w:type="dxa"/>
            <w:vAlign w:val="bottom"/>
            <w:gridSpan w:val="4"/>
          </w:tcPr>
          <w:p>
            <w:pPr>
              <w:ind w:left="200"/>
              <w:spacing w:after="0"/>
              <w:rPr>
                <w:sz w:val="20"/>
                <w:szCs w:val="20"/>
                <w:color w:val="auto"/>
              </w:rPr>
            </w:pPr>
            <w:r>
              <w:rPr>
                <w:rFonts w:ascii="Arial" w:cs="Arial" w:eastAsia="Arial" w:hAnsi="Arial"/>
                <w:sz w:val="14"/>
                <w:szCs w:val="14"/>
                <w:color w:val="auto"/>
                <w:w w:val="99"/>
              </w:rPr>
              <w:t>5/16/2019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1,923</w:t>
            </w:r>
          </w:p>
        </w:tc>
      </w:tr>
      <w:tr>
        <w:trPr>
          <w:trHeight w:val="130"/>
        </w:trPr>
        <w:tc>
          <w:tcPr>
            <w:tcW w:w="1880" w:type="dxa"/>
            <w:vAlign w:val="bottom"/>
            <w:gridSpan w:val="9"/>
            <w:shd w:val="clear" w:color="auto" w:fill="CCEEFF"/>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8"/>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r>
      <w:tr>
        <w:trPr>
          <w:trHeight w:val="167"/>
        </w:trPr>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w w:val="99"/>
              </w:rPr>
              <w:t>3/22/2020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r>
    </w:tbl>
    <w:p>
      <w:pPr>
        <w:spacing w:after="0" w:line="200" w:lineRule="exact"/>
        <w:rPr>
          <w:sz w:val="20"/>
          <w:szCs w:val="20"/>
          <w:color w:val="auto"/>
        </w:rPr>
      </w:pPr>
    </w:p>
    <w:p>
      <w:pPr>
        <w:spacing w:after="0" w:line="33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8" w:name="page69"/>
    <w:bookmarkEnd w:id="68"/>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Schedule 12-14 — Schedule of Investments in and Advances to Affiliates (unaudited)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52139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1" w:lineRule="exact"/>
              <w:rPr>
                <w:sz w:val="20"/>
                <w:szCs w:val="20"/>
                <w:color w:val="auto"/>
              </w:rPr>
            </w:pPr>
            <w:r>
              <w:rPr>
                <w:rFonts w:ascii="Arial" w:cs="Arial" w:eastAsia="Arial" w:hAnsi="Arial"/>
                <w:sz w:val="13"/>
                <w:szCs w:val="13"/>
                <w:b w:val="1"/>
                <w:bCs w:val="1"/>
                <w:color w:val="auto"/>
                <w:w w:val="89"/>
              </w:rPr>
              <w:t>Amount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1" w:lineRule="exact"/>
              <w:rPr>
                <w:sz w:val="20"/>
                <w:szCs w:val="20"/>
                <w:color w:val="auto"/>
              </w:rPr>
            </w:pPr>
            <w:r>
              <w:rPr>
                <w:rFonts w:ascii="Arial" w:cs="Arial" w:eastAsia="Arial" w:hAnsi="Arial"/>
                <w:sz w:val="13"/>
                <w:szCs w:val="13"/>
                <w:b w:val="1"/>
                <w:bCs w:val="1"/>
                <w:color w:val="auto"/>
                <w:w w:val="88"/>
              </w:rPr>
              <w:t>Transfer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Interest, Fees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from Control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or Dividends</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Realized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Fair Value at</w:t>
            </w:r>
          </w:p>
        </w:tc>
      </w:tr>
      <w:tr>
        <w:trPr>
          <w:trHeight w:val="135"/>
        </w:trPr>
        <w:tc>
          <w:tcPr>
            <w:tcW w:w="1880" w:type="dxa"/>
            <w:vAlign w:val="bottom"/>
            <w:gridSpan w:val="13"/>
          </w:tcPr>
          <w:p>
            <w:pPr>
              <w:ind w:left="20"/>
              <w:spacing w:after="0" w:line="135" w:lineRule="exact"/>
              <w:rPr>
                <w:sz w:val="20"/>
                <w:szCs w:val="20"/>
                <w:color w:val="auto"/>
              </w:rPr>
            </w:pPr>
            <w:r>
              <w:rPr>
                <w:rFonts w:ascii="Arial" w:cs="Arial" w:eastAsia="Arial" w:hAnsi="Arial"/>
                <w:sz w:val="13"/>
                <w:szCs w:val="13"/>
                <w:b w:val="1"/>
                <w:bCs w:val="1"/>
                <w:color w:val="auto"/>
              </w:rPr>
              <w:t>Portfolio Company/Type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1"/>
              </w:rPr>
              <w:t>Credited in</w:t>
            </w:r>
          </w:p>
        </w:tc>
        <w:tc>
          <w:tcPr>
            <w:tcW w:w="8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7"/>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To Affiliate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December 31,</w:t>
            </w:r>
          </w:p>
        </w:tc>
      </w:tr>
      <w:tr>
        <w:trPr>
          <w:trHeight w:val="153"/>
        </w:trPr>
        <w:tc>
          <w:tcPr>
            <w:tcW w:w="1880" w:type="dxa"/>
            <w:vAlign w:val="bottom"/>
            <w:tcBorders>
              <w:bottom w:val="single" w:sz="8" w:color="auto"/>
            </w:tcBorders>
            <w:gridSpan w:val="13"/>
          </w:tcPr>
          <w:p>
            <w:pPr>
              <w:ind w:left="20"/>
              <w:spacing w:after="0"/>
              <w:rPr>
                <w:sz w:val="20"/>
                <w:szCs w:val="20"/>
                <w:color w:val="auto"/>
              </w:rPr>
            </w:pPr>
            <w:r>
              <w:rPr>
                <w:rFonts w:ascii="Arial" w:cs="Arial" w:eastAsia="Arial" w:hAnsi="Arial"/>
                <w:sz w:val="13"/>
                <w:szCs w:val="13"/>
                <w:b w:val="1"/>
                <w:bCs w:val="1"/>
                <w:color w:val="auto"/>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7"/>
              </w:rPr>
              <w:t>Investment</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Purchases</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3"/>
                <w:szCs w:val="13"/>
                <w:b w:val="1"/>
                <w:bCs w:val="1"/>
                <w:color w:val="auto"/>
              </w:rPr>
              <w:t>Sales</w:t>
            </w:r>
          </w:p>
        </w:tc>
        <w:tc>
          <w:tcPr>
            <w:tcW w:w="80" w:type="dxa"/>
            <w:vAlign w:val="bottom"/>
          </w:tcPr>
          <w:p>
            <w:pPr>
              <w:spacing w:after="0"/>
              <w:rPr>
                <w:sz w:val="13"/>
                <w:szCs w:val="13"/>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3"/>
              </w:rPr>
              <w:t>Gains/(Losses)</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2015</w:t>
            </w:r>
          </w:p>
        </w:tc>
      </w:tr>
      <w:tr>
        <w:trPr>
          <w:trHeight w:val="123"/>
        </w:trPr>
        <w:tc>
          <w:tcPr>
            <w:tcW w:w="1880" w:type="dxa"/>
            <w:vAlign w:val="bottom"/>
            <w:gridSpan w:val="13"/>
            <w:shd w:val="clear" w:color="auto" w:fill="CCEEFF"/>
          </w:tcPr>
          <w:p>
            <w:pPr>
              <w:ind w:left="20"/>
              <w:spacing w:after="0" w:line="123"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r>
      <w:tr>
        <w:trPr>
          <w:trHeight w:val="149"/>
        </w:trPr>
        <w:tc>
          <w:tcPr>
            <w:tcW w:w="20" w:type="dxa"/>
            <w:vAlign w:val="bottom"/>
            <w:shd w:val="clear" w:color="auto" w:fill="CCEEFF"/>
          </w:tcPr>
          <w:p>
            <w:pPr>
              <w:spacing w:after="0"/>
              <w:rPr>
                <w:sz w:val="12"/>
                <w:szCs w:val="12"/>
                <w:color w:val="auto"/>
              </w:rPr>
            </w:pPr>
          </w:p>
        </w:tc>
        <w:tc>
          <w:tcPr>
            <w:tcW w:w="1860" w:type="dxa"/>
            <w:vAlign w:val="bottom"/>
            <w:gridSpan w:val="12"/>
            <w:shd w:val="clear" w:color="auto" w:fill="CCEEFF"/>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r>
      <w:tr>
        <w:trPr>
          <w:trHeight w:val="167"/>
        </w:trPr>
        <w:tc>
          <w:tcPr>
            <w:tcW w:w="1060" w:type="dxa"/>
            <w:vAlign w:val="bottom"/>
            <w:tcBorders>
              <w:right w:val="single" w:sz="8" w:color="CCEEFF"/>
            </w:tcBorders>
            <w:gridSpan w:val="4"/>
            <w:shd w:val="clear" w:color="auto" w:fill="CCEEFF"/>
          </w:tcPr>
          <w:p>
            <w:pPr>
              <w:ind w:left="200"/>
              <w:spacing w:after="0"/>
              <w:rPr>
                <w:sz w:val="20"/>
                <w:szCs w:val="20"/>
                <w:color w:val="auto"/>
              </w:rPr>
            </w:pPr>
            <w:r>
              <w:rPr>
                <w:rFonts w:ascii="Arial" w:cs="Arial" w:eastAsia="Arial" w:hAnsi="Arial"/>
                <w:sz w:val="14"/>
                <w:szCs w:val="14"/>
                <w:color w:val="auto"/>
              </w:rPr>
              <w:t>10/10/2018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w:t>
            </w:r>
          </w:p>
        </w:tc>
      </w:tr>
      <w:tr>
        <w:trPr>
          <w:trHeight w:val="130"/>
        </w:trPr>
        <w:tc>
          <w:tcPr>
            <w:tcW w:w="1880" w:type="dxa"/>
            <w:vAlign w:val="bottom"/>
            <w:gridSpan w:val="13"/>
          </w:tcPr>
          <w:p>
            <w:pPr>
              <w:ind w:left="20"/>
              <w:spacing w:after="0" w:line="130" w:lineRule="exact"/>
              <w:rPr>
                <w:sz w:val="20"/>
                <w:szCs w:val="20"/>
                <w:color w:val="auto"/>
              </w:rPr>
            </w:pPr>
            <w:r>
              <w:rPr>
                <w:rFonts w:ascii="Arial" w:cs="Arial" w:eastAsia="Arial" w:hAnsi="Arial"/>
                <w:sz w:val="14"/>
                <w:szCs w:val="14"/>
                <w:color w:val="auto"/>
                <w:w w:val="93"/>
              </w:rPr>
              <w:t>Common warrants, $0.91 Strike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gridSpan w:val="12"/>
          </w:tcPr>
          <w:p>
            <w:pPr>
              <w:ind w:left="180"/>
              <w:spacing w:after="0" w:line="149" w:lineRule="exact"/>
              <w:rPr>
                <w:sz w:val="20"/>
                <w:szCs w:val="20"/>
                <w:color w:val="auto"/>
              </w:rPr>
            </w:pPr>
            <w:r>
              <w:rPr>
                <w:rFonts w:ascii="Arial" w:cs="Arial" w:eastAsia="Arial" w:hAnsi="Arial"/>
                <w:sz w:val="14"/>
                <w:szCs w:val="14"/>
                <w:color w:val="auto"/>
              </w:rPr>
              <w:t>Price,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1060" w:type="dxa"/>
            <w:vAlign w:val="bottom"/>
            <w:gridSpan w:val="4"/>
          </w:tcPr>
          <w:p>
            <w:pPr>
              <w:ind w:left="200"/>
              <w:spacing w:after="0"/>
              <w:rPr>
                <w:sz w:val="20"/>
                <w:szCs w:val="20"/>
                <w:color w:val="auto"/>
              </w:rPr>
            </w:pPr>
            <w:r>
              <w:rPr>
                <w:rFonts w:ascii="Arial" w:cs="Arial" w:eastAsia="Arial" w:hAnsi="Arial"/>
                <w:sz w:val="14"/>
                <w:szCs w:val="14"/>
                <w:color w:val="auto"/>
              </w:rPr>
              <w:t>12/11/2018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w:t>
            </w:r>
          </w:p>
        </w:tc>
      </w:tr>
      <w:tr>
        <w:trPr>
          <w:trHeight w:val="135"/>
        </w:trPr>
        <w:tc>
          <w:tcPr>
            <w:tcW w:w="18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Global Education Learning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gridSpan w:val="11"/>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(Holdings) Ltd. **</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3,995,221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w w:val="92"/>
              </w:rPr>
              <w:t>(3,660,394)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(334,827)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Orchestra One, Inc. (f/k/a</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1580" w:type="dxa"/>
            <w:vAlign w:val="bottom"/>
            <w:tcBorders>
              <w:top w:val="single" w:sz="8" w:color="auto"/>
            </w:tcBorders>
            <w:gridSpan w:val="8"/>
            <w:shd w:val="clear" w:color="auto" w:fill="CCEEFF"/>
          </w:tcPr>
          <w:p>
            <w:pPr>
              <w:ind w:left="180"/>
              <w:spacing w:after="0" w:line="129" w:lineRule="exact"/>
              <w:rPr>
                <w:sz w:val="20"/>
                <w:szCs w:val="20"/>
                <w:color w:val="auto"/>
              </w:rPr>
            </w:pPr>
            <w:r>
              <w:rPr>
                <w:rFonts w:ascii="Arial" w:cs="Arial" w:eastAsia="Arial" w:hAnsi="Arial"/>
                <w:sz w:val="14"/>
                <w:szCs w:val="14"/>
                <w:b w:val="1"/>
                <w:bCs w:val="1"/>
                <w:color w:val="auto"/>
              </w:rPr>
              <w:t>Learnist Inc.)</w:t>
            </w: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83"/>
        </w:trPr>
        <w:tc>
          <w:tcPr>
            <w:tcW w:w="1880" w:type="dxa"/>
            <w:vAlign w:val="bottom"/>
            <w:gridSpan w:val="13"/>
          </w:tcPr>
          <w:p>
            <w:pPr>
              <w:ind w:left="20"/>
              <w:spacing w:after="0" w:line="183" w:lineRule="exact"/>
              <w:rPr>
                <w:sz w:val="20"/>
                <w:szCs w:val="20"/>
                <w:color w:val="auto"/>
              </w:rPr>
            </w:pPr>
            <w:r>
              <w:rPr>
                <w:rFonts w:ascii="Arial" w:cs="Arial" w:eastAsia="Arial" w:hAnsi="Arial"/>
                <w:sz w:val="13"/>
                <w:szCs w:val="13"/>
                <w:color w:val="auto"/>
              </w:rPr>
              <w:t>Common Shares</w:t>
            </w:r>
            <w:r>
              <w:rPr>
                <w:rFonts w:ascii="Arial" w:cs="Arial" w:eastAsia="Arial" w:hAnsi="Arial"/>
                <w:sz w:val="21"/>
                <w:szCs w:val="21"/>
                <w:color w:val="auto"/>
                <w:vertAlign w:val="superscript"/>
              </w:rPr>
              <w:t>(7)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5,379,310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(5,374,946)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4,364</w:t>
            </w:r>
          </w:p>
        </w:tc>
      </w:tr>
      <w:tr>
        <w:trPr>
          <w:trHeight w:val="149"/>
        </w:trPr>
        <w:tc>
          <w:tcPr>
            <w:tcW w:w="18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2,319,014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(2,319,014)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1,610,296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2"/>
              </w:rPr>
              <w:t>(1,610,296)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F</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2"/>
              </w:rPr>
              <w:t>(1,450,000)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13"/>
          </w:tcPr>
          <w:p>
            <w:pPr>
              <w:ind w:left="20"/>
              <w:spacing w:after="0" w:line="135" w:lineRule="exact"/>
              <w:rPr>
                <w:sz w:val="20"/>
                <w:szCs w:val="20"/>
                <w:color w:val="auto"/>
              </w:rPr>
            </w:pPr>
            <w:r>
              <w:rPr>
                <w:rFonts w:ascii="Arial" w:cs="Arial" w:eastAsia="Arial" w:hAnsi="Arial"/>
                <w:sz w:val="14"/>
                <w:szCs w:val="14"/>
                <w:b w:val="1"/>
                <w:bCs w:val="1"/>
                <w:color w:val="auto"/>
              </w:rPr>
              <w:t>Maven Research, Inc.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42"/>
        </w:trPr>
        <w:tc>
          <w:tcPr>
            <w:tcW w:w="1880" w:type="dxa"/>
            <w:vAlign w:val="bottom"/>
            <w:gridSpan w:val="13"/>
            <w:shd w:val="clear" w:color="auto" w:fill="CCEEFF"/>
          </w:tcPr>
          <w:p>
            <w:pPr>
              <w:ind w:left="20"/>
              <w:spacing w:after="0" w:line="142" w:lineRule="exact"/>
              <w:rPr>
                <w:sz w:val="20"/>
                <w:szCs w:val="20"/>
                <w:color w:val="auto"/>
              </w:rPr>
            </w:pPr>
            <w:r>
              <w:rPr>
                <w:rFonts w:ascii="Arial" w:cs="Arial" w:eastAsia="Arial" w:hAnsi="Arial"/>
                <w:sz w:val="14"/>
                <w:szCs w:val="14"/>
                <w:color w:val="auto"/>
              </w:rPr>
              <w:t>Preferred shares, Series 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1,999,998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1,999,998</w:t>
            </w:r>
          </w:p>
        </w:tc>
      </w:tr>
      <w:tr>
        <w:trPr>
          <w:trHeight w:val="149"/>
        </w:trPr>
        <w:tc>
          <w:tcPr>
            <w:tcW w:w="18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249,691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249,691</w:t>
            </w:r>
          </w:p>
        </w:tc>
      </w:tr>
      <w:tr>
        <w:trPr>
          <w:trHeight w:val="135"/>
        </w:trPr>
        <w:tc>
          <w:tcPr>
            <w:tcW w:w="18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Ozy Media,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4,999,999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(309,821)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4,690,178</w:t>
            </w:r>
          </w:p>
        </w:tc>
      </w:tr>
      <w:tr>
        <w:trPr>
          <w:trHeight w:val="149"/>
        </w:trPr>
        <w:tc>
          <w:tcPr>
            <w:tcW w:w="18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4,165,091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(258,087)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3,907,004</w:t>
            </w:r>
          </w:p>
        </w:tc>
      </w:tr>
      <w:tr>
        <w:trPr>
          <w:trHeight w:val="149"/>
        </w:trPr>
        <w:tc>
          <w:tcPr>
            <w:tcW w:w="1880" w:type="dxa"/>
            <w:vAlign w:val="bottom"/>
            <w:gridSpan w:val="13"/>
          </w:tcPr>
          <w:p>
            <w:pPr>
              <w:ind w:left="20"/>
              <w:spacing w:after="0" w:line="149" w:lineRule="exact"/>
              <w:rPr>
                <w:sz w:val="20"/>
                <w:szCs w:val="20"/>
                <w:color w:val="auto"/>
              </w:rPr>
            </w:pPr>
            <w:r>
              <w:rPr>
                <w:rFonts w:ascii="Arial" w:cs="Arial" w:eastAsia="Arial" w:hAnsi="Arial"/>
                <w:sz w:val="14"/>
                <w:szCs w:val="14"/>
                <w:color w:val="auto"/>
                <w:w w:val="97"/>
              </w:rPr>
              <w:t>Preferred shares, Series Seed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1,573,000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(41,188)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1,531,812</w:t>
            </w:r>
          </w:p>
        </w:tc>
      </w:tr>
      <w:tr>
        <w:trPr>
          <w:trHeight w:val="135"/>
        </w:trPr>
        <w:tc>
          <w:tcPr>
            <w:tcW w:w="18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PayNearMe,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9,982,064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89"/>
              </w:rPr>
              <w:t>3,999,998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(7,175)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13,974,887</w:t>
            </w:r>
          </w:p>
        </w:tc>
      </w:tr>
      <w:tr>
        <w:trPr>
          <w:trHeight w:val="135"/>
        </w:trPr>
        <w:tc>
          <w:tcPr>
            <w:tcW w:w="18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The rSmart Group,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Preferred shares,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192,586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1,920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(189,506)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r>
      <w:tr>
        <w:trPr>
          <w:trHeight w:val="135"/>
        </w:trPr>
        <w:tc>
          <w:tcPr>
            <w:tcW w:w="18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Strategic Data Command,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gridSpan w:val="9"/>
            <w:shd w:val="clear" w:color="auto" w:fill="CCEEFF"/>
          </w:tcPr>
          <w:p>
            <w:pPr>
              <w:ind w:left="180"/>
              <w:spacing w:after="0" w:line="169" w:lineRule="exact"/>
              <w:rPr>
                <w:sz w:val="20"/>
                <w:szCs w:val="20"/>
                <w:color w:val="auto"/>
              </w:rPr>
            </w:pPr>
            <w:r>
              <w:rPr>
                <w:rFonts w:ascii="Arial" w:cs="Arial" w:eastAsia="Arial" w:hAnsi="Arial"/>
                <w:sz w:val="12"/>
                <w:szCs w:val="12"/>
                <w:b w:val="1"/>
                <w:bCs w:val="1"/>
                <w:color w:val="auto"/>
              </w:rPr>
              <w:t>LLC</w:t>
            </w:r>
            <w:r>
              <w:rPr>
                <w:rFonts w:ascii="Arial" w:cs="Arial" w:eastAsia="Arial" w:hAnsi="Arial"/>
                <w:sz w:val="19"/>
                <w:szCs w:val="19"/>
                <w:b w:val="1"/>
                <w:bCs w:val="1"/>
                <w:color w:val="auto"/>
                <w:vertAlign w:val="superscript"/>
              </w:rPr>
              <w:t>(3)</w:t>
            </w: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right w:val="single" w:sz="8" w:color="CCEEFF"/>
            </w:tcBorders>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42"/>
        </w:trPr>
        <w:tc>
          <w:tcPr>
            <w:tcW w:w="1880" w:type="dxa"/>
            <w:vAlign w:val="bottom"/>
            <w:gridSpan w:val="13"/>
          </w:tcPr>
          <w:p>
            <w:pPr>
              <w:ind w:left="20"/>
              <w:spacing w:after="0" w:line="142" w:lineRule="exact"/>
              <w:rPr>
                <w:sz w:val="20"/>
                <w:szCs w:val="20"/>
                <w:color w:val="auto"/>
              </w:rPr>
            </w:pPr>
            <w:r>
              <w:rPr>
                <w:rFonts w:ascii="Arial" w:cs="Arial" w:eastAsia="Arial" w:hAnsi="Arial"/>
                <w:sz w:val="14"/>
                <w:szCs w:val="14"/>
                <w:color w:val="auto"/>
              </w:rPr>
              <w:t>Common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1,000,000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40"/>
              <w:spacing w:after="0" w:line="142" w:lineRule="exact"/>
              <w:rPr>
                <w:sz w:val="20"/>
                <w:szCs w:val="20"/>
                <w:color w:val="auto"/>
              </w:rPr>
            </w:pPr>
            <w:r>
              <w:rPr>
                <w:rFonts w:ascii="Arial" w:cs="Arial" w:eastAsia="Arial" w:hAnsi="Arial"/>
                <w:sz w:val="14"/>
                <w:szCs w:val="14"/>
                <w:color w:val="auto"/>
              </w:rPr>
              <w:t>(12,373)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14,023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1,001,650</w:t>
            </w:r>
          </w:p>
        </w:tc>
      </w:tr>
      <w:tr>
        <w:trPr>
          <w:trHeight w:val="135"/>
        </w:trPr>
        <w:tc>
          <w:tcPr>
            <w:tcW w:w="1880" w:type="dxa"/>
            <w:vAlign w:val="bottom"/>
            <w:gridSpan w:val="13"/>
            <w:shd w:val="clear" w:color="auto" w:fill="CCEEFF"/>
          </w:tcPr>
          <w:p>
            <w:pPr>
              <w:ind w:left="20"/>
              <w:spacing w:after="0" w:line="135" w:lineRule="exact"/>
              <w:rPr>
                <w:sz w:val="20"/>
                <w:szCs w:val="20"/>
                <w:color w:val="auto"/>
              </w:rPr>
            </w:pPr>
            <w:r>
              <w:rPr>
                <w:rFonts w:ascii="Arial" w:cs="Arial" w:eastAsia="Arial" w:hAnsi="Arial"/>
                <w:sz w:val="14"/>
                <w:szCs w:val="14"/>
                <w:b w:val="1"/>
                <w:bCs w:val="1"/>
                <w:color w:val="auto"/>
              </w:rPr>
              <w:t>Totus Solutions, Inc.</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r>
      <w:tr>
        <w:trPr>
          <w:trHeight w:val="123"/>
        </w:trPr>
        <w:tc>
          <w:tcPr>
            <w:tcW w:w="1880" w:type="dxa"/>
            <w:vAlign w:val="bottom"/>
            <w:gridSpan w:val="13"/>
          </w:tcPr>
          <w:p>
            <w:pPr>
              <w:ind w:left="20"/>
              <w:spacing w:after="0" w:line="123" w:lineRule="exact"/>
              <w:rPr>
                <w:sz w:val="20"/>
                <w:szCs w:val="20"/>
                <w:color w:val="auto"/>
              </w:rPr>
            </w:pPr>
            <w:r>
              <w:rPr>
                <w:rFonts w:ascii="Arial" w:cs="Arial" w:eastAsia="Arial" w:hAnsi="Arial"/>
                <w:sz w:val="14"/>
                <w:szCs w:val="14"/>
                <w:color w:val="auto"/>
              </w:rPr>
              <w:t>Convertible Promissory Note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860" w:type="dxa"/>
            <w:vAlign w:val="bottom"/>
            <w:gridSpan w:val="12"/>
          </w:tcPr>
          <w:p>
            <w:pPr>
              <w:ind w:left="180"/>
              <w:spacing w:after="0" w:line="149" w:lineRule="exact"/>
              <w:rPr>
                <w:sz w:val="20"/>
                <w:szCs w:val="20"/>
                <w:color w:val="auto"/>
              </w:rPr>
            </w:pPr>
            <w:r>
              <w:rPr>
                <w:rFonts w:ascii="Arial" w:cs="Arial" w:eastAsia="Arial" w:hAnsi="Arial"/>
                <w:sz w:val="14"/>
                <w:szCs w:val="14"/>
                <w:color w:val="auto"/>
              </w:rPr>
              <w:t>6%, Expiration Date,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7"/>
        </w:trPr>
        <w:tc>
          <w:tcPr>
            <w:tcW w:w="1060" w:type="dxa"/>
            <w:vAlign w:val="bottom"/>
            <w:gridSpan w:val="4"/>
          </w:tcPr>
          <w:p>
            <w:pPr>
              <w:ind w:left="200"/>
              <w:spacing w:after="0"/>
              <w:rPr>
                <w:sz w:val="20"/>
                <w:szCs w:val="20"/>
                <w:color w:val="auto"/>
              </w:rPr>
            </w:pPr>
            <w:r>
              <w:rPr>
                <w:rFonts w:ascii="Arial" w:cs="Arial" w:eastAsia="Arial" w:hAnsi="Arial"/>
                <w:sz w:val="14"/>
                <w:szCs w:val="14"/>
                <w:color w:val="auto"/>
              </w:rPr>
              <w:t>4/1/2016***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(3,074)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78,425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(29,185)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shares, Series B</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128,902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(128,902)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3"/>
          </w:tcPr>
          <w:p>
            <w:pPr>
              <w:ind w:left="20"/>
              <w:spacing w:after="0" w:line="149" w:lineRule="exact"/>
              <w:rPr>
                <w:sz w:val="20"/>
                <w:szCs w:val="20"/>
                <w:color w:val="auto"/>
              </w:rPr>
            </w:pPr>
            <w:r>
              <w:rPr>
                <w:rFonts w:ascii="Arial" w:cs="Arial" w:eastAsia="Arial" w:hAnsi="Arial"/>
                <w:sz w:val="14"/>
                <w:szCs w:val="14"/>
                <w:color w:val="auto"/>
              </w:rPr>
              <w:t>Preferred shares,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880" w:type="dxa"/>
            <w:vAlign w:val="bottom"/>
            <w:gridSpan w:val="13"/>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Shares</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r>
      <w:tr>
        <w:trPr>
          <w:trHeight w:val="136"/>
        </w:trPr>
        <w:tc>
          <w:tcPr>
            <w:tcW w:w="1880" w:type="dxa"/>
            <w:vAlign w:val="bottom"/>
            <w:gridSpan w:val="13"/>
          </w:tcPr>
          <w:p>
            <w:pPr>
              <w:ind w:left="20"/>
              <w:spacing w:after="0" w:line="129" w:lineRule="exact"/>
              <w:rPr>
                <w:sz w:val="20"/>
                <w:szCs w:val="20"/>
                <w:color w:val="auto"/>
              </w:rPr>
            </w:pPr>
            <w:r>
              <w:rPr>
                <w:rFonts w:ascii="Arial" w:cs="Arial" w:eastAsia="Arial" w:hAnsi="Arial"/>
                <w:sz w:val="14"/>
                <w:szCs w:val="14"/>
                <w:b w:val="1"/>
                <w:bCs w:val="1"/>
                <w:color w:val="auto"/>
              </w:rPr>
              <w:t>Total Affiliate Investments</w:t>
            </w:r>
          </w:p>
        </w:tc>
        <w:tc>
          <w:tcPr>
            <w:tcW w:w="8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214,420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w w:val="94"/>
              </w:rPr>
              <w:t>70,172,313</w:t>
            </w:r>
          </w:p>
        </w:tc>
        <w:tc>
          <w:tcPr>
            <w:tcW w:w="18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789,435</w:t>
            </w: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u w:val="single" w:color="auto"/>
                <w:color w:val="auto"/>
              </w:rPr>
              <w:t>$</w:t>
            </w: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w w:val="89"/>
              </w:rPr>
              <w:t>7,918,591</w:t>
            </w:r>
          </w:p>
        </w:tc>
        <w:tc>
          <w:tcPr>
            <w:tcW w:w="180" w:type="dxa"/>
            <w:vAlign w:val="bottom"/>
            <w:gridSpan w:val="2"/>
          </w:tcPr>
          <w:p>
            <w:pPr>
              <w:jc w:val="right"/>
              <w:ind w:right="20"/>
              <w:spacing w:after="0" w:line="12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29" w:lineRule="exact"/>
              <w:rPr>
                <w:sz w:val="20"/>
                <w:szCs w:val="20"/>
                <w:color w:val="auto"/>
              </w:rPr>
            </w:pPr>
            <w:r>
              <w:rPr>
                <w:rFonts w:ascii="Arial" w:cs="Arial" w:eastAsia="Arial" w:hAnsi="Arial"/>
                <w:sz w:val="14"/>
                <w:szCs w:val="14"/>
                <w:color w:val="auto"/>
                <w:w w:val="92"/>
              </w:rPr>
              <w:t>(4,020,565)</w:t>
            </w: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line="129" w:lineRule="exact"/>
              <w:rPr>
                <w:sz w:val="20"/>
                <w:szCs w:val="20"/>
                <w:color w:val="auto"/>
              </w:rPr>
            </w:pPr>
            <w:r>
              <w:rPr>
                <w:rFonts w:ascii="Arial" w:cs="Arial" w:eastAsia="Arial" w:hAnsi="Arial"/>
                <w:sz w:val="14"/>
                <w:szCs w:val="14"/>
                <w:color w:val="auto"/>
              </w:rPr>
              <w:t>(8,784,189)</w:t>
            </w:r>
          </w:p>
        </w:tc>
        <w:tc>
          <w:tcPr>
            <w:tcW w:w="16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66,075,585</w:t>
            </w:r>
          </w:p>
        </w:tc>
      </w:tr>
      <w:tr>
        <w:trPr>
          <w:trHeight w:val="270"/>
        </w:trPr>
        <w:tc>
          <w:tcPr>
            <w:tcW w:w="20" w:type="dxa"/>
            <w:vAlign w:val="bottom"/>
          </w:tcPr>
          <w:p>
            <w:pPr>
              <w:spacing w:after="0"/>
              <w:rPr>
                <w:sz w:val="23"/>
                <w:szCs w:val="23"/>
                <w:color w:val="auto"/>
              </w:rPr>
            </w:pPr>
          </w:p>
        </w:tc>
        <w:tc>
          <w:tcPr>
            <w:tcW w:w="180" w:type="dxa"/>
            <w:vAlign w:val="bottom"/>
            <w:tcBorders>
              <w:top w:val="single" w:sz="8" w:color="auto"/>
              <w:bottom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-290830</wp:posOffset>
            </wp:positionV>
            <wp:extent cx="5213985" cy="1117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13985" cy="111760"/>
                    </a:xfrm>
                    <a:prstGeom prst="rect">
                      <a:avLst/>
                    </a:prstGeom>
                    <a:noFill/>
                  </pic:spPr>
                </pic:pic>
              </a:graphicData>
            </a:graphic>
          </wp:anchor>
        </w:drawing>
      </w:r>
    </w:p>
    <w:p>
      <w:pPr>
        <w:spacing w:after="0" w:line="236" w:lineRule="exact"/>
        <w:rPr>
          <w:sz w:val="20"/>
          <w:szCs w:val="20"/>
          <w:color w:val="auto"/>
        </w:rPr>
      </w:pPr>
    </w:p>
    <w:p>
      <w:pPr>
        <w:ind w:left="300" w:right="819" w:hanging="272"/>
        <w:spacing w:after="0" w:line="277" w:lineRule="auto"/>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portfolio investments are non-control/non-affiliated and non-income producing, unless identified. Equity investments are subject to lock-up restrictions upon their initial public offering.</w:t>
      </w:r>
    </w:p>
    <w:p>
      <w:pPr>
        <w:spacing w:after="0" w:line="62" w:lineRule="exact"/>
        <w:rPr>
          <w:sz w:val="20"/>
          <w:szCs w:val="20"/>
          <w:color w:val="auto"/>
        </w:rPr>
      </w:pPr>
    </w:p>
    <w:p>
      <w:pPr>
        <w:ind w:left="300" w:right="939" w:hanging="272"/>
        <w:spacing w:after="0" w:line="277" w:lineRule="auto"/>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Indicates assets that GSV Capital Corp. believes do not represent “qualifying assets” under Section 55(a) of the Investment Company Act of 1940, as amended.</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is income producing.</w:t>
      </w:r>
    </w:p>
    <w:p>
      <w:pPr>
        <w:spacing w:after="0" w:line="117" w:lineRule="exact"/>
        <w:rPr>
          <w:sz w:val="20"/>
          <w:szCs w:val="20"/>
          <w:color w:val="auto"/>
        </w:rPr>
      </w:pPr>
    </w:p>
    <w:p>
      <w:pPr>
        <w:ind w:left="300" w:hanging="272"/>
        <w:spacing w:after="0"/>
        <w:tabs>
          <w:tab w:leader="none" w:pos="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GSV Capital Corp.’s investment in StormWind, LLC is held through its wholly owned subsidiary GSVC SW Holdings, Inc.</w:t>
      </w:r>
    </w:p>
    <w:p>
      <w:pPr>
        <w:spacing w:after="0" w:line="128" w:lineRule="exact"/>
        <w:rPr>
          <w:rFonts w:ascii="Arial" w:cs="Arial" w:eastAsia="Arial" w:hAnsi="Arial"/>
          <w:sz w:val="17"/>
          <w:szCs w:val="17"/>
          <w:color w:val="auto"/>
        </w:rPr>
      </w:pPr>
    </w:p>
    <w:p>
      <w:pPr>
        <w:jc w:val="both"/>
        <w:ind w:left="300" w:right="559" w:hanging="272"/>
        <w:spacing w:after="0" w:line="264"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GSV Capital Corp.’s investment in Whittle Schools, LLC is held through its wholly owned subsidiary GSVC WS Holdings, Inc. Whittle Schools, LLC is an investment that is collateralized by Avenues Global Holdings, LLC as well as the personal collateral of Chris Whittle, the former chairman of Avenues Global Holdings, LLC.</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Schedule 12-14 — Schedule of Investments in and Advances to Affiliates (unaudited) – (continued)</w:t>
      </w:r>
    </w:p>
    <w:p>
      <w:pPr>
        <w:spacing w:after="0" w:line="121" w:lineRule="exact"/>
        <w:rPr>
          <w:sz w:val="20"/>
          <w:szCs w:val="20"/>
          <w:color w:val="auto"/>
        </w:rPr>
      </w:pPr>
    </w:p>
    <w:p>
      <w:pPr>
        <w:ind w:left="280" w:right="759" w:hanging="272"/>
        <w:spacing w:after="0" w:line="277"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GSV Capital Corp.’s investment in Strategic Data Command, LLC is held through its wholly owned subsidiary GSVC SVDS Holdings, Inc.</w:t>
      </w:r>
    </w:p>
    <w:p>
      <w:pPr>
        <w:spacing w:after="0" w:line="62" w:lineRule="exact"/>
        <w:rPr>
          <w:rFonts w:ascii="Arial" w:cs="Arial" w:eastAsia="Arial" w:hAnsi="Arial"/>
          <w:sz w:val="18"/>
          <w:szCs w:val="18"/>
          <w:color w:val="auto"/>
        </w:rPr>
      </w:pPr>
    </w:p>
    <w:p>
      <w:pPr>
        <w:ind w:left="280" w:right="739" w:hanging="272"/>
        <w:spacing w:after="0" w:line="279" w:lineRule="auto"/>
        <w:tabs>
          <w:tab w:leader="none" w:pos="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 October 22, 2013, Cricket Media (f/k/a ePals Inc.) priced its initial public offering, selling 40,267,333 shares at a price of CAD $0.075 per share. At December 31, 2015, GSV Capital Corp. valued Cricket Media based on its December 31, 2015 closing price. GSV Capital Corp.’s Chief Executive Officer, Michael Moe, serves on the board of directors for Cricket Media, which subjects GSV Capital Corp. to insider trading restrictions under Canadian securities law.</w:t>
      </w:r>
    </w:p>
    <w:p>
      <w:pPr>
        <w:spacing w:after="0" w:line="63" w:lineRule="exact"/>
        <w:rPr>
          <w:rFonts w:ascii="Arial" w:cs="Arial" w:eastAsia="Arial" w:hAnsi="Arial"/>
          <w:sz w:val="17"/>
          <w:szCs w:val="17"/>
          <w:color w:val="auto"/>
        </w:rPr>
      </w:pPr>
    </w:p>
    <w:p>
      <w:pPr>
        <w:ind w:left="280" w:right="739" w:hanging="272"/>
        <w:spacing w:after="0" w:line="264" w:lineRule="auto"/>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will accrue daily on the unpaid principal balance of the note. Accrued interest is not payable until the earlier of (a) the closing of a subsequent equity offering by CUX, Inc. (d/b/a CorpU), or (b) the maturity of the note (November 26, 2018). Interest will compound annually beginning on November 26, 2015.</w:t>
      </w:r>
    </w:p>
    <w:p>
      <w:pPr>
        <w:spacing w:after="0" w:line="73" w:lineRule="exact"/>
        <w:rPr>
          <w:rFonts w:ascii="Arial" w:cs="Arial" w:eastAsia="Arial" w:hAnsi="Arial"/>
          <w:sz w:val="18"/>
          <w:szCs w:val="18"/>
          <w:color w:val="auto"/>
        </w:rPr>
      </w:pPr>
    </w:p>
    <w:p>
      <w:pPr>
        <w:ind w:left="280" w:right="599" w:hanging="272"/>
        <w:spacing w:after="0" w:line="273" w:lineRule="auto"/>
        <w:tabs>
          <w:tab w:leader="none" w:pos="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Subsequent to the filing of its annual report on Form 10-K for the fiscal year ended December 31, 2015, GSV Capital Corp. identified that its investment in Cricket Media was inappropriately included as an affiliate as of December 31, 2015 in the accompanying Schedule of Investments in and Advances to Affiliates. Therefore, the Schedule of Investments in and Advances to Affiliates included in this quarterly report has been corrected to remove all Cricket Media balances related to the year ended December 31, 2015, including the total fair value of $67,296. Management does not consider these amounts to be material to its previously issued Schedule of Investments in and Advances to Affiliates.</w:t>
      </w:r>
    </w:p>
    <w:p>
      <w:pPr>
        <w:spacing w:after="0" w:line="70" w:lineRule="exact"/>
        <w:rPr>
          <w:rFonts w:ascii="Arial" w:cs="Arial" w:eastAsia="Arial" w:hAnsi="Arial"/>
          <w:sz w:val="17"/>
          <w:szCs w:val="17"/>
          <w:color w:val="auto"/>
        </w:rPr>
      </w:pPr>
    </w:p>
    <w:p>
      <w:pPr>
        <w:ind w:left="280" w:right="619" w:hanging="272"/>
        <w:spacing w:after="0" w:line="286" w:lineRule="auto"/>
        <w:tabs>
          <w:tab w:leader="none" w:pos="2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Subsequent to the filing of GSV Capital Corp.’s annual report on Form 10-K for the fiscal year ended December 31, 2015, certain typographical formatting matters were identified where Schedule of Investments in and Advances to Affiliates activities were formatted in the incorrect columns. Such formatting matters have been corrected in this presentation.</w:t>
      </w:r>
    </w:p>
    <w:p>
      <w:pPr>
        <w:spacing w:after="0" w:line="200" w:lineRule="exact"/>
        <w:rPr>
          <w:sz w:val="20"/>
          <w:szCs w:val="20"/>
          <w:color w:val="auto"/>
        </w:rPr>
      </w:pPr>
    </w:p>
    <w:p>
      <w:pPr>
        <w:spacing w:after="0" w:line="30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40" w:right="679"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518858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88585" cy="8890"/>
                    </a:xfrm>
                    <a:prstGeom prst="rect">
                      <a:avLst/>
                    </a:prstGeom>
                    <a:noFill/>
                  </pic:spPr>
                </pic:pic>
              </a:graphicData>
            </a:graphic>
          </wp:anchor>
        </w:drawing>
      </w:r>
    </w:p>
    <w:p>
      <w:pPr>
        <w:spacing w:after="0" w:line="92"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GSV CAPITAL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9, 2016</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Michael T. Moe</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-130810</wp:posOffset>
            </wp:positionV>
            <wp:extent cx="24872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Executive Officer and Chairman of</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3920" w:right="4419" w:hanging="4289"/>
        <w:spacing w:after="0" w:line="273" w:lineRule="auto"/>
        <w:tabs>
          <w:tab w:leader="none" w:pos="390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9, 2016</w:t>
      </w:r>
      <w:r>
        <w:rPr>
          <w:sz w:val="20"/>
          <w:szCs w:val="20"/>
          <w:color w:val="auto"/>
        </w:rPr>
        <w:tab/>
      </w:r>
      <w:r>
        <w:rPr>
          <w:rFonts w:ascii="Arial" w:cs="Arial" w:eastAsia="Arial" w:hAnsi="Arial"/>
          <w:sz w:val="17"/>
          <w:szCs w:val="17"/>
          <w:b w:val="1"/>
          <w:bCs w:val="1"/>
          <w:color w:val="auto"/>
        </w:rPr>
        <w:t xml:space="preserve">By: </w:t>
      </w:r>
      <w:r>
        <w:rPr>
          <w:rFonts w:ascii="Arial" w:cs="Arial" w:eastAsia="Arial" w:hAnsi="Arial"/>
          <w:sz w:val="17"/>
          <w:szCs w:val="17"/>
          <w:color w:val="auto"/>
        </w:rPr>
        <w:t>/s/ William Tanona</w:t>
      </w:r>
      <w:r>
        <w:rPr>
          <w:rFonts w:ascii="Arial" w:cs="Arial" w:eastAsia="Arial" w:hAnsi="Arial"/>
          <w:sz w:val="17"/>
          <w:szCs w:val="17"/>
          <w:b w:val="1"/>
          <w:bCs w:val="1"/>
          <w:color w:val="auto"/>
        </w:rPr>
        <w:t xml:space="preserve"> </w:t>
      </w:r>
      <w:r>
        <w:rPr>
          <w:rFonts w:ascii="Arial" w:cs="Arial" w:eastAsia="Arial" w:hAnsi="Arial"/>
          <w:sz w:val="17"/>
          <w:szCs w:val="17"/>
          <w:color w:val="auto"/>
        </w:rPr>
        <w:t>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-144780</wp:posOffset>
            </wp:positionV>
            <wp:extent cx="248729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color w:val="auto"/>
        </w:rPr>
        <w:t>Chief Financial Officer, Treasurer and Secretary</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71" w:name="page72"/>
    <w:bookmarkEnd w:id="71"/>
    <w:p>
      <w:pPr>
        <w:jc w:val="right"/>
        <w:ind w:right="51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Michael T. Moe, certify that:</w:t>
      </w:r>
    </w:p>
    <w:p>
      <w:pPr>
        <w:spacing w:after="0" w:line="117" w:lineRule="exact"/>
        <w:rPr>
          <w:sz w:val="20"/>
          <w:szCs w:val="20"/>
          <w:color w:val="auto"/>
        </w:rPr>
      </w:pPr>
    </w:p>
    <w:p>
      <w:pPr>
        <w:ind w:left="540" w:hanging="26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Michael T. Moe</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72" w:name="page73"/>
    <w:bookmarkEnd w:id="72"/>
    <w:p>
      <w:pPr>
        <w:jc w:val="right"/>
        <w:ind w:right="5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William Tanona, certify that:</w:t>
      </w:r>
    </w:p>
    <w:p>
      <w:pPr>
        <w:spacing w:after="0" w:line="117" w:lineRule="exact"/>
        <w:rPr>
          <w:sz w:val="20"/>
          <w:szCs w:val="20"/>
          <w:color w:val="auto"/>
        </w:rPr>
      </w:pPr>
    </w:p>
    <w:p>
      <w:pPr>
        <w:ind w:left="540" w:hanging="26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GSV Capital Corp.;</w:t>
      </w:r>
    </w:p>
    <w:p>
      <w:pPr>
        <w:spacing w:after="0" w:line="117" w:lineRule="exact"/>
        <w:rPr>
          <w:rFonts w:ascii="Arial" w:cs="Arial" w:eastAsia="Arial" w:hAnsi="Arial"/>
          <w:sz w:val="18"/>
          <w:szCs w:val="18"/>
          <w:color w:val="auto"/>
        </w:rPr>
      </w:pPr>
    </w:p>
    <w:p>
      <w:pPr>
        <w:ind w:left="540" w:right="699" w:hanging="262"/>
        <w:spacing w:after="0" w:line="26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40" w:right="539" w:hanging="262"/>
        <w:spacing w:after="0" w:line="26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540" w:right="879" w:hanging="262"/>
        <w:spacing w:after="0" w:line="286"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820" w:right="819" w:hanging="272"/>
        <w:spacing w:after="0" w:line="259"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820" w:right="739" w:hanging="272"/>
        <w:spacing w:after="0" w:line="312" w:lineRule="auto"/>
        <w:tabs>
          <w:tab w:leader="none" w:pos="8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Arial" w:cs="Arial" w:eastAsia="Arial" w:hAnsi="Arial"/>
          <w:sz w:val="16"/>
          <w:szCs w:val="16"/>
          <w:color w:val="auto"/>
        </w:rPr>
      </w:pPr>
    </w:p>
    <w:p>
      <w:pPr>
        <w:ind w:left="820" w:right="599" w:hanging="272"/>
        <w:spacing w:after="0" w:line="264"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820" w:right="719" w:hanging="272"/>
        <w:spacing w:after="0" w:line="259"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ind w:left="540" w:right="819" w:hanging="262"/>
        <w:spacing w:after="0" w:line="26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3" w:lineRule="exact"/>
        <w:rPr>
          <w:rFonts w:ascii="Arial" w:cs="Arial" w:eastAsia="Arial" w:hAnsi="Arial"/>
          <w:sz w:val="18"/>
          <w:szCs w:val="18"/>
          <w:color w:val="auto"/>
        </w:rPr>
      </w:pPr>
    </w:p>
    <w:p>
      <w:pPr>
        <w:ind w:left="820" w:right="579" w:hanging="272"/>
        <w:spacing w:after="0" w:line="264"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Arial" w:cs="Arial" w:eastAsia="Arial" w:hAnsi="Arial"/>
          <w:sz w:val="18"/>
          <w:szCs w:val="18"/>
          <w:color w:val="auto"/>
        </w:rPr>
      </w:pPr>
    </w:p>
    <w:p>
      <w:pPr>
        <w:ind w:left="820" w:right="959" w:hanging="272"/>
        <w:spacing w:after="0" w:line="277" w:lineRule="auto"/>
        <w:tabs>
          <w:tab w:leader="none" w:pos="8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4445</wp:posOffset>
            </wp:positionV>
            <wp:extent cx="133794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b w:val="1"/>
          <w:bCs w:val="1"/>
          <w:color w:val="auto"/>
        </w:rPr>
        <w:t>William Tanona</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447675</wp:posOffset>
            </wp:positionV>
            <wp:extent cx="6114415"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351" w:right="1440" w:bottom="1440" w:gutter="0" w:footer="0" w:header="0"/>
        </w:sectPr>
      </w:pPr>
    </w:p>
    <w:bookmarkStart w:id="73" w:name="page74"/>
    <w:bookmarkEnd w:id="73"/>
    <w:p>
      <w:pPr>
        <w:jc w:val="right"/>
        <w:ind w:right="51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65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June 30, 2016 (the “Report”) of GSV Capital Corp. (the “Registrant”), as filed with the Securities and Exchange Commission on the date hereof, I, Michael T. Moe, the Chief Executive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Michael T. Moe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Michael T. Moe</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39"/>
          </w:cols>
          <w:pgMar w:left="420" w:top="351" w:right="1440" w:bottom="1440" w:gutter="0" w:footer="0" w:header="0"/>
        </w:sectPr>
      </w:pPr>
    </w:p>
    <w:bookmarkStart w:id="74" w:name="page75"/>
    <w:bookmarkEnd w:id="74"/>
    <w:p>
      <w:pPr>
        <w:jc w:val="right"/>
        <w:ind w:right="51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103" w:lineRule="exact"/>
        <w:rPr>
          <w:sz w:val="20"/>
          <w:szCs w:val="20"/>
          <w:color w:val="auto"/>
        </w:rPr>
      </w:pPr>
    </w:p>
    <w:p>
      <w:pPr>
        <w:ind w:right="519" w:firstLine="270"/>
        <w:spacing w:after="0" w:line="264" w:lineRule="auto"/>
        <w:rPr>
          <w:sz w:val="20"/>
          <w:szCs w:val="20"/>
          <w:color w:val="auto"/>
        </w:rPr>
      </w:pPr>
      <w:r>
        <w:rPr>
          <w:rFonts w:ascii="Arial" w:cs="Arial" w:eastAsia="Arial" w:hAnsi="Arial"/>
          <w:sz w:val="18"/>
          <w:szCs w:val="18"/>
          <w:color w:val="auto"/>
        </w:rPr>
        <w:t>In connection with the quarterly report on Form 10-Q for the period ended June 30, 2016 (the “Report”) of GSV Capital Corp. (the “Registrant”), as filed with the Securities and Exchange Commission on the date hereof, I, William Tanona, the Chief Financial Officer of the Registrant, hereby certify, to the best of my knowledge, that:</w:t>
      </w:r>
    </w:p>
    <w:p>
      <w:pPr>
        <w:spacing w:after="0" w:line="73" w:lineRule="exact"/>
        <w:rPr>
          <w:sz w:val="20"/>
          <w:szCs w:val="20"/>
          <w:color w:val="auto"/>
        </w:rPr>
      </w:pPr>
    </w:p>
    <w:p>
      <w:pPr>
        <w:ind w:left="500" w:right="1079" w:hanging="26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right="1119" w:hanging="26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62"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William Tanona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2060575</wp:posOffset>
            </wp:positionH>
            <wp:positionV relativeFrom="paragraph">
              <wp:posOffset>14605</wp:posOffset>
            </wp:positionV>
            <wp:extent cx="397891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978910" cy="17145"/>
                    </a:xfrm>
                    <a:prstGeom prst="rect">
                      <a:avLst/>
                    </a:prstGeom>
                    <a:noFill/>
                  </pic:spPr>
                </pic:pic>
              </a:graphicData>
            </a:graphic>
          </wp:anchor>
        </w:drawing>
      </w:r>
    </w:p>
    <w:p>
      <w:pPr>
        <w:spacing w:after="0" w:line="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Name: William Tanona</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447675</wp:posOffset>
            </wp:positionV>
            <wp:extent cx="6114415"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sectPr>
      <w:pgSz w:w="11900" w:h="16838" w:orient="portrait"/>
      <w:cols w:equalWidth="0" w:num="1">
        <w:col w:w="10039"/>
      </w:cols>
      <w:pgMar w:left="42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2"/>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4"/>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6"/>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2"/>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3"/>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2019-12-29T11:12:48Z</dcterms:created>
  <dcterms:modified xsi:type="dcterms:W3CDTF">2019-12-29T11:12:48Z</dcterms:modified>
</cp:coreProperties>
</file>