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199390</wp:posOffset>
            </wp:positionH>
            <wp:positionV relativeFrom="page">
              <wp:posOffset>267970</wp:posOffset>
            </wp:positionV>
            <wp:extent cx="7150100"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37465"/>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313055</wp:posOffset>
            </wp:positionV>
            <wp:extent cx="715010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2675890</wp:posOffset>
            </wp:positionH>
            <wp:positionV relativeFrom="paragraph">
              <wp:posOffset>146685</wp:posOffset>
            </wp:positionV>
            <wp:extent cx="179133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2675890</wp:posOffset>
            </wp:positionH>
            <wp:positionV relativeFrom="paragraph">
              <wp:posOffset>173355</wp:posOffset>
            </wp:positionV>
            <wp:extent cx="179133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92" w:lineRule="exact"/>
        <w:rPr>
          <w:sz w:val="24"/>
          <w:szCs w:val="24"/>
          <w:color w:val="auto"/>
        </w:rPr>
      </w:pPr>
    </w:p>
    <w:p>
      <w:pPr>
        <w:jc w:val="center"/>
        <w:ind w:left="3780" w:right="1720" w:hanging="2072"/>
        <w:spacing w:after="0" w:line="469" w:lineRule="auto"/>
        <w:tabs>
          <w:tab w:leader="none" w:pos="1888"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33" w:lineRule="exact"/>
        <w:rPr>
          <w:rFonts w:ascii="MS PGothic" w:cs="MS PGothic" w:eastAsia="MS PGothic" w:hAnsi="MS PGothic"/>
          <w:sz w:val="16"/>
          <w:szCs w:val="16"/>
          <w:color w:val="auto"/>
        </w:rPr>
      </w:pPr>
    </w:p>
    <w:p>
      <w:pPr>
        <w:jc w:val="center"/>
        <w:ind w:left="4140" w:right="1560" w:hanging="2593"/>
        <w:spacing w:after="0" w:line="518" w:lineRule="auto"/>
        <w:tabs>
          <w:tab w:leader="none" w:pos="172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2675890</wp:posOffset>
            </wp:positionH>
            <wp:positionV relativeFrom="paragraph">
              <wp:posOffset>15240</wp:posOffset>
            </wp:positionV>
            <wp:extent cx="179133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SuRo Capital Corp.</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2675890</wp:posOffset>
            </wp:positionH>
            <wp:positionV relativeFrom="paragraph">
              <wp:posOffset>151130</wp:posOffset>
            </wp:positionV>
            <wp:extent cx="179133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jc w:val="center"/>
              <w:ind w:left="1862"/>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940" w:type="dxa"/>
            <w:vAlign w:val="bottom"/>
          </w:tcPr>
          <w:p>
            <w:pPr>
              <w:jc w:val="right"/>
              <w:ind w:right="2302"/>
              <w:spacing w:after="0"/>
              <w:rPr>
                <w:sz w:val="20"/>
                <w:szCs w:val="20"/>
                <w:color w:val="auto"/>
              </w:rPr>
            </w:pPr>
            <w:r>
              <w:rPr>
                <w:rFonts w:ascii="Times New Roman" w:cs="Times New Roman" w:eastAsia="Times New Roman" w:hAnsi="Times New Roman"/>
                <w:sz w:val="16"/>
                <w:szCs w:val="16"/>
                <w:b w:val="1"/>
                <w:bCs w:val="1"/>
                <w:color w:val="auto"/>
              </w:rPr>
              <w:t>27-4443543</w:t>
            </w:r>
          </w:p>
        </w:tc>
      </w:tr>
      <w:tr>
        <w:trPr>
          <w:trHeight w:val="204"/>
        </w:trPr>
        <w:tc>
          <w:tcPr>
            <w:tcW w:w="3580" w:type="dxa"/>
            <w:vAlign w:val="bottom"/>
          </w:tcPr>
          <w:p>
            <w:pPr>
              <w:jc w:val="center"/>
              <w:ind w:left="1862"/>
              <w:spacing w:after="0"/>
              <w:rPr>
                <w:sz w:val="20"/>
                <w:szCs w:val="20"/>
                <w:color w:val="auto"/>
              </w:rPr>
            </w:pPr>
            <w:r>
              <w:rPr>
                <w:rFonts w:ascii="Times New Roman" w:cs="Times New Roman" w:eastAsia="Times New Roman" w:hAnsi="Times New Roman"/>
                <w:sz w:val="16"/>
                <w:szCs w:val="16"/>
                <w:color w:val="auto"/>
                <w:w w:val="98"/>
              </w:rPr>
              <w:t>(State of incorporation)</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40" w:type="dxa"/>
            <w:vAlign w:val="bottom"/>
          </w:tcPr>
          <w:p>
            <w:pPr>
              <w:jc w:val="center"/>
              <w:ind w:right="1502"/>
              <w:spacing w:after="0"/>
              <w:rPr>
                <w:sz w:val="20"/>
                <w:szCs w:val="20"/>
                <w:color w:val="auto"/>
              </w:rPr>
            </w:pPr>
            <w:r>
              <w:rPr>
                <w:rFonts w:ascii="Times New Roman" w:cs="Times New Roman" w:eastAsia="Times New Roman" w:hAnsi="Times New Roman"/>
                <w:sz w:val="16"/>
                <w:szCs w:val="16"/>
                <w:color w:val="auto"/>
                <w:w w:val="98"/>
              </w:rPr>
              <w:t>(I.R.S. Employer Identification No.)</w:t>
            </w:r>
          </w:p>
        </w:tc>
      </w:tr>
      <w:tr>
        <w:trPr>
          <w:trHeight w:val="361"/>
        </w:trPr>
        <w:tc>
          <w:tcPr>
            <w:tcW w:w="7320" w:type="dxa"/>
            <w:vAlign w:val="bottom"/>
            <w:gridSpan w:val="6"/>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w w:val="96"/>
              </w:rPr>
              <w:t>640 Fifth Avenue, 12th Floor, New York, NY</w:t>
            </w:r>
          </w:p>
        </w:tc>
        <w:tc>
          <w:tcPr>
            <w:tcW w:w="3940" w:type="dxa"/>
            <w:vAlign w:val="bottom"/>
          </w:tcPr>
          <w:p>
            <w:pPr>
              <w:jc w:val="right"/>
              <w:ind w:right="2482"/>
              <w:spacing w:after="0"/>
              <w:rPr>
                <w:sz w:val="20"/>
                <w:szCs w:val="20"/>
                <w:color w:val="auto"/>
              </w:rPr>
            </w:pPr>
            <w:r>
              <w:rPr>
                <w:rFonts w:ascii="Times New Roman" w:cs="Times New Roman" w:eastAsia="Times New Roman" w:hAnsi="Times New Roman"/>
                <w:sz w:val="16"/>
                <w:szCs w:val="16"/>
                <w:b w:val="1"/>
                <w:bCs w:val="1"/>
                <w:color w:val="auto"/>
              </w:rPr>
              <w:t>10019</w:t>
            </w:r>
          </w:p>
        </w:tc>
      </w:tr>
      <w:tr>
        <w:trPr>
          <w:trHeight w:val="204"/>
        </w:trPr>
        <w:tc>
          <w:tcPr>
            <w:tcW w:w="7320" w:type="dxa"/>
            <w:vAlign w:val="bottom"/>
            <w:gridSpan w:val="6"/>
          </w:tcPr>
          <w:p>
            <w:pPr>
              <w:jc w:val="center"/>
              <w:ind w:right="1800"/>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3940" w:type="dxa"/>
            <w:vAlign w:val="bottom"/>
          </w:tcPr>
          <w:p>
            <w:pPr>
              <w:jc w:val="center"/>
              <w:ind w:right="1502"/>
              <w:spacing w:after="0"/>
              <w:rPr>
                <w:sz w:val="20"/>
                <w:szCs w:val="20"/>
                <w:color w:val="auto"/>
              </w:rPr>
            </w:pPr>
            <w:r>
              <w:rPr>
                <w:rFonts w:ascii="Times New Roman" w:cs="Times New Roman" w:eastAsia="Times New Roman" w:hAnsi="Times New Roman"/>
                <w:sz w:val="16"/>
                <w:szCs w:val="16"/>
                <w:color w:val="auto"/>
                <w:w w:val="96"/>
              </w:rPr>
              <w:t>(Zip Code)</w:t>
            </w:r>
          </w:p>
        </w:tc>
      </w:tr>
      <w:tr>
        <w:trPr>
          <w:trHeight w:val="361"/>
        </w:trPr>
        <w:tc>
          <w:tcPr>
            <w:tcW w:w="3580" w:type="dxa"/>
            <w:vAlign w:val="bottom"/>
          </w:tcPr>
          <w:p>
            <w:pPr>
              <w:spacing w:after="0"/>
              <w:rPr>
                <w:sz w:val="24"/>
                <w:szCs w:val="24"/>
                <w:color w:val="auto"/>
              </w:rPr>
            </w:pPr>
          </w:p>
        </w:tc>
        <w:tc>
          <w:tcPr>
            <w:tcW w:w="3180" w:type="dxa"/>
            <w:vAlign w:val="bottom"/>
            <w:gridSpan w:val="3"/>
          </w:tcPr>
          <w:p>
            <w:pPr>
              <w:jc w:val="center"/>
              <w:ind w:left="842"/>
              <w:spacing w:after="0"/>
              <w:rPr>
                <w:sz w:val="20"/>
                <w:szCs w:val="20"/>
                <w:color w:val="auto"/>
              </w:rPr>
            </w:pPr>
            <w:r>
              <w:rPr>
                <w:rFonts w:ascii="Times New Roman" w:cs="Times New Roman" w:eastAsia="Times New Roman" w:hAnsi="Times New Roman"/>
                <w:sz w:val="16"/>
                <w:szCs w:val="16"/>
                <w:b w:val="1"/>
                <w:bCs w:val="1"/>
                <w:color w:val="auto"/>
                <w:w w:val="97"/>
              </w:rPr>
              <w:t>(212) 931-6331</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04"/>
        </w:trPr>
        <w:tc>
          <w:tcPr>
            <w:tcW w:w="3580" w:type="dxa"/>
            <w:vAlign w:val="bottom"/>
          </w:tcPr>
          <w:p>
            <w:pPr>
              <w:spacing w:after="0"/>
              <w:rPr>
                <w:sz w:val="17"/>
                <w:szCs w:val="17"/>
                <w:color w:val="auto"/>
              </w:rPr>
            </w:pPr>
          </w:p>
        </w:tc>
        <w:tc>
          <w:tcPr>
            <w:tcW w:w="3740" w:type="dxa"/>
            <w:vAlign w:val="bottom"/>
            <w:gridSpan w:val="5"/>
          </w:tcPr>
          <w:p>
            <w:pPr>
              <w:jc w:val="center"/>
              <w:ind w:left="262"/>
              <w:spacing w:after="0"/>
              <w:rPr>
                <w:sz w:val="20"/>
                <w:szCs w:val="20"/>
                <w:color w:val="auto"/>
              </w:rPr>
            </w:pPr>
            <w:r>
              <w:rPr>
                <w:rFonts w:ascii="Times New Roman" w:cs="Times New Roman" w:eastAsia="Times New Roman" w:hAnsi="Times New Roman"/>
                <w:sz w:val="16"/>
                <w:szCs w:val="16"/>
                <w:color w:val="auto"/>
                <w:w w:val="97"/>
              </w:rPr>
              <w:t>(Registrant’s telephone number, including area code)</w:t>
            </w:r>
          </w:p>
        </w:tc>
        <w:tc>
          <w:tcPr>
            <w:tcW w:w="3940" w:type="dxa"/>
            <w:vAlign w:val="bottom"/>
          </w:tcPr>
          <w:p>
            <w:pPr>
              <w:spacing w:after="0"/>
              <w:rPr>
                <w:sz w:val="17"/>
                <w:szCs w:val="17"/>
                <w:color w:val="auto"/>
              </w:rPr>
            </w:pPr>
          </w:p>
        </w:tc>
      </w:tr>
      <w:tr>
        <w:trPr>
          <w:trHeight w:val="376"/>
        </w:trPr>
        <w:tc>
          <w:tcPr>
            <w:tcW w:w="3580" w:type="dxa"/>
            <w:vAlign w:val="bottom"/>
          </w:tcPr>
          <w:p>
            <w:pPr>
              <w:spacing w:after="0"/>
              <w:rPr>
                <w:sz w:val="24"/>
                <w:szCs w:val="24"/>
                <w:color w:val="auto"/>
              </w:rPr>
            </w:pPr>
          </w:p>
        </w:tc>
        <w:tc>
          <w:tcPr>
            <w:tcW w:w="7680" w:type="dxa"/>
            <w:vAlign w:val="bottom"/>
            <w:gridSpan w:val="6"/>
          </w:tcPr>
          <w:p>
            <w:pPr>
              <w:jc w:val="center"/>
              <w:ind w:right="3522"/>
              <w:spacing w:after="0"/>
              <w:rPr>
                <w:sz w:val="20"/>
                <w:szCs w:val="20"/>
                <w:color w:val="auto"/>
              </w:rPr>
            </w:pPr>
            <w:r>
              <w:rPr>
                <w:rFonts w:ascii="Times New Roman" w:cs="Times New Roman" w:eastAsia="Times New Roman" w:hAnsi="Times New Roman"/>
                <w:sz w:val="16"/>
                <w:szCs w:val="16"/>
                <w:b w:val="1"/>
                <w:bCs w:val="1"/>
                <w:color w:val="auto"/>
                <w:w w:val="97"/>
              </w:rPr>
              <w:t>Securities Registered Pursuant to Section 12(b) of the Act:</w:t>
            </w:r>
          </w:p>
        </w:tc>
      </w:tr>
      <w:tr>
        <w:trPr>
          <w:trHeight w:val="392"/>
        </w:trPr>
        <w:tc>
          <w:tcPr>
            <w:tcW w:w="3580" w:type="dxa"/>
            <w:vAlign w:val="bottom"/>
          </w:tcPr>
          <w:p>
            <w:pPr>
              <w:jc w:val="center"/>
              <w:ind w:left="622"/>
              <w:spacing w:after="0"/>
              <w:rPr>
                <w:sz w:val="20"/>
                <w:szCs w:val="20"/>
                <w:color w:val="auto"/>
              </w:rPr>
            </w:pPr>
            <w:r>
              <w:rPr>
                <w:rFonts w:ascii="Times New Roman" w:cs="Times New Roman" w:eastAsia="Times New Roman" w:hAnsi="Times New Roman"/>
                <w:sz w:val="16"/>
                <w:szCs w:val="16"/>
                <w:b w:val="1"/>
                <w:bCs w:val="1"/>
                <w:color w:val="auto"/>
                <w:w w:val="96"/>
              </w:rPr>
              <w:t>Title of Each Class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940" w:type="dxa"/>
            <w:vAlign w:val="bottom"/>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w w:val="97"/>
              </w:rPr>
              <w:t>Name of Each Exchange on Which Registered</w:t>
            </w:r>
          </w:p>
        </w:tc>
      </w:tr>
      <w:tr>
        <w:trPr>
          <w:trHeight w:val="172"/>
        </w:trPr>
        <w:tc>
          <w:tcPr>
            <w:tcW w:w="3580" w:type="dxa"/>
            <w:vAlign w:val="bottom"/>
            <w:tcBorders>
              <w:top w:val="single" w:sz="8" w:color="auto"/>
            </w:tcBorders>
          </w:tcPr>
          <w:p>
            <w:pPr>
              <w:jc w:val="center"/>
              <w:ind w:left="622"/>
              <w:spacing w:after="0" w:line="171" w:lineRule="exact"/>
              <w:rPr>
                <w:sz w:val="20"/>
                <w:szCs w:val="20"/>
                <w:color w:val="auto"/>
              </w:rPr>
            </w:pPr>
            <w:r>
              <w:rPr>
                <w:rFonts w:ascii="Times New Roman" w:cs="Times New Roman" w:eastAsia="Times New Roman" w:hAnsi="Times New Roman"/>
                <w:sz w:val="16"/>
                <w:szCs w:val="16"/>
                <w:color w:val="auto"/>
                <w:w w:val="98"/>
              </w:rPr>
              <w:t>Common Stock, par value $0.01 per share</w:t>
            </w: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Borders>
              <w:top w:val="single" w:sz="8" w:color="auto"/>
            </w:tcBorders>
          </w:tcPr>
          <w:p>
            <w:pPr>
              <w:jc w:val="center"/>
              <w:spacing w:after="0" w:line="171" w:lineRule="exact"/>
              <w:rPr>
                <w:sz w:val="20"/>
                <w:szCs w:val="20"/>
                <w:color w:val="auto"/>
              </w:rPr>
            </w:pPr>
            <w:r>
              <w:rPr>
                <w:rFonts w:ascii="Times New Roman" w:cs="Times New Roman" w:eastAsia="Times New Roman" w:hAnsi="Times New Roman"/>
                <w:sz w:val="16"/>
                <w:szCs w:val="16"/>
                <w:color w:val="auto"/>
                <w:w w:val="95"/>
              </w:rPr>
              <w:t>SSSS</w:t>
            </w:r>
          </w:p>
        </w:tc>
        <w:tc>
          <w:tcPr>
            <w:tcW w:w="2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940" w:type="dxa"/>
            <w:vAlign w:val="bottom"/>
            <w:tcBorders>
              <w:top w:val="single" w:sz="8" w:color="auto"/>
            </w:tcBorders>
          </w:tcPr>
          <w:p>
            <w:pPr>
              <w:jc w:val="center"/>
              <w:ind w:right="262"/>
              <w:spacing w:after="0" w:line="171" w:lineRule="exact"/>
              <w:rPr>
                <w:sz w:val="20"/>
                <w:szCs w:val="20"/>
                <w:color w:val="auto"/>
              </w:rPr>
            </w:pPr>
            <w:r>
              <w:rPr>
                <w:rFonts w:ascii="Times New Roman" w:cs="Times New Roman" w:eastAsia="Times New Roman" w:hAnsi="Times New Roman"/>
                <w:sz w:val="16"/>
                <w:szCs w:val="16"/>
                <w:color w:val="auto"/>
                <w:w w:val="97"/>
              </w:rPr>
              <w:t>Nasdaq Global Select Market</w:t>
            </w:r>
          </w:p>
        </w:tc>
      </w:tr>
      <w:tr>
        <w:trPr>
          <w:trHeight w:val="204"/>
        </w:trPr>
        <w:tc>
          <w:tcPr>
            <w:tcW w:w="3580" w:type="dxa"/>
            <w:vAlign w:val="bottom"/>
          </w:tcPr>
          <w:p>
            <w:pPr>
              <w:jc w:val="center"/>
              <w:ind w:left="622"/>
              <w:spacing w:after="0"/>
              <w:rPr>
                <w:sz w:val="20"/>
                <w:szCs w:val="20"/>
                <w:color w:val="auto"/>
              </w:rPr>
            </w:pPr>
            <w:r>
              <w:rPr>
                <w:rFonts w:ascii="Times New Roman" w:cs="Times New Roman" w:eastAsia="Times New Roman" w:hAnsi="Times New Roman"/>
                <w:sz w:val="16"/>
                <w:szCs w:val="16"/>
                <w:color w:val="auto"/>
                <w:w w:val="98"/>
              </w:rPr>
              <w:t>6.00% Notes due 2026</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rPr>
              <w:t>SSSSL</w:t>
            </w:r>
          </w:p>
        </w:tc>
        <w:tc>
          <w:tcPr>
            <w:tcW w:w="3940" w:type="dxa"/>
            <w:vAlign w:val="bottom"/>
          </w:tcPr>
          <w:p>
            <w:pPr>
              <w:jc w:val="center"/>
              <w:ind w:right="262"/>
              <w:spacing w:after="0"/>
              <w:rPr>
                <w:sz w:val="20"/>
                <w:szCs w:val="20"/>
                <w:color w:val="auto"/>
              </w:rPr>
            </w:pPr>
            <w:r>
              <w:rPr>
                <w:rFonts w:ascii="Times New Roman" w:cs="Times New Roman" w:eastAsia="Times New Roman" w:hAnsi="Times New Roman"/>
                <w:sz w:val="16"/>
                <w:szCs w:val="16"/>
                <w:color w:val="auto"/>
                <w:w w:val="97"/>
              </w:rPr>
              <w:t>Nasdaq Global Select Market</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60" w:lineRule="exact"/>
        <w:rPr>
          <w:sz w:val="24"/>
          <w:szCs w:val="24"/>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2" w:lineRule="exact"/>
        <w:rPr>
          <w:sz w:val="24"/>
          <w:szCs w:val="24"/>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6" w:lineRule="exact"/>
        <w:rPr>
          <w:sz w:val="24"/>
          <w:szCs w:val="24"/>
          <w:color w:val="auto"/>
        </w:rPr>
      </w:pPr>
    </w:p>
    <w:p>
      <w:pPr>
        <w:jc w:val="both"/>
        <w:ind w:right="20" w:firstLine="282"/>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7" w:lineRule="exact"/>
        <w:rPr>
          <w:sz w:val="24"/>
          <w:szCs w:val="24"/>
          <w:color w:val="auto"/>
        </w:rPr>
      </w:pPr>
    </w:p>
    <w:p>
      <w:pPr>
        <w:jc w:val="both"/>
        <w:ind w:right="20" w:firstLine="282"/>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7" w:lineRule="exact"/>
        <w:rPr>
          <w:sz w:val="24"/>
          <w:szCs w:val="24"/>
          <w:color w:val="auto"/>
        </w:rPr>
      </w:pPr>
    </w:p>
    <w:p>
      <w:pPr>
        <w:jc w:val="both"/>
        <w:ind w:right="20" w:firstLine="282"/>
        <w:spacing w:after="0" w:line="30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98" w:orient="portrait"/>
          <w:cols w:equalWidth="0" w:num="1">
            <w:col w:w="11260"/>
          </w:cols>
          <w:pgMar w:left="320" w:top="661" w:right="319" w:bottom="0" w:gutter="0" w:footer="0" w:header="0"/>
        </w:sectPr>
      </w:pPr>
    </w:p>
    <w:p>
      <w:pPr>
        <w:spacing w:after="0" w:line="93" w:lineRule="exact"/>
        <w:rPr>
          <w:sz w:val="24"/>
          <w:szCs w:val="24"/>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56" w:lineRule="exact"/>
        <w:rPr>
          <w:sz w:val="24"/>
          <w:szCs w:val="24"/>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4" w:lineRule="exact"/>
        <w:rPr>
          <w:sz w:val="24"/>
          <w:szCs w:val="24"/>
          <w:color w:val="auto"/>
        </w:rPr>
      </w:pPr>
    </w:p>
    <w:p>
      <w:pPr>
        <w:ind w:left="28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374" w:lineRule="exact"/>
        <w:rPr>
          <w:sz w:val="24"/>
          <w:szCs w:val="24"/>
          <w:color w:val="auto"/>
        </w:rPr>
      </w:pPr>
    </w:p>
    <w:p>
      <w:pPr>
        <w:sectPr>
          <w:pgSz w:w="11900" w:h="16898" w:orient="portrait"/>
          <w:cols w:equalWidth="0" w:num="2">
            <w:col w:w="6520" w:space="720"/>
            <w:col w:w="4020"/>
          </w:cols>
          <w:pgMar w:left="320" w:top="661" w:right="319" w:bottom="0" w:gutter="0" w:footer="0" w:header="0"/>
          <w:type w:val="continuous"/>
        </w:sectPr>
      </w:pPr>
    </w:p>
    <w:p>
      <w:pPr>
        <w:jc w:val="both"/>
        <w:ind w:firstLine="282"/>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7" w:lineRule="exact"/>
        <w:rPr>
          <w:sz w:val="24"/>
          <w:szCs w:val="24"/>
          <w:color w:val="auto"/>
        </w:rPr>
      </w:pPr>
    </w:p>
    <w:p>
      <w:pPr>
        <w:jc w:val="both"/>
        <w:ind w:right="20" w:firstLine="282"/>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47" w:lineRule="exact"/>
        <w:rPr>
          <w:sz w:val="24"/>
          <w:szCs w:val="24"/>
          <w:color w:val="auto"/>
        </w:rPr>
      </w:pPr>
    </w:p>
    <w:p>
      <w:pPr>
        <w:jc w:val="both"/>
        <w:ind w:right="20" w:firstLine="282"/>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47" w:lineRule="exact"/>
        <w:rPr>
          <w:sz w:val="24"/>
          <w:szCs w:val="24"/>
          <w:color w:val="auto"/>
        </w:rPr>
      </w:pPr>
    </w:p>
    <w:p>
      <w:pPr>
        <w:jc w:val="both"/>
        <w:ind w:firstLine="282"/>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13" w:lineRule="exact"/>
        <w:rPr>
          <w:sz w:val="24"/>
          <w:szCs w:val="24"/>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6" w:lineRule="exact"/>
        <w:rPr>
          <w:sz w:val="24"/>
          <w:szCs w:val="24"/>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The aggregate market value of common stock beneficially owned by non-affiliates of the Registrant on June 30, 2023, based on the closing price on that date of $3.20 on the Nasdaq Global Select Market, was $77,250,963. For the purposes of calculating this amount only, all interested directors and executive officers of the Registrant have been treated as affiliates. The issuer had 25,353,284 shares of common stock, $0.01 par value per share, outstanding as of March 13, 2024.</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94" w:lineRule="exact"/>
        <w:rPr>
          <w:sz w:val="24"/>
          <w:szCs w:val="24"/>
          <w:color w:val="auto"/>
        </w:rPr>
      </w:pPr>
    </w:p>
    <w:p>
      <w:pPr>
        <w:jc w:val="both"/>
        <w:ind w:firstLine="282"/>
        <w:spacing w:after="0" w:line="304" w:lineRule="auto"/>
        <w:rPr>
          <w:sz w:val="20"/>
          <w:szCs w:val="20"/>
          <w:color w:val="auto"/>
        </w:rPr>
      </w:pPr>
      <w:r>
        <w:rPr>
          <w:rFonts w:ascii="Times New Roman" w:cs="Times New Roman" w:eastAsia="Times New Roman" w:hAnsi="Times New Roman"/>
          <w:sz w:val="15"/>
          <w:szCs w:val="15"/>
          <w:color w:val="auto"/>
        </w:rPr>
        <w:t>Portions of the Registrant’s definitive proxy statement relating to the Registrant’s 2024 annual meeting of stockholders (the “2024 Proxy Statement”), to be filed with the Securities and Exchange Commission (the “SEC”) within 120 days following the end of the Registrant’s fiscal year, are incorporated by reference in Part III of this annual report</w:t>
      </w:r>
    </w:p>
    <w:p>
      <w:pPr>
        <w:sectPr>
          <w:pgSz w:w="11900" w:h="16898" w:orient="portrait"/>
          <w:cols w:equalWidth="0" w:num="1">
            <w:col w:w="11260"/>
          </w:cols>
          <w:pgMar w:left="320" w:top="661" w:right="31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auto"/>
        </w:rPr>
        <w:t>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715010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15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161925</wp:posOffset>
            </wp:positionV>
            <wp:extent cx="7150100"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100" cy="374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438150</wp:posOffset>
            </wp:positionV>
            <wp:extent cx="715010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6"/>
        </w:trPr>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4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SURO CAPITAL CORP.</w:t>
            </w:r>
          </w:p>
        </w:tc>
        <w:tc>
          <w:tcPr>
            <w:tcW w:w="580" w:type="dxa"/>
            <w:vAlign w:val="bottom"/>
          </w:tcPr>
          <w:p>
            <w:pPr>
              <w:spacing w:after="0"/>
              <w:rPr>
                <w:sz w:val="17"/>
                <w:szCs w:val="17"/>
                <w:color w:val="auto"/>
              </w:rPr>
            </w:pPr>
          </w:p>
        </w:tc>
      </w:tr>
      <w:tr>
        <w:trPr>
          <w:trHeight w:val="376"/>
        </w:trPr>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40" w:type="dxa"/>
            <w:vAlign w:val="bottom"/>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580" w:type="dxa"/>
            <w:vAlign w:val="bottom"/>
          </w:tcPr>
          <w:p>
            <w:pPr>
              <w:spacing w:after="0"/>
              <w:rPr>
                <w:sz w:val="24"/>
                <w:szCs w:val="24"/>
                <w:color w:val="auto"/>
              </w:rPr>
            </w:pPr>
          </w:p>
        </w:tc>
      </w:tr>
      <w:tr>
        <w:trPr>
          <w:trHeight w:val="392"/>
        </w:trPr>
        <w:tc>
          <w:tcPr>
            <w:tcW w:w="8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8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8"/>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5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53"/>
        </w:trPr>
        <w:tc>
          <w:tcPr>
            <w:tcW w:w="84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Item 1.</w:t>
            </w:r>
          </w:p>
        </w:tc>
        <w:tc>
          <w:tcPr>
            <w:tcW w:w="560" w:type="dxa"/>
            <w:vAlign w:val="bottom"/>
            <w:tcBorders>
              <w:bottom w:val="single" w:sz="8" w:color="0000EE"/>
            </w:tcBorders>
          </w:tcPr>
          <w:p>
            <w:pPr>
              <w:spacing w:after="0" w:line="153" w:lineRule="exact"/>
              <w:rPr>
                <w:sz w:val="20"/>
                <w:szCs w:val="20"/>
                <w:color w:val="auto"/>
              </w:rPr>
            </w:pPr>
            <w:r>
              <w:rPr>
                <w:rFonts w:ascii="Times New Roman" w:cs="Times New Roman" w:eastAsia="Times New Roman" w:hAnsi="Times New Roman"/>
                <w:sz w:val="16"/>
                <w:szCs w:val="16"/>
                <w:color w:val="0000EE"/>
                <w:w w:val="94"/>
              </w:rPr>
              <w:t>Business</w:t>
            </w:r>
          </w:p>
        </w:tc>
        <w:tc>
          <w:tcPr>
            <w:tcW w:w="9280" w:type="dxa"/>
            <w:vAlign w:val="bottom"/>
            <w:gridSpan w:val="20"/>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1</w:t>
            </w:r>
          </w:p>
        </w:tc>
      </w:tr>
      <w:tr>
        <w:trPr>
          <w:trHeight w:val="168"/>
        </w:trPr>
        <w:tc>
          <w:tcPr>
            <w:tcW w:w="8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1A.</w:t>
            </w:r>
          </w:p>
        </w:tc>
        <w:tc>
          <w:tcPr>
            <w:tcW w:w="9840" w:type="dxa"/>
            <w:vAlign w:val="bottom"/>
            <w:gridSpan w:val="21"/>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Risk Factors</w:t>
            </w: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16</w:t>
            </w:r>
          </w:p>
        </w:tc>
      </w:tr>
      <w:tr>
        <w:trPr>
          <w:trHeight w:val="35"/>
        </w:trPr>
        <w:tc>
          <w:tcPr>
            <w:tcW w:w="84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8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53"/>
        </w:trPr>
        <w:tc>
          <w:tcPr>
            <w:tcW w:w="84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Item 1B.</w:t>
            </w:r>
          </w:p>
        </w:tc>
        <w:tc>
          <w:tcPr>
            <w:tcW w:w="9840" w:type="dxa"/>
            <w:vAlign w:val="bottom"/>
            <w:gridSpan w:val="21"/>
          </w:tcPr>
          <w:p>
            <w:pPr>
              <w:spacing w:after="0" w:line="153" w:lineRule="exact"/>
              <w:rPr>
                <w:sz w:val="20"/>
                <w:szCs w:val="20"/>
                <w:color w:val="auto"/>
              </w:rPr>
            </w:pPr>
            <w:r>
              <w:rPr>
                <w:rFonts w:ascii="Times New Roman" w:cs="Times New Roman" w:eastAsia="Times New Roman" w:hAnsi="Times New Roman"/>
                <w:sz w:val="16"/>
                <w:szCs w:val="16"/>
                <w:color w:val="0000EE"/>
              </w:rPr>
              <w:t>Unresolved Staff Comments</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46</w:t>
            </w:r>
          </w:p>
        </w:tc>
      </w:tr>
      <w:tr>
        <w:trPr>
          <w:trHeight w:val="183"/>
        </w:trPr>
        <w:tc>
          <w:tcPr>
            <w:tcW w:w="84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1C.</w:t>
            </w:r>
          </w:p>
        </w:tc>
        <w:tc>
          <w:tcPr>
            <w:tcW w:w="880" w:type="dxa"/>
            <w:vAlign w:val="bottom"/>
            <w:tcBorders>
              <w:top w:val="single" w:sz="8" w:color="0000EE"/>
              <w:bottom w:val="single" w:sz="8" w:color="0000EE"/>
            </w:tcBorders>
            <w:gridSpan w:val="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5"/>
              </w:rPr>
              <w:t>Cybersecurity</w:t>
            </w:r>
          </w:p>
        </w:tc>
        <w:tc>
          <w:tcPr>
            <w:tcW w:w="900" w:type="dxa"/>
            <w:vAlign w:val="bottom"/>
            <w:tcBorders>
              <w:top w:val="single" w:sz="8" w:color="0000EE"/>
              <w:bottom w:val="single" w:sz="8" w:color="CCEEFF"/>
            </w:tcBorders>
            <w:gridSpan w:val="5"/>
            <w:shd w:val="clear" w:color="auto" w:fill="CCEEFF"/>
          </w:tcPr>
          <w:p>
            <w:pPr>
              <w:spacing w:after="0"/>
              <w:rPr>
                <w:sz w:val="15"/>
                <w:szCs w:val="15"/>
                <w:color w:val="auto"/>
              </w:rPr>
            </w:pPr>
          </w:p>
        </w:tc>
        <w:tc>
          <w:tcPr>
            <w:tcW w:w="8060" w:type="dxa"/>
            <w:vAlign w:val="bottom"/>
            <w:tcBorders>
              <w:bottom w:val="single" w:sz="8" w:color="CCEEFF"/>
            </w:tcBorders>
            <w:gridSpan w:val="12"/>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46</w:t>
            </w:r>
          </w:p>
        </w:tc>
      </w:tr>
      <w:tr>
        <w:trPr>
          <w:trHeight w:val="153"/>
        </w:trPr>
        <w:tc>
          <w:tcPr>
            <w:tcW w:w="84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Item 2.</w:t>
            </w:r>
          </w:p>
        </w:tc>
        <w:tc>
          <w:tcPr>
            <w:tcW w:w="660" w:type="dxa"/>
            <w:vAlign w:val="bottom"/>
            <w:tcBorders>
              <w:bottom w:val="single" w:sz="8" w:color="0000EE"/>
            </w:tcBorders>
            <w:gridSpan w:val="2"/>
          </w:tcPr>
          <w:p>
            <w:pPr>
              <w:spacing w:after="0" w:line="153" w:lineRule="exact"/>
              <w:rPr>
                <w:sz w:val="20"/>
                <w:szCs w:val="20"/>
                <w:color w:val="auto"/>
              </w:rPr>
            </w:pPr>
            <w:r>
              <w:rPr>
                <w:rFonts w:ascii="Times New Roman" w:cs="Times New Roman" w:eastAsia="Times New Roman" w:hAnsi="Times New Roman"/>
                <w:sz w:val="16"/>
                <w:szCs w:val="16"/>
                <w:color w:val="0000EE"/>
                <w:w w:val="95"/>
              </w:rPr>
              <w:t>Properties</w:t>
            </w:r>
          </w:p>
        </w:tc>
        <w:tc>
          <w:tcPr>
            <w:tcW w:w="9180" w:type="dxa"/>
            <w:vAlign w:val="bottom"/>
            <w:gridSpan w:val="19"/>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46</w:t>
            </w:r>
          </w:p>
        </w:tc>
      </w:tr>
      <w:tr>
        <w:trPr>
          <w:trHeight w:val="168"/>
        </w:trPr>
        <w:tc>
          <w:tcPr>
            <w:tcW w:w="8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3.</w:t>
            </w:r>
          </w:p>
        </w:tc>
        <w:tc>
          <w:tcPr>
            <w:tcW w:w="9840" w:type="dxa"/>
            <w:vAlign w:val="bottom"/>
            <w:gridSpan w:val="21"/>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Legal Proceedings</w:t>
            </w: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46</w:t>
            </w:r>
          </w:p>
        </w:tc>
      </w:tr>
      <w:tr>
        <w:trPr>
          <w:trHeight w:val="35"/>
        </w:trPr>
        <w:tc>
          <w:tcPr>
            <w:tcW w:w="84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8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53"/>
        </w:trPr>
        <w:tc>
          <w:tcPr>
            <w:tcW w:w="84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Item 4.</w:t>
            </w:r>
          </w:p>
        </w:tc>
        <w:tc>
          <w:tcPr>
            <w:tcW w:w="9840" w:type="dxa"/>
            <w:vAlign w:val="bottom"/>
            <w:gridSpan w:val="21"/>
          </w:tcPr>
          <w:p>
            <w:pPr>
              <w:spacing w:after="0" w:line="153" w:lineRule="exact"/>
              <w:rPr>
                <w:sz w:val="20"/>
                <w:szCs w:val="20"/>
                <w:color w:val="auto"/>
              </w:rPr>
            </w:pPr>
            <w:r>
              <w:rPr>
                <w:rFonts w:ascii="Times New Roman" w:cs="Times New Roman" w:eastAsia="Times New Roman" w:hAnsi="Times New Roman"/>
                <w:sz w:val="16"/>
                <w:szCs w:val="16"/>
                <w:color w:val="0000EE"/>
              </w:rPr>
              <w:t>Mine Safety Disclosures</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46</w:t>
            </w:r>
          </w:p>
        </w:tc>
      </w:tr>
      <w:tr>
        <w:trPr>
          <w:trHeight w:val="203"/>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5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right w:val="single" w:sz="8" w:color="CCEEFF"/>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right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53"/>
        </w:trPr>
        <w:tc>
          <w:tcPr>
            <w:tcW w:w="84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Item 5.</w:t>
            </w:r>
          </w:p>
        </w:tc>
        <w:tc>
          <w:tcPr>
            <w:tcW w:w="9840" w:type="dxa"/>
            <w:vAlign w:val="bottom"/>
            <w:gridSpan w:val="21"/>
          </w:tcPr>
          <w:p>
            <w:pPr>
              <w:spacing w:after="0" w:line="153" w:lineRule="exact"/>
              <w:rPr>
                <w:sz w:val="20"/>
                <w:szCs w:val="20"/>
                <w:color w:val="auto"/>
              </w:rPr>
            </w:pPr>
            <w:r>
              <w:rPr>
                <w:rFonts w:ascii="Times New Roman" w:cs="Times New Roman" w:eastAsia="Times New Roman" w:hAnsi="Times New Roman"/>
                <w:sz w:val="16"/>
                <w:szCs w:val="16"/>
                <w:color w:val="0000EE"/>
              </w:rPr>
              <w:t>Market for Registrant’s Common Equity, Related Stockholder Matters and Issuer Purchases of Equity Securities</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47</w:t>
            </w:r>
          </w:p>
        </w:tc>
      </w:tr>
      <w:tr>
        <w:trPr>
          <w:trHeight w:val="168"/>
        </w:trPr>
        <w:tc>
          <w:tcPr>
            <w:tcW w:w="8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6.</w:t>
            </w:r>
          </w:p>
        </w:tc>
        <w:tc>
          <w:tcPr>
            <w:tcW w:w="7020" w:type="dxa"/>
            <w:vAlign w:val="bottom"/>
            <w:tcBorders>
              <w:top w:val="single" w:sz="8" w:color="0000EE"/>
            </w:tcBorders>
            <w:gridSpan w:val="2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[Reserved]</w:t>
            </w:r>
          </w:p>
        </w:tc>
        <w:tc>
          <w:tcPr>
            <w:tcW w:w="28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52</w:t>
            </w:r>
          </w:p>
        </w:tc>
      </w:tr>
      <w:tr>
        <w:trPr>
          <w:trHeight w:val="35"/>
        </w:trPr>
        <w:tc>
          <w:tcPr>
            <w:tcW w:w="84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8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53"/>
        </w:trPr>
        <w:tc>
          <w:tcPr>
            <w:tcW w:w="84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Item 7.</w:t>
            </w:r>
          </w:p>
        </w:tc>
        <w:tc>
          <w:tcPr>
            <w:tcW w:w="9840" w:type="dxa"/>
            <w:vAlign w:val="bottom"/>
            <w:gridSpan w:val="21"/>
          </w:tcPr>
          <w:p>
            <w:pPr>
              <w:spacing w:after="0" w:line="153"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53</w:t>
            </w:r>
          </w:p>
        </w:tc>
      </w:tr>
      <w:tr>
        <w:trPr>
          <w:trHeight w:val="183"/>
        </w:trPr>
        <w:tc>
          <w:tcPr>
            <w:tcW w:w="84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7A.</w:t>
            </w:r>
          </w:p>
        </w:tc>
        <w:tc>
          <w:tcPr>
            <w:tcW w:w="3800" w:type="dxa"/>
            <w:vAlign w:val="bottom"/>
            <w:tcBorders>
              <w:top w:val="single" w:sz="8" w:color="0000EE"/>
              <w:bottom w:val="single" w:sz="8" w:color="0000EE"/>
            </w:tcBorders>
            <w:gridSpan w:val="1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7"/>
              </w:rPr>
              <w:t>Quantitative and Qualitative Disclosures About Market Risk</w:t>
            </w:r>
          </w:p>
        </w:tc>
        <w:tc>
          <w:tcPr>
            <w:tcW w:w="1820" w:type="dxa"/>
            <w:vAlign w:val="bottom"/>
            <w:tcBorders>
              <w:top w:val="single" w:sz="8" w:color="0000EE"/>
              <w:bottom w:val="single" w:sz="8" w:color="CCEEFF"/>
            </w:tcBorders>
            <w:gridSpan w:val="3"/>
            <w:shd w:val="clear" w:color="auto" w:fill="CCEEFF"/>
          </w:tcPr>
          <w:p>
            <w:pPr>
              <w:spacing w:after="0"/>
              <w:rPr>
                <w:sz w:val="15"/>
                <w:szCs w:val="15"/>
                <w:color w:val="auto"/>
              </w:rPr>
            </w:pPr>
          </w:p>
        </w:tc>
        <w:tc>
          <w:tcPr>
            <w:tcW w:w="4220" w:type="dxa"/>
            <w:vAlign w:val="bottom"/>
            <w:tcBorders>
              <w:bottom w:val="single" w:sz="8" w:color="CCEEFF"/>
            </w:tcBorders>
            <w:gridSpan w:val="4"/>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65</w:t>
            </w:r>
          </w:p>
        </w:tc>
      </w:tr>
      <w:tr>
        <w:trPr>
          <w:trHeight w:val="153"/>
        </w:trPr>
        <w:tc>
          <w:tcPr>
            <w:tcW w:w="84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Item 8.</w:t>
            </w:r>
          </w:p>
        </w:tc>
        <w:tc>
          <w:tcPr>
            <w:tcW w:w="2900" w:type="dxa"/>
            <w:vAlign w:val="bottom"/>
            <w:tcBorders>
              <w:bottom w:val="single" w:sz="8" w:color="0000EE"/>
            </w:tcBorders>
            <w:gridSpan w:val="12"/>
          </w:tcPr>
          <w:p>
            <w:pPr>
              <w:spacing w:after="0" w:line="153" w:lineRule="exact"/>
              <w:rPr>
                <w:sz w:val="20"/>
                <w:szCs w:val="20"/>
                <w:color w:val="auto"/>
              </w:rPr>
            </w:pPr>
            <w:r>
              <w:rPr>
                <w:rFonts w:ascii="Times New Roman" w:cs="Times New Roman" w:eastAsia="Times New Roman" w:hAnsi="Times New Roman"/>
                <w:sz w:val="16"/>
                <w:szCs w:val="16"/>
                <w:color w:val="0000EE"/>
                <w:w w:val="97"/>
              </w:rPr>
              <w:t>Financial Statements and Supplementary Data</w:t>
            </w:r>
          </w:p>
        </w:tc>
        <w:tc>
          <w:tcPr>
            <w:tcW w:w="6940" w:type="dxa"/>
            <w:vAlign w:val="bottom"/>
            <w:gridSpan w:val="9"/>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66</w:t>
            </w:r>
          </w:p>
        </w:tc>
      </w:tr>
      <w:tr>
        <w:trPr>
          <w:trHeight w:val="183"/>
        </w:trPr>
        <w:tc>
          <w:tcPr>
            <w:tcW w:w="84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9.</w:t>
            </w:r>
          </w:p>
        </w:tc>
        <w:tc>
          <w:tcPr>
            <w:tcW w:w="5640" w:type="dxa"/>
            <w:vAlign w:val="bottom"/>
            <w:tcBorders>
              <w:bottom w:val="single" w:sz="8" w:color="0000EE"/>
            </w:tcBorders>
            <w:gridSpan w:val="18"/>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7"/>
              </w:rPr>
              <w:t>Changes in and Disagreements with Accountants on Accounting and Financial Disclosure</w:t>
            </w:r>
          </w:p>
        </w:tc>
        <w:tc>
          <w:tcPr>
            <w:tcW w:w="4200" w:type="dxa"/>
            <w:vAlign w:val="bottom"/>
            <w:tcBorders>
              <w:bottom w:val="single" w:sz="8" w:color="CCEEFF"/>
            </w:tcBorders>
            <w:gridSpan w:val="3"/>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114</w:t>
            </w:r>
          </w:p>
        </w:tc>
      </w:tr>
      <w:tr>
        <w:trPr>
          <w:trHeight w:val="153"/>
        </w:trPr>
        <w:tc>
          <w:tcPr>
            <w:tcW w:w="84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Item 9A.</w:t>
            </w:r>
          </w:p>
        </w:tc>
        <w:tc>
          <w:tcPr>
            <w:tcW w:w="9840" w:type="dxa"/>
            <w:vAlign w:val="bottom"/>
            <w:gridSpan w:val="21"/>
          </w:tcPr>
          <w:p>
            <w:pPr>
              <w:spacing w:after="0" w:line="153" w:lineRule="exact"/>
              <w:rPr>
                <w:sz w:val="20"/>
                <w:szCs w:val="20"/>
                <w:color w:val="auto"/>
              </w:rPr>
            </w:pPr>
            <w:r>
              <w:rPr>
                <w:rFonts w:ascii="Times New Roman" w:cs="Times New Roman" w:eastAsia="Times New Roman" w:hAnsi="Times New Roman"/>
                <w:sz w:val="16"/>
                <w:szCs w:val="16"/>
                <w:color w:val="0000EE"/>
              </w:rPr>
              <w:t>Controls and Procedures</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114</w:t>
            </w:r>
          </w:p>
        </w:tc>
      </w:tr>
      <w:tr>
        <w:trPr>
          <w:trHeight w:val="168"/>
        </w:trPr>
        <w:tc>
          <w:tcPr>
            <w:tcW w:w="8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9B.</w:t>
            </w:r>
          </w:p>
        </w:tc>
        <w:tc>
          <w:tcPr>
            <w:tcW w:w="1540" w:type="dxa"/>
            <w:vAlign w:val="bottom"/>
            <w:tcBorders>
              <w:top w:val="single" w:sz="8" w:color="0000EE"/>
            </w:tcBorders>
            <w:gridSpan w:val="7"/>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Other Information</w:t>
            </w:r>
          </w:p>
        </w:tc>
        <w:tc>
          <w:tcPr>
            <w:tcW w:w="8300" w:type="dxa"/>
            <w:vAlign w:val="bottom"/>
            <w:gridSpan w:val="14"/>
            <w:shd w:val="clear" w:color="auto" w:fill="CCEEFF"/>
          </w:tcPr>
          <w:p>
            <w:pPr>
              <w:spacing w:after="0"/>
              <w:rPr>
                <w:sz w:val="14"/>
                <w:szCs w:val="14"/>
                <w:color w:val="auto"/>
              </w:rPr>
            </w:pP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115</w:t>
            </w:r>
          </w:p>
        </w:tc>
      </w:tr>
      <w:tr>
        <w:trPr>
          <w:trHeight w:val="35"/>
        </w:trPr>
        <w:tc>
          <w:tcPr>
            <w:tcW w:w="84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tcBorders>
              <w:right w:val="single" w:sz="8" w:color="CCEEFF"/>
            </w:tcBorders>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8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53"/>
        </w:trPr>
        <w:tc>
          <w:tcPr>
            <w:tcW w:w="84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Item 9C.</w:t>
            </w:r>
          </w:p>
        </w:tc>
        <w:tc>
          <w:tcPr>
            <w:tcW w:w="9840" w:type="dxa"/>
            <w:vAlign w:val="bottom"/>
            <w:gridSpan w:val="21"/>
          </w:tcPr>
          <w:p>
            <w:pPr>
              <w:spacing w:after="0" w:line="153" w:lineRule="exact"/>
              <w:rPr>
                <w:sz w:val="20"/>
                <w:szCs w:val="20"/>
                <w:color w:val="auto"/>
              </w:rPr>
            </w:pPr>
            <w:r>
              <w:rPr>
                <w:rFonts w:ascii="Times New Roman" w:cs="Times New Roman" w:eastAsia="Times New Roman" w:hAnsi="Times New Roman"/>
                <w:sz w:val="16"/>
                <w:szCs w:val="16"/>
                <w:color w:val="0000EE"/>
              </w:rPr>
              <w:t>Disclosure Regarding Foreign Jurisdictions that Prevent Inspections</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115</w:t>
            </w:r>
          </w:p>
        </w:tc>
      </w:tr>
      <w:tr>
        <w:trPr>
          <w:trHeight w:val="203"/>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5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right w:val="single" w:sz="8" w:color="CCEEFF"/>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right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70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53"/>
        </w:trPr>
        <w:tc>
          <w:tcPr>
            <w:tcW w:w="84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Item 10.</w:t>
            </w:r>
          </w:p>
        </w:tc>
        <w:tc>
          <w:tcPr>
            <w:tcW w:w="9840" w:type="dxa"/>
            <w:vAlign w:val="bottom"/>
            <w:gridSpan w:val="21"/>
          </w:tcPr>
          <w:p>
            <w:pPr>
              <w:spacing w:after="0" w:line="153" w:lineRule="exact"/>
              <w:rPr>
                <w:sz w:val="20"/>
                <w:szCs w:val="20"/>
                <w:color w:val="auto"/>
              </w:rPr>
            </w:pPr>
            <w:r>
              <w:rPr>
                <w:rFonts w:ascii="Times New Roman" w:cs="Times New Roman" w:eastAsia="Times New Roman" w:hAnsi="Times New Roman"/>
                <w:sz w:val="16"/>
                <w:szCs w:val="16"/>
                <w:color w:val="0000EE"/>
              </w:rPr>
              <w:t>Directors, Executive Officers and Corporate Governance</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116</w:t>
            </w:r>
          </w:p>
        </w:tc>
      </w:tr>
      <w:tr>
        <w:trPr>
          <w:trHeight w:val="183"/>
        </w:trPr>
        <w:tc>
          <w:tcPr>
            <w:tcW w:w="84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11.</w:t>
            </w:r>
          </w:p>
        </w:tc>
        <w:tc>
          <w:tcPr>
            <w:tcW w:w="1580" w:type="dxa"/>
            <w:vAlign w:val="bottom"/>
            <w:tcBorders>
              <w:top w:val="single" w:sz="8" w:color="0000EE"/>
              <w:bottom w:val="single" w:sz="8" w:color="0000EE"/>
            </w:tcBorders>
            <w:gridSpan w:val="8"/>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7"/>
              </w:rPr>
              <w:t>Executive Compensation</w:t>
            </w:r>
          </w:p>
        </w:tc>
        <w:tc>
          <w:tcPr>
            <w:tcW w:w="1980" w:type="dxa"/>
            <w:vAlign w:val="bottom"/>
            <w:tcBorders>
              <w:top w:val="single" w:sz="8" w:color="0000EE"/>
              <w:bottom w:val="single" w:sz="8" w:color="CCEEFF"/>
            </w:tcBorders>
            <w:gridSpan w:val="5"/>
            <w:shd w:val="clear" w:color="auto" w:fill="CCEEFF"/>
          </w:tcPr>
          <w:p>
            <w:pPr>
              <w:spacing w:after="0"/>
              <w:rPr>
                <w:sz w:val="15"/>
                <w:szCs w:val="15"/>
                <w:color w:val="auto"/>
              </w:rPr>
            </w:pPr>
          </w:p>
        </w:tc>
        <w:tc>
          <w:tcPr>
            <w:tcW w:w="6280" w:type="dxa"/>
            <w:vAlign w:val="bottom"/>
            <w:tcBorders>
              <w:bottom w:val="single" w:sz="8" w:color="CCEEFF"/>
            </w:tcBorders>
            <w:gridSpan w:val="8"/>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116</w:t>
            </w:r>
          </w:p>
        </w:tc>
      </w:tr>
      <w:tr>
        <w:trPr>
          <w:trHeight w:val="153"/>
        </w:trPr>
        <w:tc>
          <w:tcPr>
            <w:tcW w:w="84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Item 12.</w:t>
            </w:r>
          </w:p>
        </w:tc>
        <w:tc>
          <w:tcPr>
            <w:tcW w:w="9840" w:type="dxa"/>
            <w:vAlign w:val="bottom"/>
            <w:gridSpan w:val="21"/>
          </w:tcPr>
          <w:p>
            <w:pPr>
              <w:spacing w:after="0" w:line="153" w:lineRule="exact"/>
              <w:rPr>
                <w:sz w:val="20"/>
                <w:szCs w:val="20"/>
                <w:color w:val="auto"/>
              </w:rPr>
            </w:pPr>
            <w:r>
              <w:rPr>
                <w:rFonts w:ascii="Times New Roman" w:cs="Times New Roman" w:eastAsia="Times New Roman" w:hAnsi="Times New Roman"/>
                <w:sz w:val="16"/>
                <w:szCs w:val="16"/>
                <w:color w:val="0000EE"/>
              </w:rPr>
              <w:t>Security Ownership of Certain Beneficial Owners and Management and Related Stockholder Matters</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116</w:t>
            </w:r>
          </w:p>
        </w:tc>
      </w:tr>
      <w:tr>
        <w:trPr>
          <w:trHeight w:val="183"/>
        </w:trPr>
        <w:tc>
          <w:tcPr>
            <w:tcW w:w="8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13.</w:t>
            </w:r>
          </w:p>
        </w:tc>
        <w:tc>
          <w:tcPr>
            <w:tcW w:w="6340" w:type="dxa"/>
            <w:vAlign w:val="bottom"/>
            <w:tcBorders>
              <w:top w:val="single" w:sz="8" w:color="0000EE"/>
            </w:tcBorders>
            <w:gridSpan w:val="19"/>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Certain Relationships and Related Transactions, and Director Independence</w:t>
            </w:r>
          </w:p>
        </w:tc>
        <w:tc>
          <w:tcPr>
            <w:tcW w:w="3500" w:type="dxa"/>
            <w:vAlign w:val="bottom"/>
            <w:gridSpan w:val="2"/>
            <w:shd w:val="clear" w:color="auto" w:fill="CCEEFF"/>
          </w:tcPr>
          <w:p>
            <w:pPr>
              <w:spacing w:after="0"/>
              <w:rPr>
                <w:sz w:val="15"/>
                <w:szCs w:val="15"/>
                <w:color w:val="auto"/>
              </w:rPr>
            </w:pP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116</w:t>
            </w:r>
          </w:p>
        </w:tc>
      </w:tr>
      <w:tr>
        <w:trPr>
          <w:trHeight w:val="153"/>
        </w:trPr>
        <w:tc>
          <w:tcPr>
            <w:tcW w:w="840" w:type="dxa"/>
            <w:vAlign w:val="bottom"/>
            <w:tcBorders>
              <w:top w:val="single" w:sz="8" w:color="CCEEFF"/>
            </w:tcBorders>
          </w:tcPr>
          <w:p>
            <w:pPr>
              <w:spacing w:after="0" w:line="153" w:lineRule="exact"/>
              <w:rPr>
                <w:sz w:val="20"/>
                <w:szCs w:val="20"/>
                <w:color w:val="auto"/>
              </w:rPr>
            </w:pPr>
            <w:r>
              <w:rPr>
                <w:rFonts w:ascii="Times New Roman" w:cs="Times New Roman" w:eastAsia="Times New Roman" w:hAnsi="Times New Roman"/>
                <w:sz w:val="16"/>
                <w:szCs w:val="16"/>
                <w:color w:val="auto"/>
              </w:rPr>
              <w:t>Item 14.</w:t>
            </w:r>
          </w:p>
        </w:tc>
        <w:tc>
          <w:tcPr>
            <w:tcW w:w="4740" w:type="dxa"/>
            <w:vAlign w:val="bottom"/>
            <w:tcBorders>
              <w:top w:val="single" w:sz="8" w:color="0000EE"/>
            </w:tcBorders>
            <w:gridSpan w:val="16"/>
          </w:tcPr>
          <w:p>
            <w:pPr>
              <w:spacing w:after="0" w:line="153" w:lineRule="exact"/>
              <w:rPr>
                <w:sz w:val="20"/>
                <w:szCs w:val="20"/>
                <w:color w:val="auto"/>
              </w:rPr>
            </w:pPr>
            <w:r>
              <w:rPr>
                <w:rFonts w:ascii="Times New Roman" w:cs="Times New Roman" w:eastAsia="Times New Roman" w:hAnsi="Times New Roman"/>
                <w:sz w:val="16"/>
                <w:szCs w:val="16"/>
                <w:color w:val="0000EE"/>
              </w:rPr>
              <w:t>Principal Accountant Fees and Services</w:t>
            </w:r>
          </w:p>
        </w:tc>
        <w:tc>
          <w:tcPr>
            <w:tcW w:w="5100" w:type="dxa"/>
            <w:vAlign w:val="bottom"/>
            <w:tcBorders>
              <w:top w:val="single" w:sz="8" w:color="CCEEFF"/>
            </w:tcBorders>
            <w:gridSpan w:val="5"/>
          </w:tcPr>
          <w:p>
            <w:pPr>
              <w:spacing w:after="0"/>
              <w:rPr>
                <w:sz w:val="13"/>
                <w:szCs w:val="13"/>
                <w:color w:val="auto"/>
              </w:rPr>
            </w:pPr>
          </w:p>
        </w:tc>
        <w:tc>
          <w:tcPr>
            <w:tcW w:w="580" w:type="dxa"/>
            <w:vAlign w:val="bottom"/>
            <w:tcBorders>
              <w:top w:val="single" w:sz="8" w:color="CCEEFF"/>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116</w:t>
            </w:r>
          </w:p>
        </w:tc>
      </w:tr>
      <w:tr>
        <w:trPr>
          <w:trHeight w:val="203"/>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56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right w:val="single" w:sz="8" w:color="CCEEFF"/>
            </w:tcBorders>
            <w:shd w:val="clear" w:color="auto" w:fill="CCEEFF"/>
          </w:tcPr>
          <w:p>
            <w:pPr>
              <w:spacing w:after="0"/>
              <w:rPr>
                <w:sz w:val="17"/>
                <w:szCs w:val="17"/>
                <w:color w:val="auto"/>
              </w:rPr>
            </w:pPr>
          </w:p>
        </w:tc>
        <w:tc>
          <w:tcPr>
            <w:tcW w:w="120" w:type="dxa"/>
            <w:vAlign w:val="bottom"/>
            <w:tcBorders>
              <w:top w:val="single" w:sz="8" w:color="0000EE"/>
              <w:left w:val="single" w:sz="8" w:color="CCEEFF"/>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right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700" w:type="dxa"/>
            <w:vAlign w:val="bottom"/>
            <w:tcBorders>
              <w:top w:val="single" w:sz="8" w:color="0000EE"/>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53"/>
        </w:trPr>
        <w:tc>
          <w:tcPr>
            <w:tcW w:w="84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Item 15.</w:t>
            </w:r>
          </w:p>
        </w:tc>
        <w:tc>
          <w:tcPr>
            <w:tcW w:w="9840" w:type="dxa"/>
            <w:vAlign w:val="bottom"/>
            <w:gridSpan w:val="21"/>
          </w:tcPr>
          <w:p>
            <w:pPr>
              <w:spacing w:after="0" w:line="153" w:lineRule="exact"/>
              <w:rPr>
                <w:sz w:val="20"/>
                <w:szCs w:val="20"/>
                <w:color w:val="auto"/>
              </w:rPr>
            </w:pPr>
            <w:r>
              <w:rPr>
                <w:rFonts w:ascii="Times New Roman" w:cs="Times New Roman" w:eastAsia="Times New Roman" w:hAnsi="Times New Roman"/>
                <w:sz w:val="16"/>
                <w:szCs w:val="16"/>
                <w:color w:val="0000EE"/>
              </w:rPr>
              <w:t>Exhibits and Financial Statement Schedules</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117</w:t>
            </w:r>
          </w:p>
        </w:tc>
      </w:tr>
      <w:tr>
        <w:trPr>
          <w:trHeight w:val="183"/>
        </w:trPr>
        <w:tc>
          <w:tcPr>
            <w:tcW w:w="84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Item 16.</w:t>
            </w:r>
          </w:p>
        </w:tc>
        <w:tc>
          <w:tcPr>
            <w:tcW w:w="2740" w:type="dxa"/>
            <w:vAlign w:val="bottom"/>
            <w:tcBorders>
              <w:top w:val="single" w:sz="8" w:color="0000EE"/>
            </w:tcBorders>
            <w:gridSpan w:val="11"/>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Form 10-K Summary</w:t>
            </w:r>
          </w:p>
        </w:tc>
        <w:tc>
          <w:tcPr>
            <w:tcW w:w="7100" w:type="dxa"/>
            <w:vAlign w:val="bottom"/>
            <w:gridSpan w:val="10"/>
            <w:shd w:val="clear" w:color="auto" w:fill="CCEEFF"/>
          </w:tcPr>
          <w:p>
            <w:pPr>
              <w:spacing w:after="0"/>
              <w:rPr>
                <w:sz w:val="15"/>
                <w:szCs w:val="15"/>
                <w:color w:val="auto"/>
              </w:rPr>
            </w:pP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118</w:t>
            </w:r>
          </w:p>
        </w:tc>
      </w:tr>
      <w:tr>
        <w:trPr>
          <w:trHeight w:val="153"/>
        </w:trPr>
        <w:tc>
          <w:tcPr>
            <w:tcW w:w="840" w:type="dxa"/>
            <w:vAlign w:val="bottom"/>
            <w:tcBorders>
              <w:top w:val="single" w:sz="8" w:color="CCEEFF"/>
            </w:tcBorders>
          </w:tcPr>
          <w:p>
            <w:pPr>
              <w:spacing w:after="0"/>
              <w:rPr>
                <w:sz w:val="13"/>
                <w:szCs w:val="13"/>
                <w:color w:val="auto"/>
              </w:rPr>
            </w:pPr>
          </w:p>
        </w:tc>
        <w:tc>
          <w:tcPr>
            <w:tcW w:w="1340" w:type="dxa"/>
            <w:vAlign w:val="bottom"/>
            <w:tcBorders>
              <w:top w:val="single" w:sz="8" w:color="0000EE"/>
            </w:tcBorders>
            <w:gridSpan w:val="6"/>
          </w:tcPr>
          <w:p>
            <w:pPr>
              <w:spacing w:after="0" w:line="153" w:lineRule="exact"/>
              <w:rPr>
                <w:sz w:val="20"/>
                <w:szCs w:val="20"/>
                <w:color w:val="auto"/>
              </w:rPr>
            </w:pPr>
            <w:r>
              <w:rPr>
                <w:rFonts w:ascii="Times New Roman" w:cs="Times New Roman" w:eastAsia="Times New Roman" w:hAnsi="Times New Roman"/>
                <w:sz w:val="16"/>
                <w:szCs w:val="16"/>
                <w:color w:val="0000EE"/>
              </w:rPr>
              <w:t>Signatures</w:t>
            </w:r>
          </w:p>
        </w:tc>
        <w:tc>
          <w:tcPr>
            <w:tcW w:w="8500" w:type="dxa"/>
            <w:vAlign w:val="bottom"/>
            <w:tcBorders>
              <w:top w:val="single" w:sz="8" w:color="CCEEFF"/>
            </w:tcBorders>
            <w:gridSpan w:val="15"/>
          </w:tcPr>
          <w:p>
            <w:pPr>
              <w:spacing w:after="0"/>
              <w:rPr>
                <w:sz w:val="13"/>
                <w:szCs w:val="13"/>
                <w:color w:val="auto"/>
              </w:rPr>
            </w:pPr>
          </w:p>
        </w:tc>
        <w:tc>
          <w:tcPr>
            <w:tcW w:w="580" w:type="dxa"/>
            <w:vAlign w:val="bottom"/>
            <w:tcBorders>
              <w:top w:val="single" w:sz="8" w:color="CCEEFF"/>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119</w:t>
            </w:r>
          </w:p>
        </w:tc>
      </w:tr>
      <w:tr>
        <w:trPr>
          <w:trHeight w:val="20"/>
        </w:trPr>
        <w:tc>
          <w:tcPr>
            <w:tcW w:w="8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80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SuRo Capital</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SuRo Capital Corp. (“we”, “us”, “our”, the “Company” or “SuRo Capital”), formerly known as Sutter Rock Capital Corp. and as GSV Capital Corp. and formed in September 2010 as a Maryland corporation, is an internally managed, non-diversified closed-end management investment company. We have elected to be regulated as a business development company (“BDC”) under the Investment Company Act of 1940, as amended (the “1940 Act”), and have elected to be treated, and intend to qualify annually, as a regulated investment company (“RIC”) under Subchapter M of the Internal Revenue Code of 1986, as amended (the “Code”).</w:t>
      </w:r>
    </w:p>
    <w:p>
      <w:pPr>
        <w:spacing w:after="0" w:line="164"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Our date of inception was January 6, 2011, which is the date we commenced development stage activities. We commenced operations as a BDC upon completion of our initial public offering (“IPO”) in May 2011 and began our investment operations during the second quarter of 2011. See “Management’s Dicussion and Analysis of Financial Condition and Results of Operations” in Part II, Item 7 of this Form 10-K.</w:t>
      </w:r>
    </w:p>
    <w:p>
      <w:pPr>
        <w:spacing w:after="0" w:line="159"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On and effective June 22, 2020, we changed our name to “SuRo Capital Corp.” from “Sutter Rock Capital Corp.” On and effective March 12, 2019, our board of directors (“Board of Directors”) approved internalizing our operating structure (“Internalization”) and we began operating as an internally managed non-diversified closed-end management investment company that has elected to be regulated as a BDC under the 1940 Act. Our Board of Directors approved the Internalization in order to better align the interests of our stockholders with our management. As an internally managed BDC, we are managed by our employees, rather than the employees of an external investment adviser, thereby allowing for greater transparency to stockholders through robust disclosure regarding our compensation structure.</w:t>
      </w:r>
    </w:p>
    <w:p>
      <w:pPr>
        <w:spacing w:after="0" w:line="16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 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72"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Our investment philosophy is based on a disciplined approach of identifying promising investments in high-growth, venture-backed companies across several key industry themes, which may include, among others, social 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6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seek to create a low-turnover portfolio that includes investments in companies representing a broad range of investment themes.</w:t>
      </w:r>
    </w:p>
    <w:p>
      <w:pPr>
        <w:spacing w:after="0" w:line="192"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common stock is traded on the Nasdaq Global Select Market under the symbol “SSSS”. The net asset value per share of our common stock on December 31, 2023 was $7.99. On March 13, 2024, the last reported sale price of a share of our common stock on the Nasdaq Global Select Market was $4.36.</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and Regulatory Structure</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50"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As a BDC, we are subject to certain regulatory requirements. See “—Regulation as a BDC.” Also, while we are permitted to finance investments using debt, our ability to use debt is limited in certain significant aspects.</w:t>
      </w:r>
    </w:p>
    <w:p>
      <w:pPr>
        <w:spacing w:after="0" w:line="150"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With certain limited exceptions, we may issue “senior securities,” including borrowing money from banks or other financial institutions only in amounts such that the ratio of our total assets (less total liabilities other than indebtedness represented by senior securities) to our total indebtedness represented by senior securities plus preferred stock, if any, is at least 200% (or 150% if certain conditions are met) after such incurrence or issuance. This means that generally, we can borrow up to $1 for every $1 of investor equity (or, if certain conditions are met, we can borrow up to $2 for every $1 of investor equity). In March 2018, the Small Business Credit Availability Act (the “SBCAA”) modified the 1940 Act by allowing a BDC to increase the maximum amount of leverage it may incur by decreasing the asset coverage percentage from 200% to 150%, if certain requirements under the 1940 Act are met. Under the 1940 Act,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1940 Act allows the majority of our independent directors to approve an increase in our leverage capacity, and such approval would become effective after the one-year anniversary of such approval. In either case, we would be required to make certain disclosures on our website and in SEC filings regarding, among other things, the receipt of approval to increase our leverage, our leverage capacity and usage, and risks related to leverage. We currently do not intend to seek stockholder approval or approval from our Board of Directors to increase our leverage capacity as set forth above. See “Risk Factors” in Part I, Item 1A of this Form 10-K for more information.</w:t>
      </w:r>
    </w:p>
    <w:p>
      <w:pPr>
        <w:spacing w:after="0" w:line="162"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have elected to be treated as a RIC under Subchapter M of the Code and expect to continue to operate in a manner so as to qualify for the tax treatment applicable to RICs. See “—Material U.S. Federal Income Tax Considerations” and “Note 2—Significant Accounting Policies—U.S. Federal and State Income Taxes” and “Note 9—Income Taxes” to our Consolidated Financial Statements for the year ended December 31, 2023 for more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Resources</w:t>
      </w:r>
    </w:p>
    <w:p>
      <w:pPr>
        <w:spacing w:after="0" w:line="194"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As of December 31, 2023, we had eleven employees, each of whom was directly employed by us. These employees include our executive officers, investment and finance professionals, and administrative staff. All of our employees are located in the United States at our principal executive office and headquarters located at 640 Fifth Avenue, 12th Floor, New York, NY 10019 and our additional office located at One Sansome Street, Suite 730, San Francisco, CA 94104. Our telephone number is (212) 931-6331.</w:t>
      </w:r>
    </w:p>
    <w:p>
      <w:pPr>
        <w:spacing w:after="0" w:line="159"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As an internally managed BDC, the success of our business and investment strategy, including achieving our investment objective, depends in material part on our employees. We depend upon the members of our management team and our investment professionals for the identification, final selection, structuring, closing and monitoring of our investments. These employees have critical industry experience and relationships on which we rely to implement our business plan. We expect that the members of our management team and our investment professionals will maintain key informal relationships, which we will use to help identify and gain access to investment opportunities. If we do not attract, develop and retain highly skilled employees, we may not be able to operate our business as we expect and our operating results could be adversely affected. See “Risk Factors” in Part I, Item 1A of this Form 10-K.</w:t>
      </w:r>
    </w:p>
    <w:p>
      <w:pPr>
        <w:spacing w:after="0" w:line="16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strive to attract, develop and retain our employees by offering unique employment opportunities, advancement and promotion opportunities, training programs and opportunities, and competitive compensation and benefit structures, as well as a safe, harassment-free work environment.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Opportunity</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believe that society is experiencing a convergence of numerous disruptive trends, producing new high-growth markets.</w:t>
      </w:r>
    </w:p>
    <w:p>
      <w:pPr>
        <w:spacing w:after="0" w:line="192"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At the same time, we believe that the IPO markets have experienced substantial structural changes which have made it significantly more challenging for private companies to go public. Volatile equity markets, a lack of investment research coverage for private and smaller companies and investor demand for a longer history of revenue and earnings growth have resulted in companies staying private significantly longer than in the past. In addition, increased public company compliance obligations such as those imposed by the Sarbanes-Oxley Act of 2002 (the “Sarbanes-Oxley Act”) and the Dodd-Frank Wall Street Reform and Consumer Protection Act (the “Dodd-Frank Act”) have made it more costly and less attractive to become a public company. As a result, there are significantly fewer IPOs today than there were during the 1990s, with prospective public companies taking longer to come to market.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Strategy</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seek to maintain our portfolio of potentially high-growth emerging private companies via a repeatable and disciplined investment approach, as well as to provide investors with access to such companies through our publicly traded common stock.</w:t>
      </w:r>
    </w:p>
    <w:p>
      <w:pPr>
        <w:spacing w:after="0" w:line="150"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investment objective is to maximize our portfolio’s total return, principally by seeking capital gains on our equity and equity-related investments, and to a lesser extent, income from debt investments. We have adopted the following business strategies to achieve our investment objective:</w:t>
      </w:r>
    </w:p>
    <w:p>
      <w:pPr>
        <w:spacing w:after="0" w:line="146" w:lineRule="exact"/>
        <w:rPr>
          <w:sz w:val="20"/>
          <w:szCs w:val="20"/>
          <w:color w:val="auto"/>
        </w:rPr>
      </w:pPr>
    </w:p>
    <w:p>
      <w:pPr>
        <w:jc w:val="both"/>
        <w:ind w:left="560" w:hanging="284"/>
        <w:spacing w:after="0" w:line="255"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Identify high quality growth companies. </w:t>
      </w:r>
      <w:r>
        <w:rPr>
          <w:rFonts w:ascii="Times New Roman" w:cs="Times New Roman" w:eastAsia="Times New Roman" w:hAnsi="Times New Roman"/>
          <w:sz w:val="16"/>
          <w:szCs w:val="16"/>
          <w:color w:val="auto"/>
        </w:rPr>
        <w:t>Based on our extensive experience in analyzing technology trends and markets, we have identified several technology sub-sectors, including social mobile, big data and cloud, marketplaces, and education technology, as opportunities where we believe companies are capable of producing substantial growth. We rely on our collective industry knowledge as well as an understanding of where leading venture capitalists and other institutional investors are investing.</w:t>
      </w:r>
    </w:p>
    <w:p>
      <w:pPr>
        <w:spacing w:after="0" w:line="162" w:lineRule="exact"/>
        <w:rPr>
          <w:sz w:val="20"/>
          <w:szCs w:val="20"/>
          <w:color w:val="auto"/>
        </w:rPr>
      </w:pPr>
    </w:p>
    <w:p>
      <w:pPr>
        <w:jc w:val="both"/>
        <w:ind w:right="20" w:firstLine="282"/>
        <w:spacing w:after="0" w:line="283" w:lineRule="auto"/>
        <w:rPr>
          <w:sz w:val="20"/>
          <w:szCs w:val="20"/>
          <w:color w:val="auto"/>
        </w:rPr>
      </w:pPr>
      <w:r>
        <w:rPr>
          <w:rFonts w:ascii="Times New Roman" w:cs="Times New Roman" w:eastAsia="Times New Roman" w:hAnsi="Times New Roman"/>
          <w:sz w:val="15"/>
          <w:szCs w:val="15"/>
          <w:color w:val="auto"/>
        </w:rPr>
        <w:t>We leverage a combination of our relationships throughout Silicon Valley and our independent research to identify leaders in our targeted sub-sectors that we believe are differentiated and best positioned for sustained growth. Our team continues to expand our sourcing network in order to evaluate a wide range of investment opportunities in companies that demonstrate strong operating fundamentals. We target businesses that have been shown to provide scaled valuation growth before a potential IPO or strategic exit.</w:t>
      </w:r>
    </w:p>
    <w:p>
      <w:pPr>
        <w:spacing w:after="0" w:line="138" w:lineRule="exact"/>
        <w:rPr>
          <w:sz w:val="20"/>
          <w:szCs w:val="20"/>
          <w:color w:val="auto"/>
        </w:rPr>
      </w:pPr>
    </w:p>
    <w:p>
      <w:pPr>
        <w:ind w:left="560" w:right="20" w:hanging="284"/>
        <w:spacing w:after="0" w:line="276"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Acquire positions in targeted investments. </w:t>
      </w:r>
      <w:r>
        <w:rPr>
          <w:rFonts w:ascii="Times New Roman" w:cs="Times New Roman" w:eastAsia="Times New Roman" w:hAnsi="Times New Roman"/>
          <w:sz w:val="16"/>
          <w:szCs w:val="16"/>
          <w:color w:val="auto"/>
        </w:rPr>
        <w:t>We seek to selectively add to our portfolio by sourcing investments at an acceptable price through our disciplined investing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strategy. To this end, we utilize multiple methods to acquire equity stakes in private companies that are not available to many individual investors.</w:t>
      </w:r>
    </w:p>
    <w:p>
      <w:pPr>
        <w:spacing w:after="0" w:line="143"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Direct equity investments. </w:t>
      </w:r>
      <w:r>
        <w:rPr>
          <w:rFonts w:ascii="Times New Roman" w:cs="Times New Roman" w:eastAsia="Times New Roman" w:hAnsi="Times New Roman"/>
          <w:sz w:val="16"/>
          <w:szCs w:val="16"/>
          <w:color w:val="auto"/>
        </w:rPr>
        <w:t>We seek direct investments in private companies. There is a large market among emerging private companies for equity capital investments. Many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these 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Private secondary marketplaces and direct share purchases. </w:t>
      </w:r>
      <w:r>
        <w:rPr>
          <w:rFonts w:ascii="Times New Roman" w:cs="Times New Roman" w:eastAsia="Times New Roman" w:hAnsi="Times New Roman"/>
          <w:sz w:val="16"/>
          <w:szCs w:val="16"/>
          <w:color w:val="auto"/>
        </w:rPr>
        <w:t>We also utilize private secondary marketplaces as a means to acquire equity and equity-related interests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privately held companies that meet our investment criteria and that we believe are attractive candidates for investment. We believe that such markets offer new channels for access to equity 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the reputation of our investment professionals within the industry and established history of investing affords us a favorable position when seeking approval for a purchase of shares subject to such limitations.</w:t>
      </w:r>
    </w:p>
    <w:p>
      <w:pPr>
        <w:spacing w:after="0" w:line="163" w:lineRule="exact"/>
        <w:rPr>
          <w:sz w:val="20"/>
          <w:szCs w:val="20"/>
          <w:color w:val="auto"/>
        </w:rPr>
      </w:pPr>
    </w:p>
    <w:p>
      <w:pPr>
        <w:jc w:val="both"/>
        <w:ind w:left="560" w:hanging="284"/>
        <w:spacing w:after="0" w:line="286" w:lineRule="auto"/>
        <w:tabs>
          <w:tab w:leader="none" w:pos="5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Create access to a varied investment portfolio. </w:t>
      </w:r>
      <w:r>
        <w:rPr>
          <w:rFonts w:ascii="Times New Roman" w:cs="Times New Roman" w:eastAsia="Times New Roman" w:hAnsi="Times New Roman"/>
          <w:sz w:val="15"/>
          <w:szCs w:val="15"/>
          <w:color w:val="auto"/>
        </w:rPr>
        <w:t>We seek to hold a varied portfolio of non-controlling equity investments, which we believe will minimize the impact on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our portfolio of a negative downturn at any one specific company. We believe that our relatively varied portfolio will provide a convenient means for accredited and non-accredited individual investors to obtain access to an asset class that has generally been limited to venture capital, private equity and similar large institutional investors.</w:t>
      </w:r>
    </w:p>
    <w:p>
      <w:pPr>
        <w:spacing w:after="0" w:line="140"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our investment professionals to focus our investments in companies and industries that are more likely to result in beneficial returns to our stockholders.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Competitive Advantages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believe that we benefit from the following competitive advantages in executing our investment strategy:</w:t>
      </w:r>
    </w:p>
    <w:p>
      <w:pPr>
        <w:spacing w:after="0" w:line="188" w:lineRule="exact"/>
        <w:rPr>
          <w:sz w:val="20"/>
          <w:szCs w:val="20"/>
          <w:color w:val="auto"/>
        </w:rPr>
      </w:pPr>
    </w:p>
    <w:p>
      <w:pPr>
        <w:jc w:val="both"/>
        <w:ind w:left="560" w:hanging="284"/>
        <w:spacing w:after="0" w:line="255" w:lineRule="auto"/>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Capable team of investment professionals. </w:t>
      </w:r>
      <w:r>
        <w:rPr>
          <w:rFonts w:ascii="Times New Roman" w:cs="Times New Roman" w:eastAsia="Times New Roman" w:hAnsi="Times New Roman"/>
          <w:sz w:val="16"/>
          <w:szCs w:val="16"/>
          <w:color w:val="auto"/>
        </w:rPr>
        <w:t>Our executive officers, investment professionals, and Board of Directors have significant experience researching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investing in the types of high-growth venture capital-backed companies we are targeting for investment. Through our proprietary company evaluation process, including our identification of technology trends and themes and company research, we believe we have developed important insight into identifying and valuing emerging private companies.</w:t>
      </w:r>
    </w:p>
    <w:p>
      <w:pPr>
        <w:spacing w:after="0" w:line="158" w:lineRule="exact"/>
        <w:rPr>
          <w:rFonts w:ascii="Times New Roman" w:cs="Times New Roman" w:eastAsia="Times New Roman" w:hAnsi="Times New Roman"/>
          <w:sz w:val="16"/>
          <w:szCs w:val="16"/>
          <w:color w:val="auto"/>
        </w:rPr>
      </w:pPr>
    </w:p>
    <w:p>
      <w:pPr>
        <w:jc w:val="both"/>
        <w:ind w:left="560" w:hanging="284"/>
        <w:spacing w:after="0" w:line="260" w:lineRule="auto"/>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Disciplined and repeatable investment process. </w:t>
      </w:r>
      <w:r>
        <w:rPr>
          <w:rFonts w:ascii="Times New Roman" w:cs="Times New Roman" w:eastAsia="Times New Roman" w:hAnsi="Times New Roman"/>
          <w:sz w:val="16"/>
          <w:szCs w:val="16"/>
          <w:color w:val="auto"/>
        </w:rPr>
        <w:t>We have established a disciplined and repeatable process to locate and acquire available shares at attractive valuations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utilizing multiple sources. In contrast to industry “aggregators” that accumulate stock at market prices, we conduct valuation analysis and make acquisitions only when we can invest at valuations that we believe are attractive to our investors.</w:t>
      </w:r>
    </w:p>
    <w:p>
      <w:pPr>
        <w:spacing w:after="0" w:line="154" w:lineRule="exact"/>
        <w:rPr>
          <w:rFonts w:ascii="Times New Roman" w:cs="Times New Roman" w:eastAsia="Times New Roman" w:hAnsi="Times New Roman"/>
          <w:sz w:val="16"/>
          <w:szCs w:val="16"/>
          <w:color w:val="auto"/>
        </w:rPr>
      </w:pPr>
    </w:p>
    <w:p>
      <w:pPr>
        <w:jc w:val="both"/>
        <w:ind w:left="560" w:right="20" w:hanging="284"/>
        <w:spacing w:after="0" w:line="255" w:lineRule="auto"/>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Deep relationships with significant credibility to source and complete transactions. </w:t>
      </w:r>
      <w:r>
        <w:rPr>
          <w:rFonts w:ascii="Times New Roman" w:cs="Times New Roman" w:eastAsia="Times New Roman" w:hAnsi="Times New Roman"/>
          <w:sz w:val="16"/>
          <w:szCs w:val="16"/>
          <w:color w:val="auto"/>
        </w:rPr>
        <w:t>Our executive officers and investment professionals are strategically located in New</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York, New York and at our additional office in San Francisco, California, allowing us to fully engage in the technology and innovation ecosystem. Our wide network of venture capital and technology professionals supports our sourcing efforts and helps provide access to promising investment opportunities. Our executive officers and investment professionals have also developed strong relationships in the financial, investing and technology-related sectors.</w:t>
      </w:r>
    </w:p>
    <w:p>
      <w:pPr>
        <w:spacing w:after="0" w:line="158" w:lineRule="exact"/>
        <w:rPr>
          <w:rFonts w:ascii="Times New Roman" w:cs="Times New Roman" w:eastAsia="Times New Roman" w:hAnsi="Times New Roman"/>
          <w:sz w:val="16"/>
          <w:szCs w:val="16"/>
          <w:color w:val="auto"/>
        </w:rPr>
      </w:pPr>
    </w:p>
    <w:p>
      <w:pPr>
        <w:jc w:val="both"/>
        <w:ind w:left="560" w:hanging="284"/>
        <w:spacing w:after="0" w:line="260" w:lineRule="auto"/>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Source of permanent investing capital. </w:t>
      </w:r>
      <w:r>
        <w:rPr>
          <w:rFonts w:ascii="Times New Roman" w:cs="Times New Roman" w:eastAsia="Times New Roman" w:hAnsi="Times New Roman"/>
          <w:sz w:val="16"/>
          <w:szCs w:val="16"/>
          <w:color w:val="auto"/>
        </w:rPr>
        <w:t>As a publicly traded corporation, we have access to a source of permanent equity capital that we can use to invest in portfolio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companies. This permanent equity capital is a significant differentiator from other potential investors that may be required to return capital to stockholders on a defined schedule. We believe that our ability to invest on a long-term time horizon makes us attractive to companies looking for strong, stable owners of their equity.</w:t>
      </w:r>
    </w:p>
    <w:p>
      <w:pPr>
        <w:spacing w:after="0" w:line="154" w:lineRule="exact"/>
        <w:rPr>
          <w:rFonts w:ascii="Times New Roman" w:cs="Times New Roman" w:eastAsia="Times New Roman" w:hAnsi="Times New Roman"/>
          <w:sz w:val="16"/>
          <w:szCs w:val="16"/>
          <w:color w:val="auto"/>
        </w:rPr>
      </w:pPr>
    </w:p>
    <w:p>
      <w:pPr>
        <w:jc w:val="both"/>
        <w:ind w:left="560" w:right="20" w:hanging="284"/>
        <w:spacing w:after="0" w:line="251" w:lineRule="auto"/>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Early mover advantage. </w:t>
      </w:r>
      <w:r>
        <w:rPr>
          <w:rFonts w:ascii="Times New Roman" w:cs="Times New Roman" w:eastAsia="Times New Roman" w:hAnsi="Times New Roman"/>
          <w:sz w:val="16"/>
          <w:szCs w:val="16"/>
          <w:color w:val="auto"/>
        </w:rPr>
        <w:t>We believe we are one of the few publicly traded BDCs with a specific focus on investing in high-growth venture-backed companies.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transactions that we have executed to date since our IPO 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serve our goal to complete equity transactions in compelling private companies at attractive valuations.</w:t>
      </w:r>
    </w:p>
    <w:p>
      <w:pPr>
        <w:spacing w:after="0" w:line="16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Our primary competitors include specialty finance companies including late-stage venture capital funds, private equity funds, other crossover funds, public funds investing in private companies and public and private BDCs. Many of these entities have greater financial and managerial resources than we will have. In addition, some of our competitors may have higher risk tolerances or different risk assessments, which could allow them to consider more investments and establish more relationships than we do. Furthermore, many of our competitors are not subject to the regulatory restrictions the 1940 Act imposes on us as a BDC. For additional information concerning the competitive risks we face, see “Risk Factors—Risks Related to Our Business and Structure” in Part I, Item 1A of this Form 10-K.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Process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Concentrated Technology-Related Focus</w:t>
      </w:r>
    </w:p>
    <w:p>
      <w:pPr>
        <w:spacing w:after="0" w:line="196"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Our executive officers and investment professionals have identified five key investment themes from which we have seen significant numbers of high-growth companies emerge: social and mobile, financial technology and services, big data and cloud, marketplaces, and education. However, the opportunity set of high-growth venture-backed technology companies extends beyond these key investment themes into much broader markets. These broad markets have the potential to produce disruptive technologies, reach a large addressable market, and provide significant commercial opportunities. Within these areas, we have identified trends that could create significant positive effects on growth such as globalization, consolidation, branding, convergence and network effects. Thus, while we remain focused on selecting market leaders within the key investment themes identified, our executive officers and investment professionals actively seek out promising investments across a diverse selection of new technology subsectors.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Targeting and Screening</w:t>
      </w:r>
    </w:p>
    <w:p>
      <w:pPr>
        <w:spacing w:after="0" w:line="19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identify prospective portfolio companies through an extensive network of relationships developed by our executive officers and investment professionals, supplemented by the knowledge and relationships of our Board of Directors. Investment opportunities that fall within our identified themes are validated against the observed behavior of leading venture capitalists and institutional investors, as well as through our own internal and external research. We evaluate potential portfolio companies across a spectrum of criteria, including industry positioning and leadership, stage of growth, path to profitability, the uniqueness and defensibility of the portfolio company’s strategy, investor sponsorship, and the portfolio company’s potential access to capital to continue to fund its growth that collectively characterize our proprietary investment process. We typically seek to invest our assets under management in the equity of well-established and growth stage companies, and debt investments of emerging companies that fit within our targeted areas. Based on our initial screening, we identify a select set of companies that we evaluate in greater depth.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Due Diligence Process</w:t>
      </w:r>
    </w:p>
    <w:p>
      <w:pPr>
        <w:spacing w:after="0" w:line="196"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Once we identify those companies that we believe warrant more in-depth analysis, we focus on their total addressable market, revenue growth and sustainability, and earnings growth, as well as other metrics that may be strongly correlated with higher valuations. We also focus on the company’s management team and any significant financial sponsor, their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spacing w:after="0" w:line="16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Our due diligence process will vary depending on whether we are investing through a private secondary transaction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Construction and Sourcing</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Upon completion of our research and due diligence process, we select investments for inclusion in our portfolio based on their value proposition, addressable market, fundamentals and valuation. We seek to create a relatively varied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 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Execution</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enter into purchase agreements for all of our private company portfolio investments. Private company securities are typically subject to contractual transfer limitations, which may, among other things, give the issuer, its assignees and/or its stockholders a particular period of time, often 30 days or more,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may be required to deposit the purchase price into escrow upon signing, with the funds released to the seller at closing or returned to us if the closing conditions are not met.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Management and Monitoring</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equity investment. We regularly monitor our portfolio for compliance with the diversification requirements for purposes of maintaining our status as a BDC and a RIC for tax purposes.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Managerial Assistance</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As a BDC, we are required to offer, and in some cases may provide and be paid for, significant managerial assistance to portfolio companies. This assistance typically involves monitoring the operations of portfolio companies, participating in their board and management meetings, consulting with and advising their officers and providing other organizational and financial guidance. We will provide such managerial assistance on our behalf to portfolio companies that request assistance. We may receive fees for these services, subject to review by our Board of Directors, including our independent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Overview</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shows the fair value of our portfolio of investments by asset class as of December 31,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80" w:type="dxa"/>
            <w:vAlign w:val="bottom"/>
            <w:gridSpan w:val="5"/>
          </w:tcPr>
          <w:p>
            <w:pPr>
              <w:jc w:val="right"/>
              <w:ind w:right="116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gridSpan w:val="6"/>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70"/>
        </w:trPr>
        <w:tc>
          <w:tcPr>
            <w:tcW w:w="3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jc w:val="center"/>
              <w:ind w:right="740"/>
              <w:spacing w:after="0" w:line="170"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340" w:type="dxa"/>
            <w:vAlign w:val="bottom"/>
            <w:tcBorders>
              <w:top w:val="single" w:sz="8" w:color="auto"/>
            </w:tcBorders>
          </w:tcPr>
          <w:p>
            <w:pPr>
              <w:jc w:val="right"/>
              <w:ind w:right="182"/>
              <w:spacing w:after="0" w:line="170"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jc w:val="center"/>
              <w:ind w:right="740"/>
              <w:spacing w:after="0" w:line="170"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340" w:type="dxa"/>
            <w:vAlign w:val="bottom"/>
            <w:tcBorders>
              <w:top w:val="single" w:sz="8" w:color="auto"/>
            </w:tcBorders>
          </w:tcPr>
          <w:p>
            <w:pPr>
              <w:jc w:val="right"/>
              <w:ind w:right="202"/>
              <w:spacing w:after="0" w:line="170"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40" w:type="dxa"/>
            <w:vAlign w:val="bottom"/>
            <w:gridSpan w:val="2"/>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w w:val="89"/>
              </w:rPr>
              <w:t>Value</w:t>
            </w:r>
          </w:p>
        </w:tc>
        <w:tc>
          <w:tcPr>
            <w:tcW w:w="1600" w:type="dxa"/>
            <w:vAlign w:val="bottom"/>
            <w:gridSpan w:val="2"/>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8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Portfolio</w:t>
            </w:r>
          </w:p>
        </w:tc>
      </w:tr>
      <w:tr>
        <w:trPr>
          <w:trHeight w:val="188"/>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8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Stock</w:t>
            </w:r>
          </w:p>
        </w:tc>
        <w:tc>
          <w:tcPr>
            <w:tcW w:w="1180" w:type="dxa"/>
            <w:vAlign w:val="bottom"/>
            <w:gridSpan w:val="2"/>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122,744,564</w:t>
            </w:r>
          </w:p>
        </w:tc>
        <w:tc>
          <w:tcPr>
            <w:tcW w:w="100" w:type="dxa"/>
            <w:vAlign w:val="bottom"/>
          </w:tcPr>
          <w:p>
            <w:pPr>
              <w:spacing w:after="0"/>
              <w:rPr>
                <w:sz w:val="16"/>
                <w:szCs w:val="16"/>
                <w:color w:val="auto"/>
              </w:rPr>
            </w:pPr>
          </w:p>
        </w:tc>
        <w:tc>
          <w:tcPr>
            <w:tcW w:w="16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49.5%</w:t>
            </w:r>
          </w:p>
        </w:tc>
        <w:tc>
          <w:tcPr>
            <w:tcW w:w="42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117,214,465</w:t>
            </w:r>
          </w:p>
        </w:tc>
        <w:tc>
          <w:tcPr>
            <w:tcW w:w="120" w:type="dxa"/>
            <w:vAlign w:val="bottom"/>
          </w:tcPr>
          <w:p>
            <w:pPr>
              <w:spacing w:after="0"/>
              <w:rPr>
                <w:sz w:val="16"/>
                <w:szCs w:val="16"/>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48.4%</w:t>
            </w:r>
          </w:p>
        </w:tc>
      </w:tr>
      <w:tr>
        <w:trPr>
          <w:trHeight w:val="188"/>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39,086,792</w:t>
            </w: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18,692,931</w:t>
            </w:r>
          </w:p>
        </w:tc>
        <w:tc>
          <w:tcPr>
            <w:tcW w:w="12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r>
      <w:tr>
        <w:trPr>
          <w:trHeight w:val="188"/>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Debt Investments</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3,098,734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4,488,200</w:t>
            </w:r>
          </w:p>
        </w:tc>
        <w:tc>
          <w:tcPr>
            <w:tcW w:w="120" w:type="dxa"/>
            <w:vAlign w:val="bottom"/>
          </w:tcPr>
          <w:p>
            <w:pPr>
              <w:spacing w:after="0"/>
              <w:rPr>
                <w:sz w:val="16"/>
                <w:szCs w:val="16"/>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r>
      <w:tr>
        <w:trPr>
          <w:trHeight w:val="220"/>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3,638,161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3,469,497</w:t>
            </w:r>
          </w:p>
        </w:tc>
        <w:tc>
          <w:tcPr>
            <w:tcW w:w="1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r>
      <w:tr>
        <w:trPr>
          <w:trHeight w:val="175"/>
        </w:trPr>
        <w:tc>
          <w:tcPr>
            <w:tcW w:w="3420" w:type="dxa"/>
            <w:vAlign w:val="bottom"/>
            <w:tcBorders>
              <w:top w:val="single" w:sz="8" w:color="CCEEFF"/>
              <w:bottom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86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168,568,251</w:t>
            </w:r>
          </w:p>
        </w:tc>
        <w:tc>
          <w:tcPr>
            <w:tcW w:w="3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68.0</w:t>
            </w:r>
          </w:p>
        </w:tc>
        <w:tc>
          <w:tcPr>
            <w:tcW w:w="260" w:type="dxa"/>
            <w:vAlign w:val="bottom"/>
            <w:tcBorders>
              <w:top w:val="single" w:sz="8" w:color="CCEEFF"/>
              <w:bottom w:val="single" w:sz="8" w:color="CCEEFF"/>
            </w:tcBorders>
          </w:tcPr>
          <w:p>
            <w:pPr>
              <w:jc w:val="right"/>
              <w:ind w:right="42"/>
              <w:spacing w:after="0" w:line="171" w:lineRule="exact"/>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143,865,093</w:t>
            </w:r>
          </w:p>
        </w:tc>
        <w:tc>
          <w:tcPr>
            <w:tcW w:w="3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59.4</w:t>
            </w:r>
          </w:p>
        </w:tc>
        <w:tc>
          <w:tcPr>
            <w:tcW w:w="140" w:type="dxa"/>
            <w:vAlign w:val="bottom"/>
            <w:tcBorders>
              <w:top w:val="single" w:sz="8" w:color="CCEEFF"/>
              <w:bottom w:val="single" w:sz="8" w:color="CCEEFF"/>
            </w:tcBorders>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w w:val="74"/>
              </w:rPr>
              <w:t>%</w:t>
            </w:r>
          </w:p>
        </w:tc>
      </w:tr>
      <w:tr>
        <w:trPr>
          <w:trHeight w:val="18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13,548,248</w:t>
            </w:r>
          </w:p>
        </w:tc>
        <w:tc>
          <w:tcPr>
            <w:tcW w:w="100" w:type="dxa"/>
            <w:vAlign w:val="bottom"/>
          </w:tcPr>
          <w:p>
            <w:pPr>
              <w:spacing w:after="0"/>
              <w:rPr>
                <w:sz w:val="16"/>
                <w:szCs w:val="16"/>
                <w:color w:val="auto"/>
              </w:rPr>
            </w:pPr>
          </w:p>
        </w:tc>
        <w:tc>
          <w:tcPr>
            <w:tcW w:w="16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13,323,485</w:t>
            </w:r>
          </w:p>
        </w:tc>
        <w:tc>
          <w:tcPr>
            <w:tcW w:w="120" w:type="dxa"/>
            <w:vAlign w:val="bottom"/>
          </w:tcPr>
          <w:p>
            <w:pPr>
              <w:spacing w:after="0"/>
              <w:rPr>
                <w:sz w:val="16"/>
                <w:szCs w:val="16"/>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r>
      <w:tr>
        <w:trPr>
          <w:trHeight w:val="220"/>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1,964,750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75"/>
        </w:trPr>
        <w:tc>
          <w:tcPr>
            <w:tcW w:w="3420" w:type="dxa"/>
            <w:vAlign w:val="bottom"/>
            <w:tcBorders>
              <w:top w:val="single" w:sz="8" w:color="CCEEFF"/>
              <w:bottom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86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15,512,998</w:t>
            </w:r>
          </w:p>
        </w:tc>
        <w:tc>
          <w:tcPr>
            <w:tcW w:w="3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6.3</w:t>
            </w:r>
          </w:p>
        </w:tc>
        <w:tc>
          <w:tcPr>
            <w:tcW w:w="260" w:type="dxa"/>
            <w:vAlign w:val="bottom"/>
            <w:tcBorders>
              <w:top w:val="single" w:sz="8" w:color="CCEEFF"/>
              <w:bottom w:val="single" w:sz="8" w:color="CCEEFF"/>
            </w:tcBorders>
          </w:tcPr>
          <w:p>
            <w:pPr>
              <w:jc w:val="right"/>
              <w:ind w:right="42"/>
              <w:spacing w:after="0" w:line="171" w:lineRule="exact"/>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13,323,485</w:t>
            </w:r>
          </w:p>
        </w:tc>
        <w:tc>
          <w:tcPr>
            <w:tcW w:w="3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5.5</w:t>
            </w:r>
          </w:p>
        </w:tc>
        <w:tc>
          <w:tcPr>
            <w:tcW w:w="140" w:type="dxa"/>
            <w:vAlign w:val="bottom"/>
            <w:tcBorders>
              <w:top w:val="single" w:sz="8" w:color="CCEEFF"/>
              <w:bottom w:val="single" w:sz="8" w:color="CCEEFF"/>
            </w:tcBorders>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w w:val="74"/>
              </w:rPr>
              <w:t>%</w:t>
            </w:r>
          </w:p>
        </w:tc>
      </w:tr>
      <w:tr>
        <w:trPr>
          <w:trHeight w:val="208"/>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Portfolio Investments</w:t>
            </w:r>
          </w:p>
        </w:tc>
        <w:tc>
          <w:tcPr>
            <w:tcW w:w="8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184,081,249</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157,188,578</w:t>
            </w: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172"/>
        </w:trPr>
        <w:tc>
          <w:tcPr>
            <w:tcW w:w="342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Non-Portfolio Investments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0"/>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U.S. Treasury Bills</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63,810,855</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85,056,817</w:t>
            </w:r>
          </w:p>
        </w:tc>
        <w:tc>
          <w:tcPr>
            <w:tcW w:w="1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35.1%</w:t>
            </w:r>
          </w:p>
        </w:tc>
      </w:tr>
      <w:tr>
        <w:trPr>
          <w:trHeight w:val="183"/>
        </w:trPr>
        <w:tc>
          <w:tcPr>
            <w:tcW w:w="3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86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247,892,104</w:t>
            </w:r>
          </w:p>
        </w:tc>
        <w:tc>
          <w:tcPr>
            <w:tcW w:w="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tcBorders>
              <w:top w:val="single" w:sz="8" w:color="CCEEFF"/>
            </w:tcBorders>
          </w:tcPr>
          <w:p>
            <w:pPr>
              <w:jc w:val="right"/>
              <w:ind w:right="42"/>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242,245,395</w:t>
            </w:r>
          </w:p>
        </w:tc>
        <w:tc>
          <w:tcPr>
            <w:tcW w:w="3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Determination of Net Asset Value</w:t>
      </w:r>
    </w:p>
    <w:p>
      <w:pPr>
        <w:spacing w:after="0" w:line="19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We determine the net asset value (“NAV”) of our investment portfolio after the conclusion of each fiscal quarter in connection with the preparation of our annual and quarterly reports filed under the Securities Exchange Act of 1934, as amended (the “Exchange Act”), or more frequently if required under the 1940 Act.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and in accordance with Rule 2a-5 as promulgated under the 1940 Act. In connection with that determination, our executive officers and investment professionals will prepare portfolio company valuations using, when available,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spacing w:after="0" w:line="168"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For those securities that are not publicly traded or for which there are no readily available market quotations, our Board of Directors, with the assistance of its valuation committee (the “Valuation Committee”), will use the recommended valuations as prepared by our executive officers and investment professionals and the independent valuation firm, respectively, as a component of the foundation for its final fair value determination.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on such investments when we believe that an investment has become impaired and record unrealized appreciation if we believe that the underlying portfolio company has appreciated in value and our equity security has also appreciated in value. Changes in fair value are recorded in the Consolidated Statement of Operations as the net change in unrealized appreciation or depreciation.</w:t>
      </w:r>
    </w:p>
    <w:p>
      <w:pPr>
        <w:spacing w:after="0" w:line="17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Board of Directors generally determines the fair value of our investments by considering a number of factors. The following represent factors that, among others, could impact our fair value determinations:</w:t>
      </w:r>
    </w:p>
    <w:p>
      <w:pPr>
        <w:spacing w:after="0" w:line="150" w:lineRule="exact"/>
        <w:rPr>
          <w:sz w:val="20"/>
          <w:szCs w:val="20"/>
          <w:color w:val="auto"/>
        </w:rPr>
      </w:pPr>
    </w:p>
    <w:p>
      <w:pPr>
        <w:ind w:left="560" w:hanging="284"/>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trading of our portfolio securities, taking into consideration lock-up requirements and liquidity;</w:t>
      </w:r>
    </w:p>
    <w:p>
      <w:pPr>
        <w:spacing w:after="0" w:line="192"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Active trading of our portfolio securities on a private secondary market, where we have determined that there is meaningful volume and the transactions are considered arm’s length by sophisticated investors;</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Qualified funding rounds in the companies in which we invested, where there is meaningful and reputable information available on size, valuation and investors; and</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investments by us in current portfolio companies, where the price of the new investment differs materially from prior investments.</w:t>
      </w:r>
    </w:p>
    <w:p>
      <w:pPr>
        <w:spacing w:after="0" w:line="192"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There is inherent subjectivity in determining the fair value of our investments. We expect that most of our portfolio investments, other than those for which market quotations are readily available and that may be sold without restriction, will be valued at fair value as determined in good faith by our Board of Directors, with the assistance of our Valuation Committee. Furthermore, when calculating NAV, we also consider our recognition of a deferred tax liability for unrealized gains on investments for those investments held in our taxable subsidiaries. See “Note 1—Nature of Operations” to our Consolidated Financial Statements for the year ended December 31, 2023 for a list of our taxable subsidiaries.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as a BDC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A BDC is regulated by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primarily in privately owned companies.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64"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As with other companies regulated by the 1940 Act, a BDC must adhere to certain substantive regulatory requirements. A majority of our directors must be persons who are not “interested persons” as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6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w:t>
      </w:r>
    </w:p>
    <w:p>
      <w:pPr>
        <w:spacing w:after="0" w:line="16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SBCAA modified the asset coverage percentage for BDCs, reducing the required coverage percentage for senior securities from 200% to 150%, subject to certain conditions. Under the SBCAA,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SBCAA allows the majority of our independent directors to approve an increase in our leverage capacity, and such approval would become effective on the one-year anniversary of such approval. In either case, we would be required to make certain disclosures on our website and in SEC filings regarding, among other things, the receipt of approval to increase our leverage, our leverage capacity and usage, and risks related to leverage.</w:t>
      </w:r>
    </w:p>
    <w:p>
      <w:pPr>
        <w:spacing w:after="0" w:line="16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Pursuant to the SBCAA, the SEC issued rules or amendments to rules allowing BDCs to use the same securities offering and proxy rules that are available to operating companies, including, among other things, allowing BDCs to incorporate by reference in registration statements filed with the SEC and allowing certain BDCs to file shelf registration statements that are automatically effective and take advantage of other benefits available to Well-Known Seasoned Issuers.</w:t>
      </w:r>
    </w:p>
    <w:p>
      <w:pPr>
        <w:spacing w:after="0" w:line="159"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indirect expenses. Our investment portfolio is also subject to diversification requirements by virtue of our election to be treated as a RIC for U.S. federal income tax purposes and our intention to continue to operate in a manner so as to qualify for the tax treatment applicable to RICs. See “Risk Factors—Risks Related to Our Business and Structure” in Part I, Item 1A of this Form 10-K for more information.</w:t>
      </w:r>
    </w:p>
    <w:p>
      <w:pPr>
        <w:spacing w:after="0" w:line="16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62"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are generally not able to issue and sell our common stock at a price below NAV per share. See “Risk Factors—Risks Related to Our Business and Structure—</w:t>
      </w:r>
      <w:r>
        <w:rPr>
          <w:rFonts w:ascii="Times New Roman" w:cs="Times New Roman" w:eastAsia="Times New Roman" w:hAnsi="Times New Roman"/>
          <w:sz w:val="16"/>
          <w:szCs w:val="16"/>
          <w:i w:val="1"/>
          <w:iCs w:val="1"/>
          <w:color w:val="auto"/>
        </w:rPr>
        <w:t>Regulations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governing our operation as a BDC affect our ability to, and the way in which we, raise additional capital, which may expose us to risks, including the typical risks associated with leverage</w:t>
      </w:r>
      <w:r>
        <w:rPr>
          <w:rFonts w:ascii="Times New Roman" w:cs="Times New Roman" w:eastAsia="Times New Roman" w:hAnsi="Times New Roman"/>
          <w:sz w:val="16"/>
          <w:szCs w:val="16"/>
          <w:color w:val="auto"/>
        </w:rPr>
        <w:t>.” in Part I, Item 1A of this Form 10-K. We may, however, sell our common stock, or warrants, options or rights to acquire our common stock, at a price below the then-current NAV of our common stock if our Board of Directors determines that such sale is in our best interests and the best interests of our stockholders, and our stockholders approve such sale. In addition, we may generally issue new shares of our common stock at a price below NAV in rights offerings to existing stockholders, in payment of dividends and in certain other limited circumstances.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As a BDC, we are also prohibited under the 1940 Act from knowingly participating in certain transactions with our affiliates without the prior approval of our Board of Directors who are not interested persons and, in some cases, prior approval by the SEC. The affiliates with which we may be prohibited from transacting include our directors, officers and employees and any person controlling or under common control with us, subject to certain exceptions. For example, under the 1940 Act, absent receipt of exemptive relief from the SEC, we and certain of our affiliates are generally precluded from co-investing in negotiated private placements of securities.</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are subject to periodic examination by the SEC for compliance with the 1940 Act.</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a BDC, we are subject to certain risks and uncertainties. See “Risk Factors—Risks Related to Our Business and Structure” in Part I, Item 1A of this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Qualifying Assets</w:t>
      </w:r>
    </w:p>
    <w:p>
      <w:pPr>
        <w:spacing w:after="0" w:line="19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gross assets. The principal categories of qualifying assets relevant to our business are the following:</w:t>
      </w:r>
    </w:p>
    <w:p>
      <w:pPr>
        <w:spacing w:after="0" w:line="159" w:lineRule="exact"/>
        <w:rPr>
          <w:sz w:val="20"/>
          <w:szCs w:val="20"/>
          <w:color w:val="auto"/>
        </w:rPr>
      </w:pPr>
    </w:p>
    <w:p>
      <w:pPr>
        <w:jc w:val="both"/>
        <w:ind w:left="560" w:hanging="284"/>
        <w:spacing w:after="0" w:line="258"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58"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organized under the laws of, and has its principal place of business in, the United States;</w:t>
      </w:r>
    </w:p>
    <w:p>
      <w:pPr>
        <w:spacing w:after="0" w:line="192" w:lineRule="exact"/>
        <w:rPr>
          <w:rFonts w:ascii="Times New Roman" w:cs="Times New Roman" w:eastAsia="Times New Roman" w:hAnsi="Times New Roman"/>
          <w:sz w:val="16"/>
          <w:szCs w:val="16"/>
          <w:color w:val="auto"/>
        </w:rPr>
      </w:pPr>
    </w:p>
    <w:p>
      <w:pPr>
        <w:ind w:left="840" w:right="20" w:hanging="282"/>
        <w:spacing w:after="0" w:line="270" w:lineRule="auto"/>
        <w:tabs>
          <w:tab w:leader="none" w:pos="8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an investment company (other than a small business investment company wholly owned by the BDC) or a company that would be an investment company but for certain exclusions under the 1940 Act; and</w:t>
      </w:r>
    </w:p>
    <w:p>
      <w:pPr>
        <w:spacing w:after="0" w:line="150" w:lineRule="exact"/>
        <w:rPr>
          <w:rFonts w:ascii="Times New Roman" w:cs="Times New Roman" w:eastAsia="Times New Roman" w:hAnsi="Times New Roman"/>
          <w:sz w:val="16"/>
          <w:szCs w:val="16"/>
          <w:color w:val="auto"/>
        </w:rPr>
      </w:pPr>
    </w:p>
    <w:p>
      <w:pPr>
        <w:ind w:left="840" w:hanging="282"/>
        <w:spacing w:after="0"/>
        <w:tabs>
          <w:tab w:leader="none" w:pos="8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satisfies any of the following:</w:t>
      </w:r>
    </w:p>
    <w:p>
      <w:pPr>
        <w:spacing w:after="0" w:line="192" w:lineRule="exact"/>
        <w:rPr>
          <w:rFonts w:ascii="Times New Roman" w:cs="Times New Roman" w:eastAsia="Times New Roman" w:hAnsi="Times New Roman"/>
          <w:sz w:val="16"/>
          <w:szCs w:val="16"/>
          <w:color w:val="auto"/>
        </w:rPr>
      </w:pPr>
    </w:p>
    <w:p>
      <w:pPr>
        <w:ind w:left="1120" w:hanging="280"/>
        <w:spacing w:after="0"/>
        <w:tabs>
          <w:tab w:leader="none" w:pos="112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any class of securities that is traded on a national securities exchange;</w:t>
      </w:r>
    </w:p>
    <w:p>
      <w:pPr>
        <w:spacing w:after="0" w:line="192" w:lineRule="exact"/>
        <w:rPr>
          <w:rFonts w:ascii="Times New Roman" w:cs="Times New Roman" w:eastAsia="Times New Roman" w:hAnsi="Times New Roman"/>
          <w:sz w:val="16"/>
          <w:szCs w:val="16"/>
          <w:color w:val="auto"/>
        </w:rPr>
      </w:pPr>
    </w:p>
    <w:p>
      <w:pPr>
        <w:ind w:left="1120" w:right="20" w:hanging="280"/>
        <w:spacing w:after="0" w:line="270" w:lineRule="auto"/>
        <w:tabs>
          <w:tab w:leader="none" w:pos="112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a class of securities listed on a national securities exchange, but has an aggregate market value of outstanding voting and non-voting common equity of less than $250.0 million;</w:t>
      </w:r>
    </w:p>
    <w:p>
      <w:pPr>
        <w:spacing w:after="0" w:line="150" w:lineRule="exact"/>
        <w:rPr>
          <w:rFonts w:ascii="Times New Roman" w:cs="Times New Roman" w:eastAsia="Times New Roman" w:hAnsi="Times New Roman"/>
          <w:sz w:val="16"/>
          <w:szCs w:val="16"/>
          <w:color w:val="auto"/>
        </w:rPr>
      </w:pPr>
    </w:p>
    <w:p>
      <w:pPr>
        <w:ind w:left="1120" w:hanging="280"/>
        <w:spacing w:after="0"/>
        <w:tabs>
          <w:tab w:leader="none" w:pos="112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controlled by a BDC or a group of companies including a BDC and the BDC has an affiliated person who is a director of the eligible portfolio company;</w:t>
      </w:r>
    </w:p>
    <w:p>
      <w:pPr>
        <w:spacing w:after="0" w:line="192" w:lineRule="exact"/>
        <w:rPr>
          <w:rFonts w:ascii="Times New Roman" w:cs="Times New Roman" w:eastAsia="Times New Roman" w:hAnsi="Times New Roman"/>
          <w:sz w:val="16"/>
          <w:szCs w:val="16"/>
          <w:color w:val="auto"/>
        </w:rPr>
      </w:pPr>
    </w:p>
    <w:p>
      <w:pPr>
        <w:ind w:left="1120" w:hanging="280"/>
        <w:spacing w:after="0"/>
        <w:tabs>
          <w:tab w:leader="none" w:pos="112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small and solvent company having gross assets of not more than $4.0 million and capital and surplus of not less than $2.0 million; or</w:t>
      </w:r>
    </w:p>
    <w:p>
      <w:pPr>
        <w:spacing w:after="0" w:line="192" w:lineRule="exact"/>
        <w:rPr>
          <w:rFonts w:ascii="Times New Roman" w:cs="Times New Roman" w:eastAsia="Times New Roman" w:hAnsi="Times New Roman"/>
          <w:sz w:val="16"/>
          <w:szCs w:val="16"/>
          <w:color w:val="auto"/>
        </w:rPr>
      </w:pPr>
    </w:p>
    <w:p>
      <w:pPr>
        <w:ind w:left="1120" w:hanging="280"/>
        <w:spacing w:after="0"/>
        <w:tabs>
          <w:tab w:leader="none" w:pos="1120" w:val="left"/>
        </w:tabs>
        <w:numPr>
          <w:ilvl w:val="2"/>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meets such other criteria as may be established by the SEC.</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any eligible portfolio company which we control.</w:t>
      </w:r>
    </w:p>
    <w:p>
      <w:pPr>
        <w:spacing w:after="0" w:line="192" w:lineRule="exact"/>
        <w:rPr>
          <w:rFonts w:ascii="Times New Roman" w:cs="Times New Roman" w:eastAsia="Times New Roman" w:hAnsi="Times New Roman"/>
          <w:sz w:val="16"/>
          <w:szCs w:val="16"/>
          <w:color w:val="auto"/>
        </w:rPr>
      </w:pPr>
    </w:p>
    <w:p>
      <w:pPr>
        <w:jc w:val="both"/>
        <w:ind w:left="560" w:right="20" w:hanging="284"/>
        <w:spacing w:after="0" w:line="258"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58"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50"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received in exchange for or distributed on or with respect to securities described in (1) through (4) above, or pursuant to the exercise of options, warrants or rights relating to such securities.</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cash equivalents, U.S. government securities or high-quality debt securities maturing in one year or less from the time of investment.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50"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our business operations, deferred organization and operating expenses, and other non-investment assets necessary and appropriate to our operations as a BDC, until such time as 70% of our then-current gross assets were comprised of qualifying assets. We would not be required, however, to dispose of any non-qualifying assets in such circumstances.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Managerial Assistance to Portfolio Companies</w:t>
      </w:r>
    </w:p>
    <w:p>
      <w:pPr>
        <w:spacing w:after="0" w:line="196"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A BDC generally must offer to make available to the issuer of the securities it holds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significant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See “Business — Managerial Assistance” in Part I, Item 1 of this Form 10-K for more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Temporary Investments</w:t>
      </w:r>
    </w:p>
    <w:p>
      <w:pPr>
        <w:spacing w:after="0" w:line="19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We will monitor the creditworthiness of the counterparties with which we enter into repurchase agreement transactions.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 and Options</w:t>
      </w:r>
    </w:p>
    <w:p>
      <w:pPr>
        <w:spacing w:after="0" w:line="196" w:lineRule="exact"/>
        <w:rPr>
          <w:sz w:val="20"/>
          <w:szCs w:val="20"/>
          <w:color w:val="auto"/>
        </w:rPr>
      </w:pPr>
    </w:p>
    <w:p>
      <w:pPr>
        <w:jc w:val="both"/>
        <w:ind w:firstLine="282"/>
        <w:spacing w:after="0" w:line="267" w:lineRule="auto"/>
        <w:rPr>
          <w:sz w:val="20"/>
          <w:szCs w:val="20"/>
          <w:color w:val="auto"/>
        </w:rPr>
      </w:pPr>
      <w:r>
        <w:rPr>
          <w:rFonts w:ascii="Times New Roman" w:cs="Times New Roman" w:eastAsia="Times New Roman" w:hAnsi="Times New Roman"/>
          <w:sz w:val="15"/>
          <w:szCs w:val="15"/>
          <w:color w:val="auto"/>
        </w:rPr>
        <w:t>Under the 1940 Act, a BDC is subject to restrictions on the amount of warrants, options, restricted stock or rights to purchase shares of capital stock that it may have outstanding at any time. Under the 1940 Act, we may generally only offer warrants provided that (i) the warrants expire by their terms within ten years, (ii) the exercise or conversion price is not less than the current market value at the date of issuance, (iii) our stockholders authorize the proposal to issue such warrants, and our Board of Directors approves such issuance on the basis that the issuance is in the best interests of us and our stockholders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 This amount is reduced to 20% of the BDC’s total outstanding shares of capital stock if the amount of warrants, options or rights issued pursuant to an executive compensation plan would exceed 15% of the BDC’s total outstanding shares of capital stock.</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Securities</w:t>
      </w:r>
    </w:p>
    <w:p>
      <w:pPr>
        <w:spacing w:after="0" w:line="196"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 xml:space="preserve">We are permitted, under specified conditions, to issue multiple classes of indebtedness and one class of stock senior to our common stock if our asset coverage, as defined in the 1940 Act, is at least equal to 200% (or 150% if certain requirements are met)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Related to Our Business and Structure — </w:t>
      </w:r>
      <w:r>
        <w:rPr>
          <w:rFonts w:ascii="Times New Roman" w:cs="Times New Roman" w:eastAsia="Times New Roman" w:hAnsi="Times New Roman"/>
          <w:sz w:val="15"/>
          <w:szCs w:val="15"/>
          <w:i w:val="1"/>
          <w:iCs w:val="1"/>
          <w:color w:val="auto"/>
        </w:rPr>
        <w:t>Borrowings, such as the 6.00% Notes due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2026, can magnify the potential for gain or loss on amounts invested and may increase the risk of investing in us.</w:t>
      </w:r>
      <w:r>
        <w:rPr>
          <w:rFonts w:ascii="Times New Roman" w:cs="Times New Roman" w:eastAsia="Times New Roman" w:hAnsi="Times New Roman"/>
          <w:sz w:val="15"/>
          <w:szCs w:val="15"/>
          <w:color w:val="auto"/>
        </w:rPr>
        <w:t>” in Part I, Item 1A of this Form 10-K.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Code of Ethics</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 xml:space="preserve">We have adopted a code of ethics pursuant to Rule 17j-1 under the 1940 Act. This code establishes procedures for personal investments and restricts certain transactions by our personnel. Our code of ethics and our code of business conduct and ethics are available on the EDGAR database on the SEC’s Internet site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 and are available on our website. You may also obtain copies of our code of ethics and our code of business conduct and ethics, after paying a duplicating fee, by electronic request at the following email address: publicinfo@sec.gov.</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Compliance Policies and Procedures</w:t>
      </w:r>
    </w:p>
    <w:p>
      <w:pPr>
        <w:spacing w:after="0" w:line="194"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We have adopted and implemented written policies and procedures reasonably designed to detect and prevent violation of the federal securities laws and review these compliance policies and procedures annually for their adequacy and the effectiveness of their implementation. Our Chief Compliance Officer is responsible for administering these policies and procedures.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Compliance with Corporate Governance Regulations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Sarbanes-Oxley Act imposes a wide variety of regulatory requirements on publicly held companies and their insiders. Many of these requirements affect us. For example:</w:t>
      </w:r>
    </w:p>
    <w:p>
      <w:pPr>
        <w:spacing w:after="0" w:line="204" w:lineRule="exact"/>
        <w:rPr>
          <w:sz w:val="20"/>
          <w:szCs w:val="20"/>
          <w:color w:val="auto"/>
        </w:rPr>
      </w:pPr>
    </w:p>
    <w:p>
      <w:pPr>
        <w:ind w:left="560" w:right="20" w:hanging="284"/>
        <w:spacing w:after="0" w:line="270" w:lineRule="auto"/>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13a-14 of the Exchange Act, our Chief Executive Officer and Chief Financial Officer must certify the accuracy of the financial statements contained in our periodic reports;</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307 of Regulation S-K, our periodic reports must disclose our conclusions about the effectiveness of our disclosure controls and procedures;</w:t>
      </w:r>
    </w:p>
    <w:p>
      <w:pPr>
        <w:spacing w:after="0" w:line="192" w:lineRule="exact"/>
        <w:rPr>
          <w:rFonts w:ascii="Times New Roman" w:cs="Times New Roman" w:eastAsia="Times New Roman" w:hAnsi="Times New Roman"/>
          <w:sz w:val="16"/>
          <w:szCs w:val="16"/>
          <w:color w:val="auto"/>
        </w:rPr>
      </w:pPr>
    </w:p>
    <w:p>
      <w:pPr>
        <w:jc w:val="both"/>
        <w:ind w:left="560" w:hanging="284"/>
        <w:spacing w:after="0" w:line="258" w:lineRule="auto"/>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13a-15 of the Exchange Act, our management must prepare an annual report regarding its assessment of our internal control over financial reporting, and we must obtain an audit of the effectiveness of internal control over financial reporting performed by our independent registered public accounting firm if we are no longer a non-accelerated filer (as defined in Rule 12b-2 under the Exchange Act); and</w:t>
      </w:r>
    </w:p>
    <w:p>
      <w:pPr>
        <w:spacing w:after="0" w:line="158" w:lineRule="exact"/>
        <w:rPr>
          <w:rFonts w:ascii="Times New Roman" w:cs="Times New Roman" w:eastAsia="Times New Roman" w:hAnsi="Times New Roman"/>
          <w:sz w:val="16"/>
          <w:szCs w:val="16"/>
          <w:color w:val="auto"/>
        </w:rPr>
      </w:pPr>
    </w:p>
    <w:p>
      <w:pPr>
        <w:jc w:val="both"/>
        <w:ind w:left="560" w:hanging="284"/>
        <w:spacing w:after="0" w:line="258" w:lineRule="auto"/>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308 of Regulation S-K and Rule 13a-15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pacing w:after="0" w:line="159"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59" w:lineRule="exact"/>
        <w:rPr>
          <w:sz w:val="20"/>
          <w:szCs w:val="20"/>
          <w:color w:val="auto"/>
        </w:rPr>
      </w:pPr>
    </w:p>
    <w:p>
      <w:pPr>
        <w:jc w:val="both"/>
        <w:ind w:right="20" w:firstLine="282"/>
        <w:spacing w:after="0" w:line="304" w:lineRule="auto"/>
        <w:rPr>
          <w:sz w:val="20"/>
          <w:szCs w:val="20"/>
          <w:color w:val="auto"/>
        </w:rPr>
      </w:pPr>
      <w:r>
        <w:rPr>
          <w:rFonts w:ascii="Times New Roman" w:cs="Times New Roman" w:eastAsia="Times New Roman" w:hAnsi="Times New Roman"/>
          <w:sz w:val="15"/>
          <w:szCs w:val="15"/>
          <w:color w:val="auto"/>
        </w:rPr>
        <w:t>In addition, Nasdaq has adopted various corporate governance requirements as part of its listing standards. We believe we are in compliance with such corporate governance listing standards. We will continue to monitor our compliance with all future listing standards and will take actions necessary to ensure that we are in compliance therewith.</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Proxy Voting Policies and Procedures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Proxy Policies</w:t>
      </w:r>
    </w:p>
    <w:p>
      <w:pPr>
        <w:spacing w:after="0" w:line="19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will vote proxies relating to our portfolio securities in what we perceive to be the best interests of our stockholders. We will review on a case-by-case basis each proposal submitted for a vote to determine its impact on the portfolio securities held by us. Although we will generally vote against proposals that may have a negative impact on our portfolio securities, we may vote for such a proposal if there are compelling long-term reasons to do so.</w:t>
      </w:r>
    </w:p>
    <w:p>
      <w:pPr>
        <w:spacing w:after="0" w:line="159"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Our proxy voting decisions are made by our executive officers and investment professionals who are responsible for monitoring the relevant investments. To ensure that our vote is not the product of a conflict of interest, we require that: (1) anyone involved in the decision-making process disclose to our Chief Compliance Officer any potential conflict that he or she is aware of and any contact that he or she has had with any interested party regarding a proxy vote; and (2) employees involved in the decision-making process or vote administration are prohibited from revealing how we intend to vote on a proposal without the prior approval of the Chief Compliance Officer and our senior management in order to reduce any attempted influence from interested parties.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Proxy Voting Records</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You may obtain information about how we voted proxies with respect to our portfolio securities by making a written request for proxy voting information to: Chief Compliance Officer, SuRo Capital Corp., 640 Fifth Avenue, 12th Floor, New York, NY 10019 or compliance@surocap.com.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Privacy Principles</w:t>
      </w:r>
    </w:p>
    <w:p>
      <w:pPr>
        <w:spacing w:after="0" w:line="19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50"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59"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restrict access to non-public personal information about our stockholders to our employees and affiliates with a legitimate business need for the information. We maintain physical, electronic and procedural safeguards designed to protect the non-public personal information of our stockholders.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9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 xml:space="preserve">The SEC maintains an Internet site that contains reports, proxy and information statements, and other information regarding issuers that file electronically with the SEC. The address of that site is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color w:val="auto"/>
        </w:rPr>
        <w:t xml:space="preserve">Our internet address is </w:t>
      </w:r>
      <w:r>
        <w:rPr>
          <w:rFonts w:ascii="Times New Roman" w:cs="Times New Roman" w:eastAsia="Times New Roman" w:hAnsi="Times New Roman"/>
          <w:sz w:val="16"/>
          <w:szCs w:val="16"/>
          <w:i w:val="1"/>
          <w:iCs w:val="1"/>
          <w:color w:val="auto"/>
        </w:rPr>
        <w:t>www.surocap.com.</w:t>
      </w:r>
      <w:r>
        <w:rPr>
          <w:rFonts w:ascii="Times New Roman" w:cs="Times New Roman" w:eastAsia="Times New Roman" w:hAnsi="Times New Roman"/>
          <w:sz w:val="16"/>
          <w:szCs w:val="16"/>
          <w:color w:val="auto"/>
        </w:rPr>
        <w:t xml:space="preserve"> We make available free of charge on our website our annual report on Form 10-K, quarterly reports on Form 10-Q, current reports on Form 8-K, proxy statements and amendments to those reports as soon as reasonably practicable after we electronically file such material with, or furnish it to, the SEC. The information on our website is not incorporated by reference into and should not be considered to be part of this annual report on Form 10-K.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U.S. Federal Income Tax Considerations</w:t>
      </w:r>
    </w:p>
    <w:p>
      <w:pPr>
        <w:spacing w:after="0" w:line="19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Included in our consolidated financial statements are GSV Capital Lending, LLC, SuRo Capital Sports, LLC, and the following wholly owned subsidiaries, which are taxable subsidiaries (collectively, the “Taxable Subsidiaries”) regardless of whether we qualify for tax treatment as a RIC: GSVC AE Holdings, Inc., GSVC AV Holdings, Inc., GSVC SW Holdings, Inc., and GSVC SVDS Holdings, Inc. The Taxable Subsidiaries are C corporations for U.S. federal and state income tax purposes.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evaluate tax positions taken, or expected to be taken, in the course of preparing our consolidated financial statements to determine whether the tax positions are “more-likely-than-not” to be sustained by the applicable tax authority. We recognize the tax benefits of uncertain tax positions only when the position has met the “more-likely-than-not” threshold. We classify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We have identified our major tax jurisdictions as U.S. federal and New York.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Election to be Taxed as a RIC</w:t>
      </w:r>
    </w:p>
    <w:p>
      <w:pPr>
        <w:spacing w:after="0" w:line="19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elected to be taxed as a RIC under the Code beginning with our taxable year ended December 31, 2014, and qualified for taxation as a RIC for such taxable year and each of the subsequent taxable years, including the fiscal year ended December 31, 2023. We intend to operate in a manner so as to continue to qualify for taxation as a RIC. So long as we maintain our qualification for taxation a RIC, we generally will not be required to pay U.S. federal income tax at corporate rates on any ordinary income or capital gains that we timely distribute to our stockholders as dividends. To qualify for taxation as a RIC, we must, among other things, meet certain source-of-income and asset diversification requirements (as described below). In addition, in order to qualify for the special treatment accorded to RICs, we are required to distribute to our stockholders on a timely basis each year at least 90% of our “investment company taxable income,” which is generally our net ordinary income plus the excess of realized net short-term capital gains over realized net long-term capital losses (the “Annual Distribution Requirement”).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as a Regulated Investment Company</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we:</w:t>
      </w:r>
    </w:p>
    <w:p>
      <w:pPr>
        <w:spacing w:after="0" w:line="192" w:lineRule="exact"/>
        <w:rPr>
          <w:sz w:val="20"/>
          <w:szCs w:val="20"/>
          <w:color w:val="auto"/>
        </w:rPr>
      </w:pPr>
    </w:p>
    <w:p>
      <w:pPr>
        <w:ind w:left="560" w:hanging="284"/>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qualify as a RIC; and</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satisfy the Annual Distribution Requirement,</w:t>
      </w:r>
    </w:p>
    <w:p>
      <w:pPr>
        <w:spacing w:after="0" w:line="19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then we will not be subject to U.S. federal income tax on the portion of our income and capital gains that we timely distribute (or are deemed to distribute) to stockholders. We will be subject to U.S. federal income tax at the regular corporate rates on any income, including capital gains not distributed (or deemed distributed) to our stockholders.</w:t>
      </w:r>
    </w:p>
    <w:p>
      <w:pPr>
        <w:spacing w:after="0" w:line="150"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will be subject to a 4% nondeductible U.S. federal excise tax on certain undistributed income unless we distribute in a timely manner each calendar year an amount equal to at least the sum of (1) 98% of our net ordinary income for each calendar year, (2) 98.2% of our capital gains in excess of capital losses for the one-year period ending October 31 in that calendar year and (3) any ordinary income and net capital gains that we recognized for preceding years but were not distributed during such years and on which we paid no U.S. federal income tax (the “Excise Tax Avoidance Requirement”). While we intend to timely distribute our income and capital gains in order to avoid imposition of this 4% U.S. federal excise tax, we may not be successful in avoiding entirely the imposition of this tax. In that case, we will be liable for the tax only on the amount by which we do not meet the foregoing distribution requirement.</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order to qualify as a RIC for U.S. federal income tax purposes, we must, among other things:</w:t>
      </w:r>
    </w:p>
    <w:p>
      <w:pPr>
        <w:spacing w:after="0" w:line="192" w:lineRule="exact"/>
        <w:rPr>
          <w:sz w:val="20"/>
          <w:szCs w:val="20"/>
          <w:color w:val="auto"/>
        </w:rPr>
      </w:pPr>
    </w:p>
    <w:p>
      <w:pPr>
        <w:ind w:left="560" w:hanging="284"/>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qualify as a BDC under the 1940 Act at all times during each taxable year;</w:t>
      </w:r>
    </w:p>
    <w:p>
      <w:pPr>
        <w:spacing w:after="0" w:line="192" w:lineRule="exact"/>
        <w:rPr>
          <w:rFonts w:ascii="Times New Roman" w:cs="Times New Roman" w:eastAsia="Times New Roman" w:hAnsi="Times New Roman"/>
          <w:sz w:val="16"/>
          <w:szCs w:val="16"/>
          <w:color w:val="auto"/>
        </w:rPr>
      </w:pPr>
    </w:p>
    <w:p>
      <w:pPr>
        <w:jc w:val="both"/>
        <w:ind w:left="560" w:hanging="284"/>
        <w:spacing w:after="0" w:line="258" w:lineRule="auto"/>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derive in each taxable year at least 90% of our gross income from dividends, interest, payments with respect to loans of certain securities, gains from the sale of stock or other securities or foreign currencies, other income derived with respect to our business of investing in such stock or securities and net income from “qualified publicly traded partnerships” (the “90% Income Test”); and</w:t>
      </w:r>
    </w:p>
    <w:p>
      <w:pPr>
        <w:spacing w:after="0" w:line="158"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diversify our holdings so that at the end of each quarter of the taxable year:</w:t>
      </w:r>
    </w:p>
    <w:p>
      <w:pPr>
        <w:spacing w:after="0" w:line="192" w:lineRule="exact"/>
        <w:rPr>
          <w:rFonts w:ascii="Times New Roman" w:cs="Times New Roman" w:eastAsia="Times New Roman" w:hAnsi="Times New Roman"/>
          <w:sz w:val="16"/>
          <w:szCs w:val="16"/>
          <w:color w:val="auto"/>
        </w:rPr>
      </w:pPr>
    </w:p>
    <w:p>
      <w:pPr>
        <w:jc w:val="both"/>
        <w:ind w:left="840" w:hanging="282"/>
        <w:spacing w:after="0" w:line="258" w:lineRule="auto"/>
        <w:tabs>
          <w:tab w:leader="none" w:pos="84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(the “50% Diversification Test”); and</w:t>
      </w:r>
    </w:p>
    <w:p>
      <w:pPr>
        <w:spacing w:after="0" w:line="158" w:lineRule="exact"/>
        <w:rPr>
          <w:rFonts w:ascii="Times New Roman" w:cs="Times New Roman" w:eastAsia="Times New Roman" w:hAnsi="Times New Roman"/>
          <w:sz w:val="16"/>
          <w:szCs w:val="16"/>
          <w:color w:val="auto"/>
        </w:rPr>
      </w:pPr>
    </w:p>
    <w:p>
      <w:pPr>
        <w:jc w:val="both"/>
        <w:ind w:left="840" w:hanging="282"/>
        <w:spacing w:after="0" w:line="253" w:lineRule="auto"/>
        <w:tabs>
          <w:tab w:leader="none" w:pos="84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more than 25% of the value of our assets is invested in the securities of one issuer, other than U.S. government securities or securities of other RICs, the securities (other than securities of other RICs) of two or more issuers that are controlled, as determined under applicable Code rules, by us and that are engaged in the same or similar or related trades or the securities of businesses, or of certain “qualified publicly traded partnerships” (the “25% Diversification Test,” and together with the 50% Diversification Test, the “Diversification Tests”).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If we satisfy the Diversification Tests as of the close of any quarter, we will not fail the Diversification Tests as of the close of a subsequent quarter as a consequence of a discrepancy between the value of our assets and the requirements of the Diversification Tests that is attributable solely to fluctuations in the value of our assets. Rather, we will fail the Diversification Tests as of the end of a subsequent quarter only if such a discrepancy existed immediately after our acquisition of any asset and such discrepancy is wholly or partly the result of that acquisition. In addition, if we fail the Diversification Tests as of the end of any quarter, we will not lose our status as a RIC if we eliminate the discrepancy within thirty days of the end of such quarter and, if we eliminate the discrepancy within that thirty-day period, we will be treated as having satisfied the Diversification Tests as of the end of such quarter for purposes of applying the rule described in the preceding sentence.</w:t>
      </w:r>
    </w:p>
    <w:p>
      <w:pPr>
        <w:spacing w:after="0" w:line="16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and the Excise Tax Avoidance Requirement, even though we will not have received any corresponding cash amount.</w:t>
      </w:r>
    </w:p>
    <w:p>
      <w:pPr>
        <w:spacing w:after="0" w:line="172"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We will be subject to certain asset coverage ratio requirements under the 1940 Act and financial covenants under loan and credit agreements that could, under certain circumstances, restrict us from making distributions necessary to satisfy the Annual Distribution Requirement. See “—Regulation as a BDC—Senior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6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may be required to sell assets in order to satisfy the Diversification Tests. However, our ability to dispose of assets to meet the Diversification Tests may be limited by the illiquid nature of our portfolio. If we dispose of assets in order to meet the Diversification Tests, we may make such dispositions at times that, from an investment standpoint, are not advantageous and may result in substantial losses.</w:t>
      </w:r>
    </w:p>
    <w:p>
      <w:pPr>
        <w:spacing w:after="0" w:line="159"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may invest in partnerships, including qualified publicly traded partnerships, which may result in our being subject to state, local or foreign income taxes, franchise taxes, or withholding liabilities. To the extent that we invest in entities treated as partnerships for U.S. federal income tax purposes (other than a “qualified publicly traded partnership”, as defined in the Code), we generally must include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w:t>
      </w:r>
    </w:p>
    <w:p>
      <w:pPr>
        <w:spacing w:after="0" w:line="16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In order to meet the 90% Income Test, we may establish one or more special purpose corporations to hold assets from which we do not anticipate earning dividend, interest or other qualifying income under the 90% Income Test. Any investments held through a special purpose corporation would generally be subject to U.S. federal income and other taxes, and therefore we can expect to achieve a reduced after-tax yield on such investments.</w:t>
      </w:r>
    </w:p>
    <w:p>
      <w:pPr>
        <w:spacing w:after="0" w:line="159"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A portfolio company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w:t>
      </w:r>
    </w:p>
    <w:p>
      <w:pPr>
        <w:spacing w:after="0" w:line="159" w:lineRule="exact"/>
        <w:rPr>
          <w:sz w:val="20"/>
          <w:szCs w:val="20"/>
          <w:color w:val="auto"/>
        </w:rPr>
      </w:pPr>
    </w:p>
    <w:p>
      <w:pPr>
        <w:jc w:val="both"/>
        <w:ind w:right="20" w:firstLine="282"/>
        <w:spacing w:after="0" w:line="283" w:lineRule="auto"/>
        <w:rPr>
          <w:sz w:val="20"/>
          <w:szCs w:val="20"/>
          <w:color w:val="auto"/>
        </w:rPr>
      </w:pPr>
      <w:r>
        <w:rPr>
          <w:rFonts w:ascii="Times New Roman" w:cs="Times New Roman" w:eastAsia="Times New Roman" w:hAnsi="Times New Roman"/>
          <w:sz w:val="15"/>
          <w:szCs w:val="15"/>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adjusted tax basis in the stock purchased under the warrant will equal the sum of the amount paid for the warrant plus the strike price paid on the exercise of the warrant.</w:t>
      </w:r>
    </w:p>
    <w:p>
      <w:pPr>
        <w:spacing w:after="0" w:line="142"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As a RIC, we are generally limited in our ability to deduct expenses in excess of our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or net capital gains for several years that we are required to distribute and that is taxable to our stockholders even if such income or net capital gains is greater than the aggregate net income we actually earned during those years. Such required distributions may be made from the Company’s cash assets or by liquidation of investments, if necessary. We may realize gains or losses from such liquidations. In the event we realize net capital gains from such transactions, a stockholder may receive a larger capital gain distribution than it would have received in the absence of such transactions.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investment in non-U.S. securities may be subject to non-U.S. income, withholding and other taxes. In that case, our yield on those securities would be decreased.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will generally not be entitled to claim a credit or deduction with respect to non-U.S. taxes paid by us.</w:t>
      </w:r>
    </w:p>
    <w:p>
      <w:pPr>
        <w:spacing w:after="0" w:line="177"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If we purchase shares in a “passive foreign investment company” (a “PFIC”), we may be subject to U.S. federal income tax on our allocable share of a portion of any “excess distribution” received on, or any gain from the disposition of, such shares. Additional charges in the nature of interest generally will be imposed on us in respect of deferred taxes arising from any such excess distribution or gain. This additional tax and interest may apply even if we make a distribution in an amount equal to any “excess distribution” or gain from the disposition of such shares as a taxable dividend by us to our shareholders. If we invest in a PFIC and elect to treat the PFIC as a “qualified electing fund” under the Code (a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its shares in a PFIC; in this case, we will recognize as ordinary income our allocable share of any increase in the value of such shares, and as ordinary loss our allocable share of any decrease in such value to the extent that any such decrease does not exceed prior increases included in our income. Under either election, we may be required to recognize in a year income in excess of distributions from PFICs and proceeds from dispositions of PFIC stock during that year, and such income will nevertheless be subject to the Annual Distribution Requirement and will be taken into account for purposes of the 4% U.S. federal excise tax.</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Maintain our Qualification as a RIC</w:t>
      </w:r>
    </w:p>
    <w:p>
      <w:pPr>
        <w:spacing w:after="0" w:line="196"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If we fail to satisfy the 90% Income Test or the Diversification Tests for any taxable year, we may nevertheless continue to qualify as a RIC for such year if certain relief provisions are applicable (which may, among other things, require us to pay certain U.S. federal income taxes at corporate rates or to dispose of certain assets).</w:t>
      </w:r>
    </w:p>
    <w:p>
      <w:pPr>
        <w:spacing w:after="0" w:line="150"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that, subject to certain limitations, may be eligible for the 20% maximum rate to the extent of our current and accumulated earnings and profits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that would reduce the stockholder’s adjusted tax basis in its common stock (and correspondingly increase such stockholder’s gain, or reduce such stockholder’s loss, on disposition of such common stock),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Tax matters are complicated and the tax consequences to an investor of an investment in our common stock will depend on the facts of his, her or its particular situation. We encourage investors to consult their own tax advisers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157" w:lineRule="exact"/>
        <w:rPr>
          <w:sz w:val="20"/>
          <w:szCs w:val="20"/>
          <w:color w:val="auto"/>
        </w:rPr>
      </w:pPr>
    </w:p>
    <w:p>
      <w:pPr>
        <w:jc w:val="both"/>
        <w:ind w:firstLine="282"/>
        <w:spacing w:after="0" w:line="273" w:lineRule="auto"/>
        <w:rPr>
          <w:sz w:val="20"/>
          <w:szCs w:val="20"/>
          <w:color w:val="auto"/>
        </w:rPr>
      </w:pPr>
      <w:r>
        <w:rPr>
          <w:rFonts w:ascii="Times New Roman" w:cs="Times New Roman" w:eastAsia="Times New Roman" w:hAnsi="Times New Roman"/>
          <w:sz w:val="16"/>
          <w:szCs w:val="16"/>
          <w:color w:val="auto"/>
        </w:rPr>
        <w:t>See “Risk Factors—Risks Related to Our Business and Structure” in Part I, Item 1A of this Form 10-K and “Note 2—Significant Accounting Policies—</w:t>
      </w:r>
      <w:r>
        <w:rPr>
          <w:rFonts w:ascii="Times New Roman" w:cs="Times New Roman" w:eastAsia="Times New Roman" w:hAnsi="Times New Roman"/>
          <w:sz w:val="16"/>
          <w:szCs w:val="16"/>
          <w:i w:val="1"/>
          <w:iCs w:val="1"/>
          <w:color w:val="auto"/>
        </w:rPr>
        <w:t>U.S. Federal and State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and “Note 9—Income Taxes” to our Consolidated Financial Statements for the year ended December 31, 2023 for further detail.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9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Investing in our securities involves a number of significant risks. In addition to the other information contained in this annual report on Form 10-K, you should consider carefully the following information before making an investment in our securities. Although the risks described below represent the principal risks associated with an investment in us, they are not the only risks we face. Additional risks and uncertainties not presently known to us might also impair our operations and performance. If any of the following events occur, our business, financial condition and results of operations could be materially and adversely affected. In such case, our NAV and the trading price of our common stock could decline, and you may lose all or part of your investment.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Principal Risk Factors</w:t>
      </w:r>
    </w:p>
    <w:p>
      <w:pPr>
        <w:spacing w:after="0" w:line="19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The following is a summary of the principal risks that you should carefully consider before investing in our securities and is followed by a more detailed discussion of the material risks related to us and an investment in our securities.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our investments, including but not limited to the following:</w:t>
      </w:r>
    </w:p>
    <w:p>
      <w:pPr>
        <w:spacing w:after="0" w:line="196" w:lineRule="exact"/>
        <w:rPr>
          <w:sz w:val="20"/>
          <w:szCs w:val="20"/>
          <w:color w:val="auto"/>
        </w:rPr>
      </w:pPr>
    </w:p>
    <w:p>
      <w:pPr>
        <w:ind w:left="560" w:hanging="284"/>
        <w:spacing w:after="0" w:line="270"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investments in the rapidly growing venture capital-backed emerging companies that we target may be extremely risky, and we could lose all or part of our investments.</w:t>
      </w:r>
    </w:p>
    <w:p>
      <w:pPr>
        <w:spacing w:after="0" w:line="150"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our investments are generally not in publicly traded securities, there will be uncertainty regarding the value of our investments, which could adversely affect the determination of our NAV.</w:t>
      </w:r>
    </w:p>
    <w:p>
      <w:pPr>
        <w:spacing w:after="0" w:line="150"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lack of liquidity in, and potentially extended holding period of, our many investments may adversely affect our business and will delay any distributions of gains, if any.</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Investing in publicly traded companies can involve a high degree of risk and can be speculative.</w:t>
      </w:r>
    </w:p>
    <w:p>
      <w:pPr>
        <w:spacing w:after="0" w:line="192"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realize gains from our equity investments and, because certain of our portfolio companies may incur substantial debt to finance their operations, we may experience a complete loss on our equity investments in the event of a bankruptcy or liquidation of any of our portfolio companies.</w:t>
      </w:r>
    </w:p>
    <w:p>
      <w:pPr>
        <w:spacing w:after="0" w:line="150"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Many of our portfolio companies are currently experiencing operating losses, which may be substantial, and there can be no assurance when or if such companies will operate at a profit.</w:t>
      </w:r>
    </w:p>
    <w:p>
      <w:pPr>
        <w:spacing w:after="0" w:line="150"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portfolio is concentrated in a limited number of portfolio companies or market sectors, which subjects us to a risk of significant loss if the business or market position of these companies deteriorates or market sectors experiences a market downturn.</w:t>
      </w:r>
    </w:p>
    <w:p>
      <w:pPr>
        <w:spacing w:after="0" w:line="150"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limited in our ability to make follow-on investments, and our failure to make follow-on investments in our portfolio companies could impair the value of our portfolio.</w:t>
      </w:r>
    </w:p>
    <w:p>
      <w:pPr>
        <w:spacing w:after="0" w:line="150"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unique risks specific to our investments in the sponsors of SPACs.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we invest in foreign companies, such investments may be subject to unique risks in addition to those inherent to our investments in U.S.-based companies.</w:t>
      </w:r>
    </w:p>
    <w:p>
      <w:pPr>
        <w:spacing w:after="0" w:line="203" w:lineRule="exact"/>
        <w:rPr>
          <w:rFonts w:ascii="Times New Roman" w:cs="Times New Roman" w:eastAsia="Times New Roman" w:hAnsi="Times New Roman"/>
          <w:sz w:val="15"/>
          <w:szCs w:val="15"/>
          <w:color w:val="auto"/>
        </w:rPr>
      </w:pPr>
    </w:p>
    <w:p>
      <w:pPr>
        <w:ind w:left="560" w:hanging="284"/>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risks associated with hedging transactions and investments in derivatives.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our business and structure, including but not limited to the following:</w:t>
      </w:r>
    </w:p>
    <w:p>
      <w:pPr>
        <w:spacing w:after="0" w:line="196" w:lineRule="exact"/>
        <w:rPr>
          <w:sz w:val="20"/>
          <w:szCs w:val="20"/>
          <w:color w:val="auto"/>
        </w:rPr>
      </w:pPr>
    </w:p>
    <w:p>
      <w:pPr>
        <w:ind w:left="560" w:hanging="284"/>
        <w:spacing w:after="0" w:line="270"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an internally managed BDC, we are subject to certain restrictions that may adversely affect our business and are dependent upon our management team and investment professionals for our future success.</w:t>
      </w:r>
    </w:p>
    <w:p>
      <w:pPr>
        <w:spacing w:after="0" w:line="150"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model depends upon the development and maintenance of strong referral relationships with private equity, venture capital funds and investment banking firms.</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condition and results of operations will depend on our ability to achieve our investment objective.</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or regulations governing our operations may adversely affect our business or cause us to alter our business strategy.</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political and market conditions may adversely affect our business, results of operations and financial condition.</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exposed to risks associated with changes in interest rates and inflation rates.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highly competitive market for direct equity investment opportunities.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use of borrowed funds to make investments exposes us to risks typically associated with leverage.</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Ineffective internal controls could impact our business and operating results.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cyber-security risks.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securities, include but are not limited to the following:</w:t>
      </w:r>
    </w:p>
    <w:p>
      <w:pPr>
        <w:spacing w:after="0" w:line="196" w:lineRule="exact"/>
        <w:rPr>
          <w:sz w:val="20"/>
          <w:szCs w:val="20"/>
          <w:color w:val="auto"/>
        </w:rPr>
      </w:pPr>
    </w:p>
    <w:p>
      <w:pPr>
        <w:ind w:left="560" w:hanging="284"/>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Investing in our securities may involve an above average degree of risk.</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stock price may be volatile and may decrease substantially.</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pay distributions to our stockholders and our distributions may not grow over time.</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stockholders may experience dilution upon the issuance of additional shares of our common stock.</w:t>
      </w:r>
    </w:p>
    <w:p>
      <w:pPr>
        <w:spacing w:after="0" w:line="192"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default under any future credit facility or any other future indebtedness, we may not be able to make payments on our 6.00% Notes due 2026 (the “6.00% Notes due 2026”).</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choose to redeem the 6.00% Notes due 2026 when prevailing interest rates are relatively low.</w:t>
      </w:r>
    </w:p>
    <w:p>
      <w:pPr>
        <w:spacing w:after="0" w:line="192"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active trading market for the 6.00% Notes due 2026 may not develop or be maintained, which could limit a holder’s ability to sell the 6.00% Notes due 2026 and/or adversely impact the market price of the 6.00% Notes due 2026.</w:t>
      </w:r>
    </w:p>
    <w:p>
      <w:pPr>
        <w:spacing w:after="0" w:line="150"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be subject to U.S. federal income tax at corporate rates if we are profitable and are unable to qualify as a RIC, which could have a material adverse effect on us and our stockholders.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Investments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in the rapidly growing venture capital-backed emerging companies that we target may be extremely risky, and we could lose all or part of our investments.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Investment in the rapidly growing venture capital-backed emerging companies that we target involves a number of significant risks, including the following:</w:t>
      </w:r>
    </w:p>
    <w:p>
      <w:pPr>
        <w:spacing w:after="0" w:line="192" w:lineRule="exact"/>
        <w:rPr>
          <w:sz w:val="20"/>
          <w:szCs w:val="20"/>
          <w:color w:val="auto"/>
        </w:rPr>
      </w:pPr>
    </w:p>
    <w:p>
      <w:pPr>
        <w:jc w:val="both"/>
        <w:ind w:left="560" w:right="20" w:hanging="284"/>
        <w:spacing w:after="0" w:line="258"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bankruptcy or liquidation and the reduction or loss of our equity investment;</w:t>
      </w:r>
    </w:p>
    <w:p>
      <w:pPr>
        <w:spacing w:after="0" w:line="158"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spacing w:after="0" w:line="150" w:lineRule="exact"/>
        <w:rPr>
          <w:rFonts w:ascii="Times New Roman" w:cs="Times New Roman" w:eastAsia="Times New Roman" w:hAnsi="Times New Roman"/>
          <w:sz w:val="16"/>
          <w:szCs w:val="16"/>
          <w:color w:val="auto"/>
        </w:rPr>
      </w:pPr>
    </w:p>
    <w:p>
      <w:pPr>
        <w:jc w:val="both"/>
        <w:ind w:left="560" w:hanging="284"/>
        <w:spacing w:after="0" w:line="258"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generally have less predictable operating results, may from time to time be parties to litigation, may be engaged in rapidly changing industries or sectors with products subject to a substantial risk of obsolescence, and may require substantial additional capital to support their operations, finance expansion or maintain their competitive position;</w:t>
      </w:r>
    </w:p>
    <w:p>
      <w:pPr>
        <w:spacing w:after="0" w:line="158"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these private companies may currently experience operating losses, which may be substantial, and there can be no assurance when or if such companies will operate at a profit;</w:t>
      </w:r>
    </w:p>
    <w:p>
      <w:pPr>
        <w:spacing w:after="0" w:line="150" w:lineRule="exact"/>
        <w:rPr>
          <w:rFonts w:ascii="Times New Roman" w:cs="Times New Roman" w:eastAsia="Times New Roman" w:hAnsi="Times New Roman"/>
          <w:sz w:val="16"/>
          <w:szCs w:val="16"/>
          <w:color w:val="auto"/>
        </w:rPr>
      </w:pPr>
    </w:p>
    <w:p>
      <w:pPr>
        <w:jc w:val="both"/>
        <w:ind w:left="560" w:hanging="284"/>
        <w:spacing w:after="0" w:line="253"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they are privately owned, there is generally little publicly available information about these companies; therefore, although we will perform due diligence investigations on these companies, their operations and their prospects, we may not learn all of the material information we need to know regarding these businesses and, in the case of investments we acquire on private secondary transactions, we may be unable to obtain financial or other information regarding the companies with respect to which we invest. Furthermore, there can be no assurance that the information that we do obtain with respect to any investment is reliable;</w:t>
      </w:r>
    </w:p>
    <w:p>
      <w:pPr>
        <w:spacing w:after="0" w:line="164"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may be adversely affected by a lack of IPO or merger and acquisition opportunities;</w:t>
      </w:r>
    </w:p>
    <w:p>
      <w:pPr>
        <w:spacing w:after="0" w:line="192" w:lineRule="exact"/>
        <w:rPr>
          <w:rFonts w:ascii="Times New Roman" w:cs="Times New Roman" w:eastAsia="Times New Roman" w:hAnsi="Times New Roman"/>
          <w:sz w:val="16"/>
          <w:szCs w:val="16"/>
          <w:color w:val="auto"/>
        </w:rPr>
      </w:pPr>
    </w:p>
    <w:p>
      <w:pPr>
        <w:jc w:val="both"/>
        <w:ind w:left="560" w:hanging="284"/>
        <w:spacing w:after="0" w:line="253"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private companies frequently have much more complex capital structures than traditional publicly traded companies, and may have multiple classes of equity securities with differing rights, including with respect to voting and distributions. In certain cases, these private companies may also have senior or pari passu preferred stock or senior debt outstanding, which may heighten the risk of investing in the underlying equity of such private companies, particularly in circumstance when we have limited information with respect to such capital structures; and</w:t>
      </w:r>
    </w:p>
    <w:p>
      <w:pPr>
        <w:spacing w:after="0" w:line="164"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they are more likely to depend on the management talents and efforts of a small group of persons; therefore, the death, disability, resignation or termination of one or more of these persons could have a material adverse impact on the portfolio company and, in turn, on us.</w:t>
      </w:r>
    </w:p>
    <w:p>
      <w:pPr>
        <w:spacing w:after="0" w:line="150"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equity investment in such portfolio company. We may incur expenses to the extent necessary to seek recovery of our equity investment or to negotiate new terms with a financially distressed portfolio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Because our investments are generally not in publicly traded securities, there will be uncertainty regarding the value of our investments, which could adversely affect the determination of our NAV.</w:t>
      </w:r>
    </w:p>
    <w:p>
      <w:pPr>
        <w:spacing w:after="0" w:line="145"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5"/>
          <w:szCs w:val="15"/>
          <w:color w:val="auto"/>
        </w:rPr>
        <w:t>Our portfolio investments will generally not be in publicly traded securities. As a result, although we expect that some of our equity investments may trade on private secondary marketplaces, the fair value of our direct investments in portfolio companies will often not be readily determinable. Under the 1940 Act, for our investments for which there are no readily available market quotations, including securities that, while listed on a private securities exchange, have not actively traded, we will value such securities at fair value quarterly as determined in good faith by our Board of Directors based upon the recommendation of the Valuation Committee in accordance with our written valuation policy and in compliance with Rule 2a-5. In connection with that determination, our executive officers and investment professionals will prepare portfolio company valuations using, where available, the most recent portfolio company financial statements and forecasts. The Valuation Committee utilizes the services of an independent valuation firm, which prepares valuations for each of our portfolio investments that are not publicly traded or for which we do not have readily available market quotations, including securities that while listed on a private securities exchange, have not actively traded. However, the Board of Directors retains ultimate authority as to the appropriate valuation of each such investment. The types of factors that the Board of Directors takes into account in determining fair value with respect to such non-traded investments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when we are able to obtain such information, there can be no assurance that it is complete or accurate. Because such valuations are inherently uncertain and may be based on estimates, our determinations of fair value may differ materially from the values that would be assessed if a readily available market for these securities existed. Due to this uncertainty, fair value determinations with respect to any non-traded investments we hold may cause our NAV on a given date to materially understate or overstate the value that we may ultimately realize on one or more of our investments. As a result, investors purchasing our securities based on an overstated NAV would pay a higher price than the value of our investments might warrant. Conversely, investors selling securities during a period in which the NAV understates the value of our investments would receive a lower price for their securities than the value of our investments might warrant.</w:t>
      </w:r>
    </w:p>
    <w:p>
      <w:pPr>
        <w:spacing w:after="0" w:line="155"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5"/>
          <w:szCs w:val="15"/>
          <w:b w:val="1"/>
          <w:bCs w:val="1"/>
          <w:i w:val="1"/>
          <w:iCs w:val="1"/>
          <w:color w:val="auto"/>
        </w:rPr>
        <w:t>The securities of our private portfolio companies are illiquid, and the inability of these portfolio companies to complete an IPO or consummate another liquidity event within our targeted time frame will extend the holding period of our investments, may adversely affect the value of these investments, and will delay the distribution of gains, if any.</w:t>
      </w:r>
    </w:p>
    <w:p>
      <w:pPr>
        <w:spacing w:after="0" w:line="123"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The IPO market is, by its very nature, unpredictable, and IPO activity in particular has slowed significantly during 2022-2023, which trend may remain for the foreseeable future. A lack of IPO opportunities for venture capital-backed companies could lead to companies staying in our portfolio longer as private entities still requiring funding. This situation may adversely affect the amount of available venture capital funding to late-stage companies that cannot complete an IPO. Such stagnation could dampen returns or could lead to unrealized depreciation and realized losses as some companies run short of cash and have to accept lower valuations in private fundings or are not able to access additional capital at all. A lack of IPO opportunities for venture capital-backed companies may also cause some venture capital firms to change their strategies, leading some of them to reduce funding to their portfolio companies and making it more difficult for such companies to access capital. This might result in unrealized depreciation and realized losses in such companies by other investment funds, like us, who are co-investors in such companies. There can be no assurance that we will be able to achieve our targeted return on our portfolio company investments if, as and when they go public.</w:t>
      </w:r>
    </w:p>
    <w:p>
      <w:pPr>
        <w:spacing w:after="0" w:line="172"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The equity securities we acquire in a private company are generally subject to contractual transfer limitations imposed on the company’s stockholders as well as other contractual obligations, such as rights of first refusal and co-sale rights. These obligations generally expire only upon an IPO by the company or the occurrence of another liquidity/exit event. As a result, prior to an IPO or other liquidity/exit event, our ability to liquidate our private portfolio company positions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 rights to participate in the sale, thereby reducing the number of shares available for us to sell. Furthermore, prospective buyers may be deterred from entering into purchase transactions with us due to the delay and uncertainty that these transfer and other limitations create.</w:t>
      </w:r>
    </w:p>
    <w:p>
      <w:pPr>
        <w:spacing w:after="0" w:line="168"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If the private companies in which we invest do not perform as planned, they may be unable to successfully complete an IPO or consummate another liquidity event within our targeted time frame, or they may decide to abandon their plans for an IPO. In such cases, we will likely exceed our targeted holding period and the value of these investments may decline substantially if an IPO or other exit is no longer viable. We may also be forced to take other steps to exit these investments.</w:t>
      </w:r>
    </w:p>
    <w:p>
      <w:pPr>
        <w:spacing w:after="0" w:line="159"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illiquidity of our private portfolio company investments, including those that are traded on the trading platforms of private secondary marketplaces, may make it difficult for us to sell such investments should the need arise. Also, if we were required to liquidate all or a portion of our portfolio quickly, we may realize significantly less than the value at which we have previously recorded our investments. We will have no limitation on the portion of our portfolio that may be invested in illiquid securities, and we anticipate that all or a substantial portion of our portfolio may be invested in such illiquid securities at all times. Due to the inherent uncertainty in determining the fair value of investments that do not have a readily available market value, the fair value of our investments determined in good faith by our Board of Directors may differ significantly from the value that would have been used had a ready market existed for such investments, and the differences could be material.</w:t>
      </w:r>
    </w:p>
    <w:p>
      <w:pPr>
        <w:spacing w:after="0" w:line="166"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In addition, even if a portfolio company completes an IPO, we will typically not be able to sell our position until any applicable post-IPO lockup restriction expires. As a result of lockup restrictions, the market price of securities that we hold may decline substantially before we are able to sell them following an IPO. There is also no assurance that a meaningful trading market will develop for our publicly traded portfolio companies following an IPO to allow us to liquidate our position when we desire.</w:t>
      </w:r>
    </w:p>
    <w:p>
      <w:pPr>
        <w:spacing w:after="0" w:line="159"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In addition, because we generally invest in equity and equity-related securities, with respect to the majority of our portfolio companies, we do not expect regular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in publicly traded companies can involve a high degree of risk and can be speculative.</w:t>
      </w:r>
    </w:p>
    <w:p>
      <w:pPr>
        <w:spacing w:after="0" w:line="196" w:lineRule="exact"/>
        <w:rPr>
          <w:sz w:val="20"/>
          <w:szCs w:val="20"/>
          <w:color w:val="auto"/>
        </w:rPr>
      </w:pPr>
    </w:p>
    <w:p>
      <w:pPr>
        <w:jc w:val="both"/>
        <w:ind w:firstLine="317"/>
        <w:spacing w:after="0" w:line="258" w:lineRule="auto"/>
        <w:rPr>
          <w:sz w:val="20"/>
          <w:szCs w:val="20"/>
          <w:color w:val="auto"/>
        </w:rPr>
      </w:pPr>
      <w:r>
        <w:rPr>
          <w:rFonts w:ascii="Times New Roman" w:cs="Times New Roman" w:eastAsia="Times New Roman" w:hAnsi="Times New Roman"/>
          <w:sz w:val="16"/>
          <w:szCs w:val="16"/>
          <w:color w:val="auto"/>
        </w:rPr>
        <w:t>A portion of our portfolio is invested in publicly traded companies or companies that are in the process of completing an IPO. As publicly traded companies, the securities of these companies may not trade at high volumes, and prices can be volatile, particularly during times of general market volatility, which may restrict our ability to sell our positions and may have a material adverse impact on us.</w:t>
      </w:r>
    </w:p>
    <w:p>
      <w:pPr>
        <w:spacing w:after="0" w:line="159" w:lineRule="exact"/>
        <w:rPr>
          <w:sz w:val="20"/>
          <w:szCs w:val="20"/>
          <w:color w:val="auto"/>
        </w:rPr>
      </w:pPr>
    </w:p>
    <w:p>
      <w:pPr>
        <w:jc w:val="both"/>
        <w:ind w:firstLine="317"/>
        <w:spacing w:after="0" w:line="249" w:lineRule="auto"/>
        <w:rPr>
          <w:sz w:val="20"/>
          <w:szCs w:val="20"/>
          <w:color w:val="auto"/>
        </w:rPr>
      </w:pPr>
      <w:r>
        <w:rPr>
          <w:rFonts w:ascii="Times New Roman" w:cs="Times New Roman" w:eastAsia="Times New Roman" w:hAnsi="Times New Roman"/>
          <w:sz w:val="16"/>
          <w:szCs w:val="16"/>
          <w:color w:val="auto"/>
        </w:rPr>
        <w:t xml:space="preserve">In addition, our ability to invest in public companies may be limited in certain circumstances. To maintain our status as a BDC, we are not permitted to acquire any assets other than “qualifying assets” specified in the 1940 Act unless, at the time the acquisition is made and giving effect to it, at least 70% of our total assets are qualifying assets (with certain limited exceptions). Subject to certain exceptions for follow-on investments and distressed companies, an investment in an issuer that has outstanding securities listed on a national securities exchange may be treated as a qualifying asset only if such issuer has a market capitalization that is less than $250.0 million at any point in the 60 days prior to the time of such investment and meets the other specified requirements. Any failure to maintain our status as a BDC would reduce our operating flexibility, which could have a negative effect on our business, financial condition, and results of operations. See “Risks Related to Our Business and Structure — </w:t>
      </w:r>
      <w:r>
        <w:rPr>
          <w:rFonts w:ascii="Times New Roman" w:cs="Times New Roman" w:eastAsia="Times New Roman" w:hAnsi="Times New Roman"/>
          <w:sz w:val="16"/>
          <w:szCs w:val="16"/>
          <w:i w:val="1"/>
          <w:iCs w:val="1"/>
          <w:color w:val="auto"/>
        </w:rPr>
        <w:t>Any failure on our part to maintain our status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 a BDC would reduce our operating flexibility.</w:t>
      </w:r>
      <w:r>
        <w:rPr>
          <w:rFonts w:ascii="Times New Roman" w:cs="Times New Roman" w:eastAsia="Times New Roman" w:hAnsi="Times New Roman"/>
          <w:sz w:val="16"/>
          <w:szCs w:val="16"/>
          <w:color w:val="auto"/>
        </w:rPr>
        <w:t>”</w:t>
      </w:r>
    </w:p>
    <w:p>
      <w:pPr>
        <w:sectPr>
          <w:pgSz w:w="11900" w:h="16838" w:orient="portrait"/>
          <w:cols w:equalWidth="0" w:num="1">
            <w:col w:w="11260"/>
          </w:cols>
          <w:pgMar w:left="320" w:top="217" w:right="319" w:bottom="1440" w:gutter="0" w:footer="0" w:header="0"/>
        </w:sectPr>
      </w:pP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may not realize gains from our equity investments and, because certain of our portfolio companies may incur substantial debt to finance their operations, we may experience a complete loss on our equity investments in the event of a bankruptcy or liquidation of any of our portfolio companies.</w:t>
      </w:r>
    </w:p>
    <w:p>
      <w:pPr>
        <w:spacing w:after="0" w:line="145"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invest principally in the equity and equity-related securities of what we believe to be rapidly growing venture capital-backed emerging companies. However, the equity interests we acquire may not appreciate in value and, in fact, may decline in value. Investments in equity securities involve a number of significant risks, including the risk of further dilution as a result of additional issuances, inability to access additional capital and failure to pay current distributions.</w:t>
      </w:r>
    </w:p>
    <w:p>
      <w:pPr>
        <w:spacing w:after="0" w:line="159"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 addition, the private company securities we acquire may be subject to drag-along rights, which could permit other stockholders, under certain circumstances, to force us to liquidate our position in a subject company at a specified price, which could be, in our opinion, inadequate or undesirable or even below our cost basis. In this event, we could realize a loss or fail to realize gain in an amount that we deem appropriate on our investment. Further, capital market volatility and the overall market environment may preclude our portfolio companies from realizing liquidity events and impede our exit from these investments. Accordingly, we may not be able to realize gains from our equity interests, and any gains that we do realize on the disposition of any equity interests may not be sufficient to offset any other losses we experience. We will generally have little, if any, control over the timing of any gains we may realize from our equity investments unless and until the portfolio companies in which we invest become publicly traded. In addition, the companies in which we invest may have substantial debt loads. In such cases, we would typically be last in line behind any creditors in a bankruptcy or liquidation and would likely experience a complete loss on our investment.</w:t>
      </w:r>
    </w:p>
    <w:p>
      <w:pPr>
        <w:spacing w:after="0" w:line="16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Many of our portfolio companies are currently experiencing operating losses, which may be substantial, and there can be no assurance when or if such companies will operate at a profit.</w:t>
      </w:r>
    </w:p>
    <w:p>
      <w:pPr>
        <w:spacing w:after="0" w:line="145"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have limited information about the financial performance and profitability of some of our portfolio companies. While certain of our portfolio companies have earned net income in recent periods, we believe that many of our portfolio companies are currently experiencing operating losses. There can be no assurance when or if such companies will operate at a profit. If such companies fail to operate at a profit consistently or ever, such failure may adversely affect our investments, which will, in turn, result in negative effects to our results of operations.</w:t>
      </w:r>
    </w:p>
    <w:p>
      <w:pPr>
        <w:spacing w:after="0" w:line="1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portfolio is concentrated in a limited number of portfolio companies or market sectors, which subjects us to a risk of significant loss if the business or market position of any of these companies deteriorates or any of their market sectors experience a market downturn.</w:t>
      </w:r>
    </w:p>
    <w:p>
      <w:pPr>
        <w:spacing w:after="0" w:line="14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 consequence of our limited number of investments is that the aggregate returns we realize may be significantly adversely affected if a small number of investments perform poorly or if we need to write down the value of any one investment. For example, as of December 31, 2023, 72.3% of our NAV was comprised of investments in ten portfolio companies. Beyond the asset diversification requirements necessary to qualify as a RIC, we have general guidelines for diversification; however,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or the deterioration of the market position of any portfolio company in which we have a material position could materially adversely affect us.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portfolio may be exposed in part to one or more specific industries, which may subject us to a risk of significant loss in a particular investment or investments if there is a downturn in that particular industry. In particular, technology-related sectors in which we invest are subject to many risks, including volatility, intense competition, decreasing life cycles, product obsolescence, changing consumer preferences, periodic downturns, regulatory concerns and litigation risks.</w:t>
      </w:r>
    </w:p>
    <w:p>
      <w:pPr>
        <w:spacing w:after="0" w:line="158"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Our portfolio may be exposed in part to one or more specific industries. A downturn in any particular industry in which we are invested could significantly impact the aggregate returns we realize. If an industry in which we have significant investments suffers from adverse business or economic conditions, a material portion of our investment portfolio could be adversely affected, which, in turn, could adversely affect our financial position and results of operations.</w:t>
      </w:r>
    </w:p>
    <w:p>
      <w:pPr>
        <w:spacing w:after="0" w:line="159"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Given the experience of our executive officers and investment professionals within the technology space, a number of the companies in which we have invested and intend to invest operate in technology-related sectors, and as of December 31, 2023, our largest industry concentrations of our total investments at fair value were in the education technology sector, which represented approximately 37.7% of our portfolio, and the marketplaces sector, which represented approximately 19.8% of our portfolio. Additionally, our investments in the financial technology sector represented approximately 17.5% of our portfolio, and our investments in the cloud and big data sector represents approximately 17.2% of our portfolio. Therefore, we are susceptible to the economic circumstances and market conditions in these industries, and a downturn in one or more of these industries could have a material adverse effect on our business and results of operations.</w:t>
      </w:r>
    </w:p>
    <w:p>
      <w:pPr>
        <w:spacing w:after="0" w:line="16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Our investment in the education technology industry is subject to substantial risks. The revenue, income (or losses) and valuations of technology-related companies can and often do fluctuate suddenly and dramatically. In addition, because of rapid technological change, the average selling prices of products and some services provided by companies in technology-related sectors have historically decreased over their productive lives. In addition, our portfolio companies in these sectors face intense competition since their businesses are rapidly evolving, intensely competitive and subject to changing technology, shifting user needs and frequent introductions of new products and services. For example, new technologies, including those based on artificial intelligence, can provide students with more immediate responses to inquiries than traditional tools, and over time, the accuracy of these tools and their ability to handle complex questions may improve, all of which may be disruptive to education technology businesses.</w:t>
      </w:r>
    </w:p>
    <w:p>
      <w:pPr>
        <w:spacing w:after="0" w:line="166"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Potential competitors to our portfolio companies in the education technology industry range from large and established companies to emerging start-ups. Further, such companies may be subject to laws that were adopted prior to the advent of the Internet and related technologies and, as a result, may not contemplate or address the unique issues of the Internet and related technologies. The laws that do reference the Internet are being interpreted by the courts, but their applicability and scope remain uncertain. Claims have been threatened and filed under both U.S. and foreign laws for defamation, invasion of privacy and other tort claims, unlawful activity, copyright and trademark infringement, or other theories based on the nature and content of the materials searched and the ads posted by a company’s users, a company’s products and services, or content generated by a company’s users. Further, the growth of technology-related companies into a variety of new fields implicate a variety of new regulatory issues and may subject such companies to increased regulatory scrutiny, particularly in the U.S. and Europe. Education technology has been a subject of particular scrutiny; for example, in 2019, certain members of the United States Senate circulated letters to education technology companies regarding their concerns about the amount of data being collected on students utilizing such technologies and the potential safety and security risks to children related to such data collection. Evolving regulatory landscapes and our portfolio companies’ mandated compliance with new laws and regulations could add new challenges to their operations and negatively affect such companies’ results of operations and, in turn, our business.</w:t>
      </w:r>
    </w:p>
    <w:p>
      <w:pPr>
        <w:spacing w:after="0" w:line="157"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Similarly, our investments in the financial technology industry are subject to substantial risks. These companies may be unseasoned, unprofitable or have no established operating histories or earnings and may lack technical, marketing, financial and other resources. These companies often have the need for substantial additional capital to support expansion or to achieve or maintain a competitive position. Less established companies tend to have lower capitalization and fewer resources and, therefore, are often more vulnerable to financial failure. These companies may be dependent upon the success of one product or service, a unique distribution channel, or the effectiveness of a manager or management team. The failure of this one product, service or distribution channel or the loss or ineffectiveness of a key executive or executives within the management team may have a materially adverse impact on such companies. Such companies may face intense competition, including competition from companies with greater financial resources, more extensive development, manufacturing, marketing and service capabilities and a larger number of qualified managerial and technical personnel. Further, these companies operate in the highly regulated finance sector, and evolving regulatory regimes specific to financial technology companies and unclear application of existing laws and regulations to financial technology company products or services may provide new challenges to such companies’ operations and negatively impact their results of operations and, in turn, our business.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Investments in the marketplaces sector are also subject to substantial risks. These investments include portfolio companies in sub-industry sectors such as pharmaceutical technology, micromobility and sports betting, all of which are subject to increasing regulatory scrutiny as technological advancements have permitted greater connectivity and remote consumer engagement. In particular, the sports betting sector has been subject to regulatory scrutiny in recent years as states have legalized the marketplace and engagement has proliferated. Shifting market trends, intense competition and changing regulations specific to any such sub-industry could have a significant impact on our portfolio companies’ operations and, in turn, our business, performance and results of operations.</w:t>
      </w:r>
    </w:p>
    <w:p>
      <w:pPr>
        <w:spacing w:after="0" w:line="16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Finally, our investments in the cloud and big data sector as subject to particular and substantial risks, including those arising from increased regulatory scrutiny, intense competition, shifting market trends. In particular, data collection has been the subject of significant interest and regulatory scrutiny from legislators on both the state and federal levels, and many states have proposed and/or enacted comprehensive and narrow data privacy laws in recent years with implications for the portfolio companies in which we have invested. As these regulatory regimes have evolved, their application to particular industries or the manner in which certain companies operate have been unclear, and these companies may experience new and evolving challenges in seeking to comply with such mandates, with the potential effect of diverting their attention away from operations and towards compliance. Such challenges may thus negatively impact these businesses’ operations, financial condition, and results of operations, thereby affecting the value of our investment.</w:t>
      </w:r>
    </w:p>
    <w:p>
      <w:pPr>
        <w:spacing w:after="0" w:line="168"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Common to all of the education technology, financial technology, marketplace and big data and cloud are risks related to cybersecurity. Any of the portfolio companies in these sectors could be required to make a significant investment to remedy the effects of any cybersecurity incident, harm to their reputations, legal claims that they and their respective affiliates may be subjected to, regulatory action or enforcement arising out of applicable privacy and other laws, adverse publicity, and other events that may affect their business and financial performance. The increased use of mobile and cloud technologies can heighten these and other operational risks.</w:t>
      </w:r>
    </w:p>
    <w:p>
      <w:pPr>
        <w:spacing w:after="0" w:line="16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Any of these factors could materially and adversely affect the business and operations of a portfolio company in the technology industry and, in turn, adversely affect the value of these portfolio companies and the value of any securities that we may hold.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financial results could be negatively affected if a significant portfolio company fails to perform as expected.</w:t>
      </w:r>
    </w:p>
    <w:p>
      <w:pPr>
        <w:spacing w:after="0" w:line="19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Our total investment in companies may be significant individually or in the aggregate. As a result, if a significant investment in one or more companies fails to perform as expected, our financial results could be more negatively affected and the magnitude of the loss could be more significant than if we had made smaller investments in more companies. The following table shows the cost and fair value of our ten largest portfolio company positions as of December 31,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7"/>
              </w:rPr>
              <w:t>% of Net</w:t>
            </w:r>
          </w:p>
        </w:tc>
      </w:tr>
      <w:tr>
        <w:trPr>
          <w:trHeight w:val="188"/>
        </w:trPr>
        <w:tc>
          <w:tcPr>
            <w:tcW w:w="5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0" w:type="dxa"/>
            <w:vAlign w:val="bottom"/>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3"/>
              </w:rPr>
              <w:t>Asset</w:t>
            </w:r>
          </w:p>
        </w:tc>
      </w:tr>
      <w:tr>
        <w:trPr>
          <w:trHeight w:val="210"/>
        </w:trPr>
        <w:tc>
          <w:tcPr>
            <w:tcW w:w="58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Cost</w:t>
            </w:r>
          </w:p>
        </w:tc>
        <w:tc>
          <w:tcPr>
            <w:tcW w:w="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0" w:type="dxa"/>
            <w:vAlign w:val="bottom"/>
            <w:tcBorders>
              <w:bottom w:val="single" w:sz="8" w:color="CCEEFF"/>
            </w:tcBorders>
          </w:tcPr>
          <w:p>
            <w:pPr>
              <w:spacing w:after="0"/>
              <w:rPr>
                <w:sz w:val="18"/>
                <w:szCs w:val="18"/>
                <w:color w:val="auto"/>
              </w:rPr>
            </w:pPr>
          </w:p>
        </w:tc>
      </w:tr>
      <w:tr>
        <w:trPr>
          <w:trHeight w:val="188"/>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Learneo, Inc. (f/k/a Course Hero, Inc.)</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14,999,972</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55,982,551</w:t>
            </w:r>
          </w:p>
        </w:tc>
        <w:tc>
          <w:tcPr>
            <w:tcW w:w="3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188"/>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Stormwind, LLC</w:t>
            </w:r>
          </w:p>
        </w:tc>
        <w:tc>
          <w:tcPr>
            <w:tcW w:w="32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6,387,741</w:t>
            </w:r>
          </w:p>
        </w:tc>
        <w:tc>
          <w:tcPr>
            <w:tcW w:w="30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12,535,875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188"/>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ServiceTitan, Inc.</w:t>
            </w: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10,008,233</w:t>
            </w: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11,960,975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188"/>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Blink Health, Inc.</w:t>
            </w:r>
          </w:p>
        </w:tc>
        <w:tc>
          <w:tcPr>
            <w:tcW w:w="32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15,004,340</w:t>
            </w:r>
          </w:p>
        </w:tc>
        <w:tc>
          <w:tcPr>
            <w:tcW w:w="30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11,692,830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188"/>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Locus Robotics Corp.</w:t>
            </w: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10,004,286</w:t>
            </w: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10,675,766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188"/>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PSQ Holdings, Inc. (d/b/a PublicSquare)</w:t>
            </w:r>
          </w:p>
        </w:tc>
        <w:tc>
          <w:tcPr>
            <w:tcW w:w="32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2,585,240</w:t>
            </w:r>
          </w:p>
        </w:tc>
        <w:tc>
          <w:tcPr>
            <w:tcW w:w="30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10,507,136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188"/>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Architect Capital PayJoy SPV, LLC</w:t>
            </w: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10,006,745</w:t>
            </w: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10,000,000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188"/>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Whoop, Inc.</w:t>
            </w:r>
          </w:p>
        </w:tc>
        <w:tc>
          <w:tcPr>
            <w:tcW w:w="32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10,011,460</w:t>
            </w:r>
          </w:p>
        </w:tc>
        <w:tc>
          <w:tcPr>
            <w:tcW w:w="30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9,612,887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188"/>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Shogun Enterprises, Inc. (d/b/a Hearth)</w:t>
            </w: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8,040,806</w:t>
            </w:r>
          </w:p>
        </w:tc>
        <w:tc>
          <w:tcPr>
            <w:tcW w:w="3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7,083,557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3"/>
        </w:trPr>
        <w:tc>
          <w:tcPr>
            <w:tcW w:w="6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FourKites, Inc.</w:t>
            </w:r>
          </w:p>
        </w:tc>
        <w:tc>
          <w:tcPr>
            <w:tcW w:w="32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8,530,389</w:t>
            </w:r>
          </w:p>
        </w:tc>
        <w:tc>
          <w:tcPr>
            <w:tcW w:w="300" w:type="dxa"/>
            <w:vAlign w:val="bottom"/>
          </w:tcPr>
          <w:p>
            <w:pPr>
              <w:spacing w:after="0"/>
              <w:rPr>
                <w:sz w:val="17"/>
                <w:szCs w:val="17"/>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6,926,176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0"/>
        </w:trPr>
        <w:tc>
          <w:tcPr>
            <w:tcW w:w="61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95,579,212</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146,977,753</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may be limited in our ability to make follow-on investments, and our failure to make follow-on investments in our portfolio companies could impair the value of our portfolio.</w:t>
      </w:r>
    </w:p>
    <w:p>
      <w:pPr>
        <w:spacing w:after="0" w:line="145"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159"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We may elect not to make follow-on investments, or may otherwise lack sufficient funds to make those investments or lack access to desired follow-on investment opportunities. We have the discretion to make any follow-on investments, subject 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qualify to maintain our status as a RIC, or we lack access to the desired follow-on investment opportunity.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In addition, we may be unable to complete follow-on investments in our portfolio companies that have conducted an IPO as a result of regulatory or financial restrictions. This or any of the preceding rationales for failing to undertake a follow-on investment could impact our portfolio companies’ performance and, thus, its value.</w:t>
      </w:r>
    </w:p>
    <w:p>
      <w:pPr>
        <w:spacing w:after="0" w:line="14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14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stockholders, such as venture capital and private equity sponsors, that have substantial investments in our portfolio companies may have interests that differ from that of the portfolio company or its minority stockholders, which may lead them to take actions that could materially and adversely affect the value of our investment in the portfolio company. Due to the lack of liquidity for the equity and equity-related investments that we will typically hold in our portfolio companies, we may not be able to dispose of our investments in the event we disagree with the actions of a portfolio company or its substantial stockholders, and may therefore suffer a decrease in the value of our investments.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 the event that we make an investment in a sponsor of a SPAC and the SPAC does not consummate a business combination, we will lose the entirety of our investment.</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invest selectively in the sponsors of SPACs, which investments are subject to certain particularized and substantial risks. For example, we will lose the entirety of our investment in a sponsor of a SPAC if the underlying SPAC fails to consummate a business combination. Any investment by us in a sponsor of a SPAC will not have the same redemption rights that a direct investment in a SPAC may have. As such, there is a unique risk of experiencing a complete loss on our investment when we invest in a sponsor of a SPAC.</w:t>
      </w:r>
    </w:p>
    <w:p>
      <w:pPr>
        <w:spacing w:after="0" w:line="16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The number of founder shares allocated to us in respect of any investment in a sponsor of a SPAC may be reduced or otherwise subjected to forfeiture/dilution in the event that the sponsor of a SPAC raises additional capital.</w:t>
      </w:r>
    </w:p>
    <w:p>
      <w:pPr>
        <w:spacing w:after="0" w:line="145"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In certain circumstances, the managing member of the sponsor of a SPAC in which we invest may determine that the underlying SPAC requires additional working capital following the IPO of the underlying SPAC but prior to a business combination, as contemplated by the underlying SPAC’s registration statement. Typically, the managing member of the sponsor of a SPAC, in his or her sole and absolute discretion, may permit existing or new members in the sponsor of a SPAC, including us, to make loans to the underlying SPAC or to make additional equity investments in the sponsor of the SPAC as needed. Accordingly, we typically will have no right to participate in any such loans or equity investments unless the managing member, in his or her sole discretion, offers us the opportunity to invest in any such loans or equity investments. In connection with such new loans or equity investments, the managing member may reallocate founder shares from members not participating in any such loans or equity to any such lenders/investors at a ratio calculated in accordance with the formula used to derive the ratio for the initial allocation of founder shares to us and the other members and so long as any reallocation would not affect our or any group of members’ membership interests disproportionately to all members in the aggregate. In such a case, our interest in the founder shares will be reduced or diluted. In the event any such reallocation would affect our or any group of members’ membership interests disproportionately to all members in the aggregate, we will have a limited right to participate in loan or equity investment at issue. If, however, we choose not to participate, our interest in the founder shares would be reduced or diluted as a result. Finally, the managing member may determine in his or her sole and absolute discretion that one or more strategic investors in the sponsor of a SPAC will not be subject to a reallocation of founder shares in the event a loan or equity investment is needed, and if so our interest in the founder shares will be further diluted as a result.</w:t>
      </w:r>
    </w:p>
    <w:p>
      <w:pPr>
        <w:spacing w:after="0" w:line="15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The requirement that a SPAC complete a business combination within a specified completion window may give potential target businesses leverage over the SPAC in negotiating a business combination and may limit the time the SPAC has in which to conduct due diligence on potential business combination targets, in particular as it approaches its dissolution deadline, which could undermine its ability to complete a business combination on terms that would produce value for us.</w:t>
      </w:r>
    </w:p>
    <w:p>
      <w:pPr>
        <w:spacing w:after="0" w:line="158"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Any potential target business that enters into negotiations concerning a business combination with a SPAC in which we invest will be aware that the SPAC must complete a business combination within a specified completion window, which is usually between 18-24 months following the SPAC’s IPO. Consequently, such target business may obtain leverage over the SPAC in negotiating a business combination, knowing that if the SPAC does not complete a business combination with that particular target business, it may be unable to complete a business combination with any target business. This risk will increase as the SPAC gets closer to the timeframe described above. In addition, the SPAC may have limited time to conduct due diligence and may enter into a business combination on terms that it would have rejected upon a more comprehensive investigation. The foregoing could undermine the SPAC’s ability to complete a business combination on terms that would produce value for us.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in foreign companies may involve significant risks in addition to the risks inherent in U.S. investments.</w:t>
      </w:r>
    </w:p>
    <w:p>
      <w:pPr>
        <w:spacing w:after="0" w:line="19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While we invest primarily in U.S. companies, we may invest on an opportunistic basis in certain non-U.S. companies, including those located in emerging markets, that otherwise meet our investment criteria. In regards to the regulatory requirements for BDCs, non-U.S. investments do not qualify as investments in “eligible portfolio companies,” and thus may not be considered “qualifying assets.” In addition, investing in foreign companies, and particularly those in emerging markets, may expose us to additional risks not typically associated with investing in U.S. issuers.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172"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Developments with respect to any one of these or any other factors affecting currency values may negatively impact the value of our investment, thereby resulting in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expose ourselves to risks if we engage in hedging transactions.</w:t>
      </w:r>
    </w:p>
    <w:p>
      <w:pPr>
        <w:spacing w:after="0" w:line="196"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Changes to the regulations applicable to the financial instruments we may use to accomplish our hedging strategy could affect the effectiveness of that strategy. See “</w:t>
      </w:r>
      <w:r>
        <w:rPr>
          <w:rFonts w:ascii="Times New Roman" w:cs="Times New Roman" w:eastAsia="Times New Roman" w:hAnsi="Times New Roman"/>
          <w:sz w:val="16"/>
          <w:szCs w:val="16"/>
          <w:i w:val="1"/>
          <w:iCs w:val="1"/>
          <w:color w:val="auto"/>
        </w:rPr>
        <w:t>—We are exposed to risks associated with changes in interest rates.</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enter into transactions involving derivatives and financial commitment transactions may be limited.</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BDCs that enter into transactions involving derivatives are subject to a value-at-risk (“VaR”) leverage limit, certain other derivatives risk management program and testing requirements and requirements related to board reporting. These requirements apply unless the BDC qualifies as a “limited derivatives user” under the rule. Under Rule 18f-4 under the 1940 Act, a BDC may enter into an unfunded commitment agreement that is not a derivatives transaction, such as an agreement to provide financing to a portfolio company, if the BDC has, among other things, a reasonable belief, at the time it enters into such an agreement, that it will have sufficient cash and cash equivalents to meet its obligations with respect to all of its unfunded commitment agreements, in each case as it becomes due. We currently operate as a “limited derivatives user,” which may limit our ability to use derivatives and/or enter into certain other financial contracts.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The market structure applicable to derivatives imposed by the Dodd-Frank Act, the U.S. Commodity Futures Trading Commission (“CFTC”) and the SEC may affect our ability to use over-the-counter (“OTC”) derivatives for hedging purposes.</w:t>
      </w:r>
    </w:p>
    <w:p>
      <w:pPr>
        <w:spacing w:after="0" w:line="145"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The Dodd-Frank Act and the CFTC enacted, and the SEC has issued rules implementing,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159"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The CFTC and the SEC have issued final rules establishing that certain swap transactions are subject to CFTC regulation. Engaging in such swap or other commodity interest transactions such as futures contracts or options on futures contracts may cause us to fall within the definition of “commodity pool” under the Commodity Exchange Act and related CFTC regulations. We have claimed relief from CFTC registration and regulation as a commodity pool operator with respect to our operations, with the result that we are limited in our ability to use futures contracts or options on futures contracts or engage in swap transactions. Specifically, we are subject to strict limitations on using such derivatives other than for hedging purposes, whereby the use of derivatives not used solely for hedging purposes is generally limited to situations where (i) the aggregate initial margin and premiums required to establish such positions does not exceed five percent of the liquidation value of our portfolio, after taking into account unrealized profits and unrealized losses on any such contracts we have entered into; or (ii) the aggregate net notional value of such derivatives does not exceed 100% of the liquidation value of our portfolio.</w:t>
      </w:r>
    </w:p>
    <w:p>
      <w:pPr>
        <w:spacing w:after="0" w:line="172"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The Dodd-Frank Act also imposed requirements relating to real-time public and regulatory reporting of OTC derivative transactions, enhanced documentation requirements, position limits on an expanded array of derivatives, and record 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Structure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failure on our part to maintain our status as a BDC would reduce our operating flexibility.</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5"/>
          <w:szCs w:val="15"/>
          <w:color w:val="auto"/>
        </w:rPr>
        <w:t>The 1940 Act imposes numerous constraints on the operations of BDCs. For example, BDCs are required to invest at least 70% of their gross assets in specified types of securities, primarily in private companies or thinly traded U.S. public companies, cash, cash equivalents, U.S. government securities and other high quality debt investments that mature in one year or less.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maintain our qualification, to be regulated as a BDC, we may be subject to substantially greater regulation under the 1940 Act as a closed-end investment company. Compliance with such regulations would significantly decrease our operating flexibility and could significantly increase our costs of doing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 an internally managed BDC, we are subject to certain restrictions that may adversely affect our business.</w:t>
      </w:r>
    </w:p>
    <w:p>
      <w:pPr>
        <w:spacing w:after="0" w:line="196"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As an internally managed BDC, the size and categories of our assets under management is limited, and we are unable to offer as wide a variety of financial products to prospective portfolio companies and sponsors (potentially limiting the size and diversification of our asset base). We therefore may not achieve efficiencies of scale and greater management resources available to externally managed BDCs.</w:t>
      </w:r>
    </w:p>
    <w:p>
      <w:pPr>
        <w:spacing w:after="0" w:line="159"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Additionally, as an internally managed BDC, our ability to offer more competitive and flexible compensation structures, such as offering both a profit-sharing plan and an equity incentive plan, is subject to the limitations imposed by the 1940 Act, which limitations thus may limit our ability to attract and retain talented investment management professionals. As such, these limitations could inhibit our ability to grow, pursue our business plan and attract and retain professional talent, any or all of which may have a negative impact on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As an internally managed BDC, we are dependent upon our management team and investment professionals for their time availability and for our future success, and if we are not able to hire and retain qualified personnel, or if we lose key members of our senior management team, our ability to implement our business strategy could be significantly harmed.</w:t>
      </w:r>
    </w:p>
    <w:p>
      <w:pPr>
        <w:spacing w:after="0" w:line="158"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As an internally managed BDC, our ability to achieve our investment objectives and to make distributions to our stockholders depends upon the performance of our management team and investment professionals. We depend upon the expertise, skill and network of members of our management and our investment professionals for the identification, diligence, final selection, structuring, closing and monitoring of our investments. These employees have critical industry experience and relationships on which we rely to implement our business plan. If we lose the services of key members of our senior management team, we may not be able to operate the business as we expect, and our ability to compete could be harmed, which could cause our operating results to suffer. We believe our future success will depend, in part, on our ability to identify, attract and retain sufficient numbers of highly skilled employees. If we do not succeed in identifying, attracting and retaining such personnel, we may not be able to operate our business as we expect.</w:t>
      </w:r>
    </w:p>
    <w:p>
      <w:pPr>
        <w:spacing w:after="0" w:line="168"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As an internally managed BDC, our compensation structure is determined and set by our Board of Directors and its Compensation Committee. This structure currently includes salary, bonus and incentive compensation. We are not generally permitted by the 1940 Act to employ an incentive compensation structure that directly ties performance of our investment portfolio and results of operations to incentive compensation.</w:t>
      </w:r>
    </w:p>
    <w:p>
      <w:pPr>
        <w:spacing w:after="0" w:line="159"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Members of our senior management team may receive offers of more flexible and attractive compensation arrangements from other companies, particularly from investment advisers to externally managed BDCs that are not subject to the same limitations on incentive-based compensation that we are subject to as an internally managed BDC. A departure by one or more members of our senior management team or competing demands on their time could have a negative impact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financial condition and results of operations will depend on our ability to manage our business effectively and achieve our investment objective.</w:t>
      </w:r>
    </w:p>
    <w:p>
      <w:pPr>
        <w:spacing w:after="0" w:line="196"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Our ability to achieve our investment objective will depend on our management team’s and investment professionals’ ability to identify, analyze and invest in companies that meet our investment criteria. Accomplishing this result on a cost-effective basis is largely a function of our management team’s and investment professionals’ structuring of the investment process and their ability to provide competent, attentive and efficient services to us. We seek a specified number of investments in rapidly growing venture capital-backed emerging companies, which may be extremely risky. There can be no assurance that our management team and investment professionals will be successful in identifying and investing in companies that meet our investment criteria, or that we will achieve our investment objective. Even if we are able to grow and build upon our investment operations, any failure to manage our growth effectively could have a material adverse effect on our business, financial condition, results of operations and prospects.</w:t>
      </w:r>
    </w:p>
    <w:p>
      <w:pPr>
        <w:spacing w:after="0" w:line="152"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The results of our operations will depend on many factors, including the availability of opportunities for investment, readily accessible short- and long-term funding alternatives in the financial markets and economic conditions. Furthermore, any inability to successfully operate our business or implement our investment policies and strategies as described herein could adversely impact our ability to pay dividends.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model depends upon the development and maintenance of strong referral relationships with private equity, venture capital funds and investment banking firms.</w:t>
      </w:r>
    </w:p>
    <w:p>
      <w:pPr>
        <w:spacing w:after="0" w:line="208"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expect that members of our management team and our investment professionals will maintain key informal relationships, which we use to help identify and gain access to investment opportunities. If our management team and investment professionals fail to maintain relationships with key firms, or if they fail to establish strong referral relationships with other firms or other sources of investment opportunities, we will not be able to grow our portfolio of equity investments and achieve our investment objective. In addition, persons with whom our management team and investment professionals have informal relationships are not obligated to inform them or us of investment opportunities, and therefore such relationships may not lead to the origination of equity or other investments. Any loss or diminishment of such relationships could effectively reduce the ability to identify attractive portfolio companies that meet our investment criteria, either for direct equity investments or for investments through private secondary market transactions or other secondary transactions.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are significant potential risks related to investing in securities traded on private secondary marketplaces.</w:t>
      </w:r>
    </w:p>
    <w:p>
      <w:pPr>
        <w:spacing w:after="0" w:line="19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have utilized and expect to continue to utilize private secondary marketplaces, such as SharesPost, Inc., to acquire investments for our portfolio. When we purchase secondary shares, we may have little or no direct access to financial or other information from these portfolio companies. As a result, we are dependent upon the relationships of our management team and investment professionals and our Board of Directors to obtain the information necessary to perform research and due diligence, and to monitor our investments after they are made. There can be no assurance that our management team and investment professionals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NAV and results of operations.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 those securities may be subject to irregular trading activity, wide bid/ask spreads and extended trade settlement periods, which may result in an inability for us to realize full value on our investment. In addition, wide swings in market prices, which are typical of irregularly traded securities, could cause significant and unexpected declines in the value of our portfolio investments. Further, prices in private secondary marketplaces, where limited information is available, may not accurately reflect the true value of a portfolio company, and may overstate a portfolio company’s actual value, which may cause us to realize future capital losses on our investment in that portfolio company. If any of the foregoing were to occur, it would likely have a material and adverse effect on our NAV and results of operations.</w:t>
      </w:r>
    </w:p>
    <w:p>
      <w:pPr>
        <w:spacing w:after="0" w:line="168"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 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provisions in company charter documents, investor rights of first refusal and co-sale and/or employment and trading policies further restricting trading. To the extent that these or other developments result in reduced trading activity and/or availability of private company shares, our ability to find investment opportunities and to liquidate our investments could be adversely affected.</w:t>
      </w:r>
    </w:p>
    <w:p>
      <w:pPr>
        <w:spacing w:after="0" w:line="163"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14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are subject to changing rules and regulations of federal and state government as well as the stock exchange on which our common stock is listed. These entities, including the Public Company Accounting Oversight Board, the SEC and the Nasdaq Global Select Market, have issued a significant number of new and increasingly complex requirements and regulations over the course of the last several years and continue to develop additional regulations and requirements in response to laws enacted by Congress. In addition, there are significant corporate governance and executive compensation-related provisions in the Dodd-Frank Act, and the SEC has adopted, and may continue to adopt, additional rules and regulations that may impact us. Our efforts to comply with these requirements have resulted in, and are likely to continue to result in, an increase in expenses and a diversion of management’s time from other business activities.</w:t>
      </w:r>
    </w:p>
    <w:p>
      <w:pPr>
        <w:spacing w:after="0" w:line="16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In addition, any failure to keep pace with such rules, or to appropriately address compliance with such rules fully and in a timely manner, would expose us to an increasing risk of inadvertent non-compliance. While our management team takes reasonable efforts to ensure that we are in full compliance with all laws applicable to our operations, the increasing rate and extent of regulatory change increases the risk of a failure to comply, which may limit our ability to operate our business in the ordinary course or may subject us to potential fines, regulatory findings or other matters that may materially impact our business.</w:t>
      </w:r>
    </w:p>
    <w:p>
      <w:pPr>
        <w:spacing w:after="0" w:line="16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Over the last several years, there has also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Capital markets may experience periods of disruption and instability, including as recently experienced. Such market conditions may materially and adversely affect debt and equity capital markets in the United States and abroad, which may have a negative impact on our business and operations.</w:t>
      </w:r>
    </w:p>
    <w:p>
      <w:pPr>
        <w:spacing w:after="0" w:line="145"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From time to time, capital markets may experience periods of disruption and instability, including during portions of the last three fiscal years. Since 2020, the U.S. capital markets have experienced extreme volatility and disruption. Despite actions of the U.S. federal government and foreign governments, these types of events contribute to unpredictable general economic conditions that materially and adversely impact the broader financial and credit markets and reduce the availability of debt and equity capital for the market as a whole. These conditions could continue for a prolonged period of time or worsen in the future.</w:t>
      </w:r>
    </w:p>
    <w:p>
      <w:pPr>
        <w:spacing w:after="0" w:line="164"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Given the ongoing and dynamic nature of recent market disruption and instability, it is difficult to predict the full impact of these conditions on our business. The extent of any such impact will depend on future developments, which are highly uncertain, including the duration or reoccurrence of any potential business or supply chain disruption, changes in interest rates and inflation rates, global conflicts, health epidemics and pandemics and the actions taken by governments in response to these conditions.</w:t>
      </w:r>
    </w:p>
    <w:p>
      <w:pPr>
        <w:spacing w:after="0" w:line="159"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During any such periods of market disruption and instability, we and other companies in the financial services sector may have limited access, if available, to alternative markets for debt and equity capital. Equity capital may be difficult to raise because, subject to some limited exceptions which will apply to us as a BDC, we will generally not be able to issue additional shares of our common stock at a price less than NAV without first obtaining approval for such issuance from our stockholders and our independent directors.</w:t>
      </w:r>
    </w:p>
    <w:p>
      <w:pPr>
        <w:spacing w:after="0" w:line="16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Volatility and dislocation in the capital markets can also create a challenging environment in which to raise or access debt capital, and our ability to incur indebtedness (including by issuing preferred stock) is limited by applicable regulations such that our asset coverage (as defined in the 1940 Act) must equal at least 200% (or 150% if certain requirements are met) immediately after each time we incur indebtedness. The continuance or reappearance of market conditions similar to those experienced during portions of the last three fiscal years for any substantial length of time could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 An inability to extend the maturity of, or refinance, our existing indebtedness or obtain new indebtedness could have a material adverse effect on our business, financial condition or results of operations.</w:t>
      </w:r>
    </w:p>
    <w:p>
      <w:pPr>
        <w:spacing w:after="0" w:line="170"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Significant volatility and disruption, has had, and in the future may have, a negative effect on the valuations of our investments and on the potential for liquidity events involving these investments. While most of our investments are not publicly traded, applicable accounting standards require us to assume, as part of our valuation process, that our investments are sold in orderly mark-to-market transactions between market participants. As a result, volatility in the capital markets can adversely affect our investment valuations.</w:t>
      </w:r>
    </w:p>
    <w:p>
      <w:pPr>
        <w:spacing w:after="0" w:line="16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Significant disruption or volatility in the capital markets may also affect the pace of our investment activity and the potential for liquidity events involving our investments. The illiquidity of our investments may make it difficult for us to sell such investments to access capital if required and to value such investments. Consequently, we may realize significantly less than the value at which we carry our investments. An inability to raise capital, and any required sale of our investments for liquidity purposes, could have a material adverse impact on our business, financial condition or results of operations. In addition, a prolonged period of market illiquidity may cause us to reduce the volume of loans and debt securities we originate and/or fund and adversely affect the value of our portfolio investments, which could have a material and adverse effect on our business, financial condition, results of operations and cash flows.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risks associated with changes in interest rates.</w:t>
      </w:r>
    </w:p>
    <w:p>
      <w:pPr>
        <w:spacing w:after="0" w:line="196"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Because we may borrow money to make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A reduction in the interest rates on new investments relative to interest rates on current investments could have an adverse impact on our net investment income. However, an increase in interest rates, like that experienced recently, could decrease the value of any investments we hold which earn fixed interest rates and also could increase our interest expense, thereby decreasing our net income. Also, an increase in interest rates available to investors could make an investment in our common stock less attractive if we are not able to increase our distribution rate, which could reduce the value of our common stock. Further, rising interest rates could also adversely affect our performance if such increases cause our borrowing costs to rise at a rate in excess of the rate that our investments yield. In periods of rising interest rates, to the extent we borrow money subject to a floating interest rate, our cost of funds would increase, which could reduce our net investment income. Further, rising interest rates could also adversely affect our performance if we hold investments with floating interest rates, subject to specified minimum interest rates (such as a Secured Overnight Financing Rate (“SOFR”)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spacing w:after="0" w:line="17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recessions or downturns could impair our portfolio companies and harm our operating results.</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Many of the portfolio companies in which we make investments may be susceptible to economic slowdowns or recessions and may be unable to repay any loans made to them during these periods and, thus, jeopardize our equity investment in such portfolio companies. Therefore, the value of our portfolio may decrease during these periods as we are required to record our investments at their current fair value. Adverse economic conditions also may decrease the value of our equity investments and the value of any collateral securing our loans, if any. Economic slowdowns or recessions could lead to financial losses in our portfolio and a decrease in revenues, net income and assets. Unfavorable economic conditions could also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6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A portfolio company’s failure to satisfy financial or operating covenants imposed by us or other lenders could lead to defaults and, potentially, acceleration of the time when the loans are due and foreclosure on its secured assets, which could trigger cross defaults under other agreements and jeopardize our equity investment in such portfolio company. We may incur additional expenses to the extent necessary to seek recovery upon default or to negotiate new terms with a financially distressed or defaulting portfolio company. In addition, if one of our portfolio companies were to go bankrupt, depending on the facts and circumstances, we would typically be last in line behind any creditors and would likely experience a complete loss on our investment.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Any disruptive conditions in the financial industry and the impact of new legislation in response to those conditions could restrict our business operations and could adversely impact our results of operations and financial condition. In addition, the BDC market may be more sensitive to changes in interest rates or other factors and to the extent the BDC market trades down, our shares might likewise be affected. If the fair value of our assets declines substantially, we may fail to maintain the asset coverage ratios imposed upon us by the 1940 Act. Any such failure would affect our ability to issue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168"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In the past, instability in the global capital markets resulted in disruptions in liquidity in the debt capital markets, significant write-offs in the financial services sector, the re-pricing of credit risk in the broadly syndicated credit market and the failure of major domestic and international financial institutions. In particular, in past periods of instability, the financial services sector was negatively impacted by significant write-offs as the value of the assets held by financial firms declined, impairing their capital positions and abilities to lend and invest. In addition, continued uncertainty surrounding the negotiation of trade deals between the United Kingdom and the European Union following the United Kingdom’s exit from the European Union and tensions uncertainty between the United States and other countries, including China and Russia, with respect to trade policies, treaties, and tariffs, among other factors, have caused disruption in the global markets. There can be no assurance that market conditions will not worsen in the future.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sanction laws in the United States and other jurisdictions may prohibit us from transacting with certain countries, individuals and companies.</w:t>
      </w:r>
    </w:p>
    <w:p>
      <w:pPr>
        <w:spacing w:after="0" w:line="196"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 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w:t>
      </w:r>
    </w:p>
    <w:p>
      <w:pPr>
        <w:spacing w:after="0" w:line="16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As a result, we may be adversely affected because of our unwillingness to enter into transactions that violate any such laws or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Inflation may adversely affect the business, results of operations and financial condition of our portfolio companies.</w:t>
      </w:r>
    </w:p>
    <w:p>
      <w:pPr>
        <w:spacing w:after="0" w:line="196"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Certain of our portfolio companies may be impacted by inflation. If such portfolio companies are unable to pass any increases in their costs along to their customers, it could adversely affect their results, which could in turn adversely impact our results of operations. In addition, any projected future decreases in our portfolio companies’ operating results due to inflation could adversely impact the fair value of our investments. Any decreases in the fair value of our investments could result in future unrealized losses and therefore reduce our net assets resulting from operations. Additionally, the Federal Reserve has recently raised certain benchmark interest rates in an effort to combat inflation. There is no guarantee that the actions taken by the Federal Reserve will reduce or eliminate inflation. See “</w:t>
      </w:r>
      <w:r>
        <w:rPr>
          <w:rFonts w:ascii="Times New Roman" w:cs="Times New Roman" w:eastAsia="Times New Roman" w:hAnsi="Times New Roman"/>
          <w:sz w:val="15"/>
          <w:szCs w:val="15"/>
          <w:i w:val="1"/>
          <w:iCs w:val="1"/>
          <w:color w:val="auto"/>
        </w:rPr>
        <w:t>—We are exposed to risks associated with changes in interest rates.</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corporate social responsibility.</w:t>
      </w:r>
    </w:p>
    <w:p>
      <w:pPr>
        <w:spacing w:after="0" w:line="19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Our business faces increasing public scrutiny related to environmental, social and governance (“ESG”) activities, which are increasing considered to contribute to the long-term sustainability of a company’s performance. A variety of organizations measure the performance of companies on ESG topics, and the results of these assessments are widely publicized. In addition, investments in funds that specialize in companies that perform well in such assessments are increasingly popular, and major institutional investors have publicly emphasized the importance of such ESG measures to their investment decisions.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w:t>
      </w:r>
    </w:p>
    <w:p>
      <w:pPr>
        <w:spacing w:after="0" w:line="159"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Additionally, new regulatory initiatives related to ESG could adversely affect our business. The SEC has proposed rules that, among other matters, would establish a framework for reporting of climate-related risks. At this time, there is uncertainty regarding the scope of such proposals or when they would become effective (if at all). Compliance with any new laws or regulations increases our regulatory burden and could make compliance more difficult and expensive, affect the manner in which we or our portfolio companies conduct our businesses and adversely affect our profitability.</w:t>
      </w:r>
    </w:p>
    <w:p>
      <w:pPr>
        <w:spacing w:after="0" w:line="16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14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in the BDC space recently.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market for direct equity investment opportunities.</w:t>
      </w:r>
    </w:p>
    <w:p>
      <w:pPr>
        <w:spacing w:after="0" w:line="196"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A large number of entities compete with us to make the types of direct equity investments that we target as part of our business strategy. We compete for such investments with a large number of private equity and venture capital funds, other equity and non-equity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maintain our ability to subject to tax as a RIC. These characteristics could allow our competitors to consider a wider variety of investments, establish more relationships and offer financing at more attractive terms than we are able to offer.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direct equity investments that are consistent with our investment objective.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Borrowings, such as the 6.00% Notes due 2026, can magnify the potential for gain or loss on amounts invested and may increase the risk of investing in us.</w:t>
      </w:r>
    </w:p>
    <w:p>
      <w:pPr>
        <w:spacing w:after="0" w:line="19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Borrowings, also known as leverage, magnify the potential for gain or loss on amounts invested and, therefore, increase the risks associated with investing in our securities. In addition to the 6.00% Notes due 2026, we may borrow from and issue senior debt securities to banks, insurance companies and other lenders. Lenders of such senior securities would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the 6.00% Notes due 2026, borrowings under any other future debt that we incur will depend largely on our financial performance and will be subject to prevailing economic conditions and competitive pressures. As a result of our use of leverage, we have experienced a substantial increase in operating expenses and may continue to do so in the future.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The following table illustrates the effect of leverage on returns from an investment in our common stock assuming various annual returns on our portfolio, net of expenses. Leverage generally magnifies the return of stockholders when the portfolio return is positive and magnifies their losses when the portfolio return is negative. The calculations in the table below are hypothetical, and actual returns may be higher or lower than those appearing in the table below.</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Assumed Return on Our Portfolio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(Net of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(10.0)%</w:t>
            </w:r>
          </w:p>
        </w:tc>
        <w:tc>
          <w:tcPr>
            <w:tcW w:w="3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(5.0)%</w:t>
            </w:r>
          </w:p>
        </w:tc>
        <w:tc>
          <w:tcPr>
            <w:tcW w:w="3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0.0%</w:t>
            </w:r>
          </w:p>
        </w:tc>
        <w:tc>
          <w:tcPr>
            <w:tcW w:w="3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5.0%</w:t>
            </w:r>
          </w:p>
        </w:tc>
        <w:tc>
          <w:tcPr>
            <w:tcW w:w="3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10.0%</w:t>
            </w:r>
          </w:p>
        </w:tc>
        <w:tc>
          <w:tcPr>
            <w:tcW w:w="260" w:type="dxa"/>
            <w:vAlign w:val="bottom"/>
            <w:tcBorders>
              <w:bottom w:val="single" w:sz="8" w:color="CCEEFF"/>
            </w:tcBorders>
          </w:tcPr>
          <w:p>
            <w:pPr>
              <w:spacing w:after="0"/>
              <w:rPr>
                <w:sz w:val="18"/>
                <w:szCs w:val="18"/>
                <w:color w:val="auto"/>
              </w:rPr>
            </w:pPr>
          </w:p>
        </w:tc>
      </w:tr>
      <w:tr>
        <w:trPr>
          <w:trHeight w:val="212"/>
        </w:trPr>
        <w:tc>
          <w:tcPr>
            <w:tcW w:w="376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5"/>
                <w:szCs w:val="15"/>
                <w:color w:val="auto"/>
              </w:rPr>
              <w:t>Corresponding return to common stockholder</w:t>
            </w:r>
            <w:r>
              <w:rPr>
                <w:rFonts w:ascii="Times New Roman" w:cs="Times New Roman" w:eastAsia="Times New Roman" w:hAnsi="Times New Roman"/>
                <w:sz w:val="24"/>
                <w:szCs w:val="24"/>
                <w:color w:val="auto"/>
                <w:vertAlign w:val="superscript"/>
              </w:rPr>
              <w:t>(1)</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(11.46)%</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(6.93)%</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(2.41)%</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2.12%</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179133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Assumes $184.1 million in total portfolio assets excluding U.S. Treasuries, and $75.0 million in outstanding 6.00% Notes due 2026 as of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use of borrowed funds to make investments exposes us to risks typically associated with leverage.</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borrow money and may issue additional debt securities or preferred stock to leverage our capital structure. As a result:</w:t>
      </w:r>
    </w:p>
    <w:p>
      <w:pPr>
        <w:spacing w:after="0" w:line="192" w:lineRule="exact"/>
        <w:rPr>
          <w:sz w:val="20"/>
          <w:szCs w:val="20"/>
          <w:color w:val="auto"/>
        </w:rPr>
      </w:pPr>
    </w:p>
    <w:p>
      <w:pPr>
        <w:ind w:left="560" w:hanging="284"/>
        <w:spacing w:after="0" w:line="270"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our common stock would be exposed to incremental risk of loss; therefore, a decrease in the value of our investments would have a greater negative impact on the value of our common shares than if we did not use leverage;</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depreciation in the value of our assets may magnify losses associated with an investment and could totally eliminate the value of an asset to us;</w:t>
      </w:r>
    </w:p>
    <w:p>
      <w:pPr>
        <w:spacing w:after="0" w:line="192"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do not appropriately match the assets and liabilities of our business and interest or dividend rates on such assets and liabilities, adverse changes in interest rates could reduce or eliminate the incremental income we make with the proceeds of any leverage;</w:t>
      </w:r>
    </w:p>
    <w:p>
      <w:pPr>
        <w:spacing w:after="0" w:line="150"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pay dividends on our common stock may be restricted if our asset coverage ratio, as provided in the 1940 Act, is not at least 200% (or 150% if certain requirements are met), and any amounts used to service indebtedness or preferred stock would not be available for such dividends;</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future credit facility we may enter would be subject to periodic renewal by our lenders, whose continued participation cannot be guaranteed;</w:t>
      </w:r>
    </w:p>
    <w:p>
      <w:pPr>
        <w:spacing w:after="0" w:line="192"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securities would be governed by an indenture or other instrument containing covenants restricting our operating flexibility or affecting our investment or operating policies, and may require us to pledge assets or provide other security for such indebtedness;</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indirectly our common stockholders, bear the entire cost of issuing and paying interest or dividends on such securities;</w:t>
      </w:r>
    </w:p>
    <w:p>
      <w:pPr>
        <w:spacing w:after="0" w:line="192" w:lineRule="exact"/>
        <w:rPr>
          <w:rFonts w:ascii="Times New Roman" w:cs="Times New Roman" w:eastAsia="Times New Roman" w:hAnsi="Times New Roman"/>
          <w:sz w:val="16"/>
          <w:szCs w:val="16"/>
          <w:color w:val="auto"/>
        </w:rPr>
      </w:pPr>
    </w:p>
    <w:p>
      <w:pPr>
        <w:jc w:val="both"/>
        <w:ind w:left="560" w:hanging="284"/>
        <w:spacing w:after="0" w:line="258" w:lineRule="auto"/>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issue preferred stock, the special voting rights and preferences of preferred stockholders may result in such stockholders’ having interests that are not aligned with the interests of our common stockholders, and the rights of our preferred stockholders to dividends and liquidation preferences will be senior to the rights of our common stockholders;</w:t>
      </w:r>
    </w:p>
    <w:p>
      <w:pPr>
        <w:spacing w:after="0" w:line="158"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convertible or exchangeable securities that we issue may have rights, preferences and privileges more favorable than those of our common shares; and</w:t>
      </w:r>
    </w:p>
    <w:p>
      <w:pPr>
        <w:spacing w:after="0" w:line="192" w:lineRule="exact"/>
        <w:rPr>
          <w:rFonts w:ascii="Times New Roman" w:cs="Times New Roman" w:eastAsia="Times New Roman" w:hAnsi="Times New Roman"/>
          <w:sz w:val="16"/>
          <w:szCs w:val="16"/>
          <w:color w:val="auto"/>
        </w:rPr>
      </w:pPr>
    </w:p>
    <w:p>
      <w:pPr>
        <w:jc w:val="both"/>
        <w:ind w:left="560" w:hanging="284"/>
        <w:spacing w:after="0" w:line="304" w:lineRule="auto"/>
        <w:tabs>
          <w:tab w:leader="none" w:pos="5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custodial relationships associated with our use of leverage would conform to the requirements of the 1940 Act, and no creditor would have veto power over our investment policies, strategies, objectives or decisions except in an event of default or if our asset coverage was less than 200% (or 150% if certain requirements are met).</w:t>
      </w:r>
    </w:p>
    <w:p>
      <w:pPr>
        <w:spacing w:after="0" w:line="127"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Under the provisions of the 1940 Act, we are permitted, as a BDC, to issue senior securities only in amounts such that our asset coverage ratio equals at least 200% after each issuance of senior securities (or 150% if certain requirements are met). If the value of our assets declines, we may be unable to satisfy this test and we may be required to sell a portion of our investments and, depending on the nature of our leverage, repay a portion of our senior securities at a time when such sales may be disadvantageous.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If we default under any future borrowing facility we enter into or are unable to amend, repay or refinance any such facility on commercially reasonable terms, or at all, we may suffer material adverse effects on our business, financial condition, results of operations and cash flows.</w:t>
      </w:r>
    </w:p>
    <w:p>
      <w:pPr>
        <w:spacing w:after="0" w:line="145"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Substantially all of our assets may be pledged as collateral under any future borrowing facility. In the event that we default under any future borrowing facility, our business could be adversely affected as we may be forced to sell all or a portion of our investments quickly and prematurely at what may be disadvantageous prices to us in order to meet our outstanding payment obligations and/or support covenants and working capital requirements under any future borrowing facility, any of which would have a material adverse effect on our business, financial condition, results of operations and cash flows.</w:t>
      </w:r>
    </w:p>
    <w:p>
      <w:pPr>
        <w:spacing w:after="0" w:line="16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Following any such default, the agent for the lenders under any future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 In addition, if the lender exercises its right to sell the assets pledged under any future borrowing facility, such sales may be completed at distressed sale prices, thereby diminishing or potentially eliminating the amount of cash available to us after repayment of our outstanding borrowings. Moreover, such deleveraging could significantly impair our ability to effectively operate our business in the manner in which we have historically operated. As a result, we could be forced to curtail or cease new investment activities and lower or eliminate any dividends that we may pay to our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have difficulty paying our required distributions if we recognize income before or without receiving cash representing such income.</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Although we focus on achieving capital gains from our investments, in certain cases we may receive current income, such as interest or dividends, on our investments. Because in certain cases we may recognize such current income before or without receiving cash representing such income, we may have difficulty satisfying the annual distribution requirement applicable to RICs. Accordingly, in order to maintain our qualification as a RIC, we may have to sell some of our investments at times we would not consider advantageous, raise additional debt or equity capital or reduce new investments to meet these distribution requirements. If we are not able to obtain cash from other sources, we may fail to qualify for RIC tax treatment and thus would be subject to U.S. federal income tax at corporate rates.</w:t>
      </w:r>
    </w:p>
    <w:p>
      <w:pPr>
        <w:spacing w:after="0" w:line="16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Regulations governing our operation as a BDC affect our ability to, and the way in which we, raise additional capital, which may expose us to risks, including the typical risks associated with leverage.</w:t>
      </w:r>
    </w:p>
    <w:p>
      <w:pPr>
        <w:spacing w:after="0" w:line="145"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We may in the future issue additional debt securities or preferred stock and/or borrow money from banks or other financial institutions, which we refer to collectively (along with the 6.00% Notes due 2026) as “senior securities,” up to the maximum amount permitted by the 1940 Act. Under the provisions of the 1940 Act, we are permitted, as a BDC, to issue senior securities in amounts such that our asset coverage ratio, as defined in the 1940 Act, equals at least 200% (or 150% if certain requirements are met)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152"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All of the costs of offering and servicing the 6.00% Notes due 2026 and any additional debt or preferred stock we may issue in the future, including interest payments thereon, will be borne by our common stockholders. The interests of the holders of the 6.00% Notes due 2026, any additional debt or preferred stock we may issue will not necessarily be aligned with the interests of our common stockholders. In particular, the rights of holders of the 6.00% Notes due 2026 and our debt or preferred stock to receive interest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168"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are not generally able to issue and sell our common stock at a price below net asset value per share. We may, however, sell our common stock, or warrants, options or rights to acquire our common stock, at a price below the then-current NAV of our common stock if our Board of Directors determines that such sale is in the best interests of the Company and our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In addition to regulatory requirements that restrict our ability to raise capital, the loan agreement governing any future credit facility may contain various covenants which, if not complied with, could materially and adversely affecting our liquidity, financial condition, results of operations and ability to pay dividends.</w:t>
      </w:r>
    </w:p>
    <w:p>
      <w:pPr>
        <w:spacing w:after="0" w:line="14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Under the loan agreement governing any future credit facility, we may take certain customary representations and warranties and may be required to comply with various affirmative and negative covenants, reporting requirements, and other customary requirements for similar credit facilities, including, without limitation, restrictions on incurring additional indebtedness, compliance with the asset coverage requirements under the 1940 Act, a minimum net asset value requirement, a limitation on the reduction of our net asset value, and maintenance of RIC and BDC status. Such loan agreement may include usual and customary events of default for credit facilities of similar nature, including, without limitation, nonpayment, misrepresentation of representations and warranties in a material respect, breach of covenant, cross-default to certain other indebtedness, bankruptcy, and the occurrence of a material adverse effect.</w:t>
      </w:r>
    </w:p>
    <w:p>
      <w:pPr>
        <w:spacing w:after="0" w:line="166"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Our ability to continue to comply with these covenants in the future depends on many factors, some of which are beyond our control. There are no assurances that we will be able to comply with these covenants. Failure to comply with these covenants would result in a default which, if we were unable to obtain a waiver under any such loan agreement, would have a material adverse impact on our liquidity, financial condition, results of operations and ability to pay dividends.</w:t>
      </w:r>
    </w:p>
    <w:p>
      <w:pPr>
        <w:spacing w:after="0" w:line="15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will be subject to U.S. federal income tax at corporate rates if we are profitable and are unable to qualify as a RIC, which could have a material adverse effect on us and our stockholders.</w:t>
      </w:r>
    </w:p>
    <w:p>
      <w:pPr>
        <w:spacing w:after="0" w:line="145"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elected to be treated as a RIC under the Code beginning with our taxable year ended December 31, 2014, have qualified to be treated as a RIC for subsequent taxable years and expect to continue to operate in a manner so as to qualify for the tax treatment applicable to RICs. See “Item 1. Business—Material U.S. Federal Income Tax Considerations” and “Note 2—Significant Accounting Policies—</w:t>
      </w:r>
      <w:r>
        <w:rPr>
          <w:rFonts w:ascii="Times New Roman" w:cs="Times New Roman" w:eastAsia="Times New Roman" w:hAnsi="Times New Roman"/>
          <w:sz w:val="16"/>
          <w:szCs w:val="16"/>
          <w:i w:val="1"/>
          <w:iCs w:val="1"/>
          <w:color w:val="auto"/>
        </w:rPr>
        <w:t>U.S. Federal and State Income Taxes</w:t>
      </w:r>
      <w:r>
        <w:rPr>
          <w:rFonts w:ascii="Times New Roman" w:cs="Times New Roman" w:eastAsia="Times New Roman" w:hAnsi="Times New Roman"/>
          <w:sz w:val="16"/>
          <w:szCs w:val="16"/>
          <w:color w:val="auto"/>
        </w:rPr>
        <w:t>” and “Note 9—Income Taxes” to our Consolidated Financial Statements for the year ended December 31, 2023 for more information.</w:t>
      </w:r>
    </w:p>
    <w:p>
      <w:pPr>
        <w:spacing w:after="0" w:line="16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generally believe that it will be in our best interest to be treated as a RIC in any year in which we are profitable. If we fail to qualify for tax treatment as a RIC for any year in which we are profitable and such profits exceed certain loss carryforwards that we are entitled to utilize, we will be subject to U.S. federal income tax at corporate rates, which could substantially reduce our net assets, the amount of income available for distribution or reinvestment and the amount of our distributions. Such a failure could have a material adverse effect on us and our stockholders.</w:t>
      </w:r>
    </w:p>
    <w:p>
      <w:pPr>
        <w:spacing w:after="0" w:line="16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In any year in which we intend to be treated as a RIC, we may be forced to dispose of investments at times when our management team would not otherwise do so or raise additional capital at times when we would not otherwise do so, in each case in order to qualify for the special tax treatment accorded to RICs.</w:t>
      </w:r>
    </w:p>
    <w:p>
      <w:pPr>
        <w:spacing w:after="0" w:line="145"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To qualify for the special treatment accorded to RICs, we must meet certain income source, asset diversification and annual distribution requirements. In order to satisfy the income source requirement, we must derive in each taxable year at least 90% of our gross income from dividends, interest, payments with respect to certain securities loans, gains from the sale of stock or other securities or foreign currencies, other income derived with respect to our business of investing in such stock or securities or income from “qualified publicly traded partnerships.” To qualify as a RIC, we must also meet certain asset diversification requirements at the end of each quarter of our taxable year. Failure to meet these tests in any year in which we intend to be treated as a RIC may result in our having to dispose of certain investments quickly in order to prevent the loss of RIC status. Because most of our investments are in private companies, any such dispositions could be made at disadvantageous prices and could result in substantial losses. In addition, in order to satisfy the Annual Distribution Requirement for a RIC, we must distribute at least 90% of our ordinary income and realized net short-term capital gains in excess of realized net long-term capital losses, if any, to our stockholders on an annual basis. We will be subject to certain asset coverage ratio requirements under the 1940 Act and financial covenants under the terms of our indebtedness that could, under certain circumstances, restrict us from making distributions necessary to satisfy the annual distribution requirement. If we are unable to dispose of investments quickly enough to meet the asset diversification requirements at the end of a quarter or obtain cash from other sources in order to meet the annual distribution requirement, we may fail to qualify for special tax treatment accorded to RICs and, thus, be subject to U.S. federal income tax at corporate rates.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Legislative or regulatory tax changes could adversely affect our business and financial condition.</w:t>
      </w:r>
    </w:p>
    <w:p>
      <w:pPr>
        <w:spacing w:after="0" w:line="19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The rules dealing with U.S. federal income taxation are constantly under review by persons involved in the legislative process and by the Internal Revenue Service (“IRS”) and the U.S. Treasury Department. Changes in tax laws, regulations or administrative interpretations or any amendments thereto could adversely affect us, the entities in which we invest, or the holders of our securities, including our common stock and the 6.00% Notes due 2026. For example, on August 16, 2022, President Joseph R. Biden signed the Inflation Reduction Act of 2022 into law, which may result in different and potentially adverse tax treatment for us, our portfolio companies, or the holders of our securities. Additionally, the Biden Administration has announced a number of tax law proposals, including American Families Plan and Made in America Tax Plan, which include increases in the corporate and individual tax rates, and impose a minimum tax on book income and profits of certain multinational corporations. The likelihood of any such legislation being enacted is uncertain, but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for us, our portfolio companies, and/or our investors. Investors are urged to consult with their tax advisors with respect to the impact of this legislation and the status of any other regulatory or administrative developments and proposals and their potential effect on an investment in our securities.</w:t>
      </w:r>
    </w:p>
    <w:p>
      <w:pPr>
        <w:spacing w:after="0" w:line="163"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14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have elected to be taxed for U.S. federal income tax purposes as a RIC under Subchapter M of the Code. If we meet certain requirements, including source of income, asset diversification and distribution requirements, and if we continue to qualify as a BDC, we will continue to qualify for tax treatment as a RIC under the Code and will not be subject to U.S. income taxes on income we distribute to our stockholders as dividends, allowing us to substantially reduce or eliminate our U.S. federal income tax liability. As a BDC, we are generally required to meet a coverage ratio of total assets to total senior securities, which includes all of our borrowings and any preferred stock we may issue in the future, of at least 200% (or 150% if certain requirements are met) at the time we issue any debt or preferred stock. This requirement limits the amount that we may borrow. Because we will continue to need capital to grow our investment portfolio, this limitation may prevent us from incurring debt or preferred stock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BDC, we are generally not permitted to issue common stock priced below net asset value without stockholder approval. If additional funds are not available to us, we could be forced to curtail or cease new lending and investment activities, and our NAV could decline.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continue to choose to pay dividends in our common stock, in which case you may be required to pay tax in excess of the cash you receive.</w:t>
      </w:r>
    </w:p>
    <w:p>
      <w:pPr>
        <w:spacing w:after="0" w:line="196"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5"/>
          <w:szCs w:val="15"/>
          <w:color w:val="auto"/>
        </w:rPr>
        <w:t>We have in the past, and may continue to, distribute taxable dividends that are payable in part in shares of our common stock. In accordance with certain applicable U.S. Treasury regulations and published guidance issued by the IRS, a RIC may treat a distribution of its own common stock as fulfilling the RIC distribution requirements if each stockholder may elect to receive his or her entire distribution in either cash or common stock of the RIC, subject to a limitation that the aggregate amount of cash to be distributed to all stockholders must not exceed more than 50%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less than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common stock will be equal to the amount of cash that could have been received instead of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common stock at the time of the sale. Furthermore, with respect to non-U.S. stockholders, we may be required to withhold U.S. tax with respect to such dividends, including in respect of all or a portion of such dividend that is payable in common stock. In addition, if a significant number of our stockholders determine to sell shares of our common stock in order to pay taxes owed on dividends, it may put downward pressure on the trading price of our common stock.</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158" w:lineRule="exact"/>
        <w:rPr>
          <w:sz w:val="20"/>
          <w:szCs w:val="20"/>
          <w:color w:val="auto"/>
        </w:rPr>
      </w:pPr>
    </w:p>
    <w:p>
      <w:pPr>
        <w:jc w:val="both"/>
        <w:ind w:firstLine="282"/>
        <w:spacing w:after="0" w:line="267" w:lineRule="auto"/>
        <w:rPr>
          <w:sz w:val="20"/>
          <w:szCs w:val="20"/>
          <w:color w:val="auto"/>
        </w:rPr>
      </w:pPr>
      <w:r>
        <w:rPr>
          <w:rFonts w:ascii="Times New Roman" w:cs="Times New Roman" w:eastAsia="Times New Roman" w:hAnsi="Times New Roman"/>
          <w:sz w:val="15"/>
          <w:szCs w:val="15"/>
          <w:color w:val="auto"/>
        </w:rPr>
        <w:t>We and our portfolio companies are subject to laws and regulations at the U.S. federal, state and local levels and, in some cases, foreign levels. These laws and regulations, as well as their interpretation, may change from time to time, and new laws, regulations and interpretations may also come into effect, potentially with retroactive effect. 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In addition, there is significant uncertainty regarding enacted legislation and, consequently, the full impact that such legislation will ultimately have on us and the markets in which we trade and invest is not fully known. For example, on August 16, 2022, the Biden Administration enacted the Inflation Reduction Act of 2022, which modifies key aspects of the Code, including by creating an alternative minimum tax on certain large corporations and an excise tax on stock repurchases by certain corporations. We are currently assessing the potential impact of these legislative changes. Such uncertainty and any resulting confusion may itself be detrimental to the efficient functioning of the markets and the success of certain investment strategies.</w:t>
      </w:r>
    </w:p>
    <w:p>
      <w:pPr>
        <w:spacing w:after="0" w:line="157"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pacing w:after="0" w:line="164"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or our portfolio companies’ operating results or financial condition, impose additional costs on us or our portfolio companies, intensify the regulatory supervision of us or otherwise adversely affect our business.</w:t>
      </w:r>
    </w:p>
    <w:p>
      <w:pPr>
        <w:spacing w:after="0" w:line="16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Additionally, any changes to the laws and regulations governing our operations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management team and investment professionals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SBCAA allows us to incur additional leverage, which could increase the risk of investing in us.</w:t>
      </w:r>
    </w:p>
    <w:p>
      <w:pPr>
        <w:spacing w:after="0" w:line="19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The 1940 Act had generally prohibited us from incurring indebtedness unless immediately after such borrowing we had an asset coverage for total borrowings of at least 200% (i.e., the amount of debt may not exceed 50% of the value of our total assets). However, the SBCAA modified the 1940 Act to allow BDCs to decrease their asset coverage requirement from 200% to 150% (i.e. the amount of debt may not exceed 66.7% of the value of our total assets), if certain requirements are met. Under the SBCAA, we are allowed to reduce our asset coverage requirement to 150%, and thereby increase our leverage capacity, if shareholders representing at least a majority of the votes cast, when a quorum is present, approve a proposal to do so. If we receive shareholder approval, we would be allowed to reduce our asset coverage requirement to 150% on the first day after such approval. Alternatively, the SBCAA allows the majority of our independent directors to approve the reduction in our asset coverage requirement to 150%, and such approval would become effective after one year. In either case, we would be required to make certain disclosures on our website and in SEC filings regarding, among other things, the receipt of approval to reduce our asset coverage requirement to 150%, our leverage capacity and usage, and risks related to leverage.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As a result of the SBCAA, if we obtain the necessary approval, we may be able to increase our leverage up to an amount that reduces our asset coverage ratio from 200% to 150%.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NAV attributable to our common stock to increase more sharply than it would have had we not leveraged. Conversely, if the value of our assets decreases, leveraging would cause NAV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investors are limited in their ability to make significant investments in us.</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Private funds that are excluded from the definition of “investment company” either pursuant to Section 3(c)(1) or 3(c)(7) of the 1940 Act are restricted from acquiring directly or through a controlled entity more than 3% of our total outstanding voting stock (measured at the time of the acquisition). Investment companies registered under the 1940 Act and BDCs, such as us, are also subject to this restriction as well as other limitations under the 1940 Act that would restrict the amount that they are able to invest in our securities. As a result, certain investors will be limited in their ability to make significant investments in us at a time that they might desire to do 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Ineffective internal controls could impact our business and operating results.</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may in the future determine to fund a portion of our investments with preferred stock, which would magnify the potential for gain or loss and the risks of investing in us in the same way as our borrowings.</w:t>
      </w:r>
    </w:p>
    <w:p>
      <w:pPr>
        <w:spacing w:after="0" w:line="145"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Preferred stock, which is another form of leverage, has the same risks to our common stockholders as borrowings because the dividends on any preferred stock we issue must be cumulative. Payment of such dividends and repayment of the liquidation preference of such preferred stock must take preference over any dividends or other payments to our common stockholders, and preferred stockholders are not subject to any of our expenses or losses and are not entitled to participate in any income or appreciation in excess of their stated preference.</w:t>
      </w:r>
    </w:p>
    <w:p>
      <w:pPr>
        <w:spacing w:after="0" w:line="16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Board of Directors is authorized to reclassify any unissued shares of stock into one or more classes of preferred stock, which could convey special rights and privileges to its owners.</w:t>
      </w:r>
    </w:p>
    <w:p>
      <w:pPr>
        <w:spacing w:after="0" w:line="145"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5"/>
          <w:szCs w:val="15"/>
          <w:color w:val="auto"/>
        </w:rPr>
        <w:t>Our charter permits our Board of Directors to reclassify any authorized but unissued shares of stock into one or more classes of preferred stock. Our Board of Directors will generally have broad discretion over the size and timing of any such reclassification, subject to a finding that the reclassification and issuance of such preferred stock is in the best interests of SuRo Capital and our existing common stockholders. Any issuance of preferred stock would be subject to certain limitations imposed under the 1940 Act, including the requirement that such preferred stock have equal voting rights with our outstanding common stock. We are authorized to issue up to 100,000,000 shares of common stock.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 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net asset value per share of our common stock upon conversion. These effects, among others, could have an adverse effect on your investment in our common stock.</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Our Board of Directors may change our investment objective, operating policies and strategies without prior notice or stockholder approval, the effects of which may be adverse.</w:t>
      </w:r>
    </w:p>
    <w:p>
      <w:pPr>
        <w:spacing w:after="0" w:line="145"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6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Provisions of the Maryland General Corporation Law and of our charter and bylaws could deter takeover attempts and have an adverse impact on the price of our common stock.</w:t>
      </w:r>
    </w:p>
    <w:p>
      <w:pPr>
        <w:spacing w:after="0" w:line="145" w:lineRule="exact"/>
        <w:rPr>
          <w:sz w:val="20"/>
          <w:szCs w:val="20"/>
          <w:color w:val="auto"/>
        </w:rPr>
      </w:pPr>
    </w:p>
    <w:p>
      <w:pPr>
        <w:jc w:val="both"/>
        <w:ind w:firstLine="282"/>
        <w:spacing w:after="0" w:line="267" w:lineRule="auto"/>
        <w:rPr>
          <w:sz w:val="20"/>
          <w:szCs w:val="20"/>
          <w:color w:val="auto"/>
        </w:rPr>
      </w:pPr>
      <w:r>
        <w:rPr>
          <w:rFonts w:ascii="Times New Roman" w:cs="Times New Roman" w:eastAsia="Times New Roman" w:hAnsi="Times New Roman"/>
          <w:sz w:val="15"/>
          <w:szCs w:val="15"/>
          <w:color w:val="auto"/>
        </w:rPr>
        <w:t>The Maryland General Corporation Law and our charter and bylaws contain provisions that may discourage, delay or make more difficult a change in control of us or the removal of our directors. We are subject to the Maryland Business Combination Act (“MBCA”), subject to any applicable requirements of the 1940 Act. Our Board of Directors has adopted a resolution exempting from the MBCA any business combination between us and any other person, subject to prior approval of such business combination by our Board of Directors, including approval by a majority of our directors who are not “interest persons” as defined in the 1940 Act. If the resolution exempting business combinations is repealed or our Board of Directors does not approve a business combination, the MBCA may discourage third parties from trying to acquire control of us and increase the difficulty of consummating such an offer. Our bylaws exempt from the Maryland Control Share Acquisition Act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However, we will amend our bylaws to be subject to the Control Share Act only if our Board of Directors determines that it would be in our best interests and if the SEC staff does not object to our determination that our being subject to the Control Share Act does not conflict with the 1940 Act.</w:t>
      </w:r>
    </w:p>
    <w:p>
      <w:pPr>
        <w:spacing w:after="0" w:line="15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have also adopted measures that may make it difficult for a third party to obtain control of us, including provisions of our charter classifying our Board of Directors in three classes serving staggered three-year terms, and authorizing our Board of Directors, without stockholder action, to classify or reclassify shares of our stock in one or more classes or series, including preferred stock, to cause the issuance of additional shares of our stock, to amend our charter without stockholder approval to increase or decrease the aggregate number of shares of stock or the number of shares of stock of any class or series that we have authority to issue. These provisions, as well as other provisions of our charter and bylaws, may delay, defer or prevent a transaction or a change in control that might otherwise be in the best interests of our stockholders.</w:t>
      </w:r>
    </w:p>
    <w:p>
      <w:pPr>
        <w:spacing w:after="0" w:line="16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are highly dependent on information systems and systems failures could significantly disrupt our business, which may, in turn, negatively affect the market price of our common stock and our ability make distributions.</w:t>
      </w:r>
    </w:p>
    <w:p>
      <w:pPr>
        <w:spacing w:after="0" w:line="145"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may adversely affect our business. There could be:</w:t>
      </w:r>
    </w:p>
    <w:p>
      <w:pPr>
        <w:spacing w:after="0" w:line="164" w:lineRule="exact"/>
        <w:rPr>
          <w:sz w:val="20"/>
          <w:szCs w:val="20"/>
          <w:color w:val="auto"/>
        </w:rPr>
      </w:pPr>
    </w:p>
    <w:p>
      <w:pPr>
        <w:ind w:left="560" w:hanging="284"/>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sudden electrical or telecommunications outages;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such as earthquakes, tornadoes and hurricanes;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disease pandemics;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events arising from local or larger scale political or social matters, including terrorist acts; and</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cyber-attacks.</w:t>
      </w:r>
    </w:p>
    <w:p>
      <w:pPr>
        <w:spacing w:after="0" w:line="192"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These events, in turn, could have a material adverse effect on our operating results and negatively affect the market price of our common stock and our ability to pay dividends to our stockholders.</w:t>
      </w:r>
    </w:p>
    <w:p>
      <w:pPr>
        <w:spacing w:after="0" w:line="14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will likely experience fluctuations in our results and we may be unable to replicate past investment opportunities or make the types of investments we have made to date in future periods.</w:t>
      </w:r>
    </w:p>
    <w:p>
      <w:pPr>
        <w:spacing w:after="0" w:line="14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will likely experience fluctuations in our operating results due to a number of factors, including the rate at which we make new investments, the level of our expenses, changes in the valuation of our portfolio investments, variations in and the timing of the recognition of realized and unrealized gains or losses, the degree to which we encounter competition in our markets and general economic conditions. For example, since inception through December 31, 2023, we have experienced substantial cumulative negative cash flows from operations.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6.00% Notes due 2026</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The 6.00% Notes due 2026 are unsecured and therefore effectively subordinated to any future secured indebtedness we could incur; however, we have agreed under the indenture to not incur any secured or unsecured indebtedness that would be senior to the 6.00% Notes due 2026 while the 6.00% Notes due 2026 are outstanding, subject to certain exceptions. The 6.00% Notes due 2026 rank pari passu with, or equal to, all outstanding and future unsecured, unsubordinated indebtedness issued by us and our general liabilities.</w:t>
      </w:r>
    </w:p>
    <w:p>
      <w:pPr>
        <w:spacing w:after="0" w:line="162"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6.00% Notes due 2026 are not secured by any of our assets or any of the assets of any of our subsidiaries. As a result, the 6.00% Notes due 2026 are effectively subordinated to any future secured indebtedness we or our subsidiaries may incur in the future (or any indebtedness that is initially unsecured as to which we subsequently grant a security interest) to the extent of the value of the assets securing such indebtedness. However, we have agreed under the governing indenture to not incur any secured or unsecured indebtedness that would be senior to the 6.00% Notes due 2026 while the 6.00% Notes due 2026 are outstanding, subject to certain exceptions. In any liquidation, dissolution, bankruptcy or other similar proceeding, the holders of any of our future secured indebtedness or secured indebtedness of our subsidiaries may assert rights against the assets pledged to secure that indebtedness in order to receive full payment of their indebtedness before the assets may be used to pay other creditors.</w:t>
      </w:r>
    </w:p>
    <w:p>
      <w:pPr>
        <w:spacing w:after="0" w:line="164"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 xml:space="preserve">The 6.00% Notes due 2026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which means equal in right of payment, with all outstanding and future unsecured, unsubordinated indebtedness issued by us. The 6.00% Notes due 2026 also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or equal to, our general liabilities (total liabilities, less debt). In total, these general liabilities were approximately $0.5 million as of December 31, 2023. In any liquidation, dissolution, bankruptcy or other similar proceeding, the holders of such indebtedness may assert rights equal to the holders of the 6.00% Notes due 2026, which may limit recovery by the holders of the 6.00% Notes due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6.00% Notes due 2026 are structurally subordinated to the indebtedness and other liabilities of our subsidiaries.</w:t>
      </w:r>
    </w:p>
    <w:p>
      <w:pPr>
        <w:spacing w:after="0" w:line="196" w:lineRule="exact"/>
        <w:rPr>
          <w:sz w:val="20"/>
          <w:szCs w:val="20"/>
          <w:color w:val="auto"/>
        </w:rPr>
      </w:pPr>
    </w:p>
    <w:p>
      <w:pPr>
        <w:jc w:val="both"/>
        <w:ind w:firstLine="282"/>
        <w:spacing w:after="0" w:line="268" w:lineRule="auto"/>
        <w:rPr>
          <w:sz w:val="20"/>
          <w:szCs w:val="20"/>
          <w:color w:val="auto"/>
        </w:rPr>
      </w:pPr>
      <w:r>
        <w:rPr>
          <w:rFonts w:ascii="Times New Roman" w:cs="Times New Roman" w:eastAsia="Times New Roman" w:hAnsi="Times New Roman"/>
          <w:sz w:val="15"/>
          <w:szCs w:val="15"/>
          <w:color w:val="auto"/>
        </w:rPr>
        <w:t>The 6.00% Notes due 2026 are obligations exclusively of SuRo Capital Corp., and not of any of our subsidiaries. None of our subsidiaries will be a guarantor of the 6.00% Notes due 2026, and the 6.00% Notes due 2026 are not be required to be guaranteed by any subsidiary we may acquire or create in the future. Any assets of our subsidiaries will not be directly available to satisfy the claims of our creditors, including holders of the 6.00% Notes due 2026. Except to the extent we are a creditor with recognized claims against our subsidiaries, all claims of creditors of our subsidiaries will have priority over our equity interests in such entities (and therefore the claims of our creditors, including holders of the 6.00% Notes due 2026)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6.00% Notes due 2026 are structurally subordinated to all indebtedness and other liabilities, including trade payables, of any of our existing or future subsidiaries.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indenture under which the 6.00% Notes due 2026 were issued contains limited protection for holders of the 6.00% Notes due 2026.</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The indenture under which the 6.00% Notes due 2026 were issued offers limited protection to holders of the 6.00% Notes due 2026. The terms of the indenture and the 6.00% Notes due 2026 do not restrict our or any of our subsidiaries’ ability to engage in, or otherwise be a party to, a variety of corporate transactions, circumstances or events that could have a material adverse impact on an investment in the 6.00% Notes due 2026. In particular, the terms of the indenture and the 6.00% Notes due 2026 do not place any restrictions on our or our subsidiaries’ ability to:</w:t>
      </w:r>
    </w:p>
    <w:p>
      <w:pPr>
        <w:spacing w:after="0" w:line="164" w:lineRule="exact"/>
        <w:rPr>
          <w:sz w:val="20"/>
          <w:szCs w:val="20"/>
          <w:color w:val="auto"/>
        </w:rPr>
      </w:pPr>
    </w:p>
    <w:p>
      <w:pPr>
        <w:jc w:val="both"/>
        <w:ind w:left="560" w:hanging="284"/>
        <w:spacing w:after="0" w:line="247"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securities or otherwise incur additional indebtedness or other obligations, including (1) any indebtedness or other obligations that would be equal in right of payment to the 6.00% Notes due 2026, (2) any indebtedness or other obligations that would be secured and therefore rank effectively senior in right of payment to the 6.00% Notes due 2026 to the extent of the values of the assets securing such debt, (3) indebtedness of ours that is guaranteed by one or more of our subsidiaries and which therefore is structurally senior to the 6.00% Notes due 2026 and (4) securities, indebtedness or obligations issued or incurred by our subsidiaries that would be senior to our equity interests in those entities and therefore rank structurally senior to the 6.00% Notes due 2026 with respect to the assets of our subsidiaries, in each case other than an incurrence of indebtedness or other obligation that would cause a violation of Section 18(a)(1)(A) as modified by such provisions of Section 61(a) of the 1940 Act as may be applicable to us from time to time or any successor provisions, whether or not we continue to be subject to such provisions of the 1940 Act, but giving effect, in each case,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200% (or 150% if certain requirements are met) after such borrowings. Notwithstanding the foregoing, for the period of time during which the 6.00% Notes due 2026 are outstanding, we will not seek the requisite approval under the 1940 Act of our Board Of Directors or our shareholders to reduce our asset coverage below 200%. In addition, we have agreed under the indenture that, for the period of time during which the 6.00% Notes due 2026 are outstanding, we will not incur any indebtedness, unless at the time of the incurrence of such indebtedness we have an asset coverage (as defined in the 1940 Act) of at least 300% after giving effect to the incurrence of such indebtedness and the application of the net proceeds therefrom;</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left="560" w:hanging="284"/>
        <w:spacing w:after="0" w:line="247" w:lineRule="auto"/>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on, or purchase or redeem or make any payments in respect of, capital stock or other securities ranking junior in right of payment to the 6.00% Notes due 2026, including subordinated indebtedness, except that we have agreed under the indenture that, for the period of time during which the 6.00% Notes due 2026 are outstanding, we will not violate Section 18(a)(1)(B) as modified by (i) Section 61(a) of the 1940 Act or any successor provisions thereto, whether or not we are subject to such provisions of the 1940 Act and after giving effect to any exemptive relief granted to us by the SEC and (ii) the following two exceptions: (A) we will be permitted to declare a cash dividend or distribution notwithstanding the prohibition contained in Section 18(a)(1)(B) as modified by Section 61(a) of the 1940 Act or any successor provisions, but only up to such amount as is necessary for us to maintain our status as a RIC under Subchapter M of the Code; and (B) this restriction will not be triggered unless and until such time as our asset coverage has not been in compliance with the minimum asset coverage required by Section 18(a)(1)(B) as modified by Section 61(a) of the 1940 Act or any successor provisions (after giving effect to any exemptive relief granted to us by the SEC) for more than six consecutive months. Currently, these provisions would generally prohibit us from declaring any cash dividend or distribution upon any class of our capital stock, or purchasing any such capital stock if our asset coverage, as defined in the 1940 Act, were below 200% (or 150% if certain requirements are met) at the time of the declaration of the dividend or distribution or the purchase and after deducting the amount of such dividend, distribution or purchase. Notwithstanding the foregoing, for the period of time during which the 6.00% Notes due 2026 are outstanding, we will not seek the requisite approval under the 1940 Act of our board of directors or our shareholders to reduce our asset coverage below 200%. In addition, we have agreed under the indenture that, for the period of time during which the 6.00% Notes due 2026 are outstanding, we will not purchase any shares of our outstanding capital stock, unless at the time of any such purchase we have an asset coverage (as defined in the 1940 Act) of at least 300% after deducting the amount of such purchase price;</w:t>
      </w:r>
    </w:p>
    <w:p>
      <w:pPr>
        <w:spacing w:after="0" w:line="168"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assets (other than certain limited restrictions on our ability to consolidate, merge or sell all or substantially all of our assets);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transactions with affiliates;</w:t>
      </w:r>
    </w:p>
    <w:p>
      <w:pPr>
        <w:spacing w:after="0" w:line="192" w:lineRule="exact"/>
        <w:rPr>
          <w:rFonts w:ascii="Times New Roman" w:cs="Times New Roman" w:eastAsia="Times New Roman" w:hAnsi="Times New Roman"/>
          <w:sz w:val="16"/>
          <w:szCs w:val="16"/>
          <w:color w:val="auto"/>
        </w:rPr>
      </w:pPr>
    </w:p>
    <w:p>
      <w:pPr>
        <w:ind w:left="560" w:right="20" w:hanging="284"/>
        <w:spacing w:after="0" w:line="304" w:lineRule="auto"/>
        <w:tabs>
          <w:tab w:leader="none" w:pos="5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create liens (including liens on the shares of our subsidiaries) or enter into sale and leaseback transactions, except that we have agreed under the indenture to not incur any secured or unsecured indebtedness that would be senior to the 6.00% Notes due 2026 while the 6.00% Notes due 2026 are outstanding, subject to certain exceptions;</w:t>
      </w:r>
    </w:p>
    <w:p>
      <w:pPr>
        <w:spacing w:after="0" w:line="127" w:lineRule="exact"/>
        <w:rPr>
          <w:rFonts w:ascii="Times New Roman" w:cs="Times New Roman" w:eastAsia="Times New Roman" w:hAnsi="Times New Roman"/>
          <w:sz w:val="15"/>
          <w:szCs w:val="15"/>
          <w:color w:val="auto"/>
        </w:rPr>
      </w:pPr>
    </w:p>
    <w:p>
      <w:pPr>
        <w:ind w:left="560" w:hanging="284"/>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investments; or</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restrictions on the payment of dividends or other amounts to us from our subsidiaries.</w:t>
      </w:r>
    </w:p>
    <w:p>
      <w:pPr>
        <w:spacing w:after="0" w:line="192"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In addition, the indenture governing the 6.00% Notes due 2026 does not require us to make an offer to purchase the 6.00% Notes due 2026 in connection with a change of control or any other event.</w:t>
      </w:r>
    </w:p>
    <w:p>
      <w:pPr>
        <w:spacing w:after="0" w:line="150"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Furthermore, the terms of the indenture and the 6.00% Notes due 2026 do not protect holders of the 6.00% Notes due 2026 in the event that we experience changes (including significant adverse changes) in our financial condition, results of operations or credit ratings, if any, as they do not require that we or our subsidiaries adhere to any financial tests or ratios or specified levels of net worth, revenues, income, cash flow, or liquidity.</w:t>
      </w:r>
    </w:p>
    <w:p>
      <w:pPr>
        <w:spacing w:after="0" w:line="159"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Our ability to recapitalize, incur additional debt (including additional debt that matures prior to the maturity of the 6.00% Notes due 2026), and take a number of other actions that are not limited by the terms of the 6.00% Notes due 2026 may have important consequences for a holder of the 6.00% Notes due 2026, including making it more difficult for us to satisfy our obligations with respect to the 6.00% Notes due 2026 or negatively affecting the trading value of the 6.00% Notes due 2026.</w:t>
      </w:r>
    </w:p>
    <w:p>
      <w:pPr>
        <w:spacing w:after="0" w:line="159" w:lineRule="exact"/>
        <w:rPr>
          <w:sz w:val="20"/>
          <w:szCs w:val="20"/>
          <w:color w:val="auto"/>
        </w:rPr>
      </w:pPr>
    </w:p>
    <w:p>
      <w:pPr>
        <w:jc w:val="both"/>
        <w:ind w:right="20" w:firstLine="282"/>
        <w:spacing w:after="0" w:line="304" w:lineRule="auto"/>
        <w:rPr>
          <w:sz w:val="20"/>
          <w:szCs w:val="20"/>
          <w:color w:val="auto"/>
        </w:rPr>
      </w:pPr>
      <w:r>
        <w:rPr>
          <w:rFonts w:ascii="Times New Roman" w:cs="Times New Roman" w:eastAsia="Times New Roman" w:hAnsi="Times New Roman"/>
          <w:sz w:val="15"/>
          <w:szCs w:val="15"/>
          <w:color w:val="auto"/>
        </w:rPr>
        <w:t>Other debt we issue or incur in the future could contain more protections for its holders than the indenture and the 6.00% Notes due 2026, including additional covenants and events of default. The issuance or incurrence of any such debt with incremental protections could affect the market for, trading levels, and prices of the 6.00% Notes due 2026.</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An active trading market for the 6.00% Notes due 2026 may not develop or be maintained, which could limit a holder’s ability to sell the 6.00% Notes due 2026 and/or adversely impact the market price of the 6.00% Notes due 2026.</w:t>
      </w:r>
    </w:p>
    <w:p>
      <w:pPr>
        <w:spacing w:after="0" w:line="145"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The 6.00% Notes due 2026 are a new issue of debt securities for which there initially was no trading market. The 6.00% Notes due 2026 are listed on the Nasdaq Global Select Market under the symbol “SSSSL”. We cannot provide any assurances that an active trading market will develop or be maintained for the 6.00% Notes due 2026 or that a holder will be able to sell its 6.00% Notes due 2026. The 6.00% Notes due 2026 may trade at a discount from their initial offering price depending on prevailing interest rates, the market for similar securities, our credit ratings, if any, general economic conditions, our financial condition, performance and prospects and other factors. The underwriters of the public offering of the 6.00% Notes due 2026 have advised us that they intend to make a market in the 6.00% Notes due 2026, but they are not obligated to do so. Such underwriters may discontinue any market-making in the 6.00% Notes due 2026 at any time at their sole discretion.</w:t>
      </w:r>
    </w:p>
    <w:p>
      <w:pPr>
        <w:spacing w:after="0" w:line="16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Accordingly, we can provide no assurance that a liquid trading market will develop or be maintained for the 6.00% Notes due 2026, that a holder will be able to sell its 6.00% Notes due 2026 at a particular time or that the price a holder may receive when it sells its 6.00% Notes due 2026 will be favorable. To the extent an active trading market does not develop, the liquidity and trading price for the 6.00% Notes due 2026 may be harmed. Accordingly, a holder may be required to bear the financial risk of an investment in the 6.00% Notes due 2026 for an indefinite period of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default on our obligations to pay our other indebtedness, we may not be able to make payments on the 6.00% Notes due 2026.</w:t>
      </w:r>
    </w:p>
    <w:p>
      <w:pPr>
        <w:spacing w:after="0" w:line="196" w:lineRule="exact"/>
        <w:rPr>
          <w:sz w:val="20"/>
          <w:szCs w:val="20"/>
          <w:color w:val="auto"/>
        </w:rPr>
      </w:pPr>
    </w:p>
    <w:p>
      <w:pPr>
        <w:jc w:val="both"/>
        <w:ind w:firstLine="317"/>
        <w:spacing w:after="0" w:line="248" w:lineRule="auto"/>
        <w:rPr>
          <w:sz w:val="20"/>
          <w:szCs w:val="20"/>
          <w:color w:val="auto"/>
        </w:rPr>
      </w:pPr>
      <w:r>
        <w:rPr>
          <w:rFonts w:ascii="Times New Roman" w:cs="Times New Roman" w:eastAsia="Times New Roman" w:hAnsi="Times New Roman"/>
          <w:sz w:val="16"/>
          <w:szCs w:val="16"/>
          <w:color w:val="auto"/>
        </w:rPr>
        <w:t>Any default under any agreements governing any of our future indebtedness that is not waived by the required lenders or holders of such indebtedness, and the remedies sought by lenders or the holders of such indebtedness could make us unable to pay principal, premium, if any, and interest on the 6.00% Notes due 2026 and substantially decrease the market value of the 6.00% Notes due 2026. If we are unable to generate sufficient cash flow and are otherwise unable to obtain funds necessary to meet required payments of principal, premium, if any, and interest on our indebtedness, if any, or if we otherwise fail to comply with any covenants, including financial and operating covenants, as applicable, in the instruments governing our indebtedness, if any, we could be in default under the terms of the agreements governing such indebtedness and the 6.00% Notes due 2026. In the event of such default, the holders of such indebtedness could elect to declare all the funds borrowed thereunder to be due and payable, together with accrued and unpaid interest, the lenders under any credit facility or other debt we may enter into or incur in the future could elect to terminate their commitment, cease making further loans and institute foreclosure proceedings against our assets, and we could be forced into bankruptcy or liquidation.</w:t>
      </w:r>
    </w:p>
    <w:p>
      <w:pPr>
        <w:spacing w:after="0" w:line="172" w:lineRule="exact"/>
        <w:rPr>
          <w:sz w:val="20"/>
          <w:szCs w:val="20"/>
          <w:color w:val="auto"/>
        </w:rPr>
      </w:pPr>
    </w:p>
    <w:p>
      <w:pPr>
        <w:jc w:val="both"/>
        <w:ind w:right="20" w:firstLine="317"/>
        <w:spacing w:after="0" w:line="258" w:lineRule="auto"/>
        <w:rPr>
          <w:sz w:val="20"/>
          <w:szCs w:val="20"/>
          <w:color w:val="auto"/>
        </w:rPr>
      </w:pPr>
      <w:r>
        <w:rPr>
          <w:rFonts w:ascii="Times New Roman" w:cs="Times New Roman" w:eastAsia="Times New Roman" w:hAnsi="Times New Roman"/>
          <w:sz w:val="16"/>
          <w:szCs w:val="16"/>
          <w:color w:val="auto"/>
        </w:rPr>
        <w:t>Our ability to generate sufficient cash flow in the future is, to some extent, subject to general economic, financial, competitive, legislative and regulatory factors as well as other factors that are beyond our control. We can provide no assurance that our business will generate cash flow from operations, or that future borrowings will be available to us, in an amount sufficient to enable us to meet our payment obligations under the 6.00% Notes due 2026, our other debt, and to fund other liquidity needs.</w:t>
      </w:r>
    </w:p>
    <w:p>
      <w:pPr>
        <w:spacing w:after="0" w:line="159" w:lineRule="exact"/>
        <w:rPr>
          <w:sz w:val="20"/>
          <w:szCs w:val="20"/>
          <w:color w:val="auto"/>
        </w:rPr>
      </w:pPr>
    </w:p>
    <w:p>
      <w:pPr>
        <w:jc w:val="both"/>
        <w:ind w:firstLine="317"/>
        <w:spacing w:after="0" w:line="250" w:lineRule="auto"/>
        <w:rPr>
          <w:sz w:val="20"/>
          <w:szCs w:val="20"/>
          <w:color w:val="auto"/>
        </w:rPr>
      </w:pPr>
      <w:r>
        <w:rPr>
          <w:rFonts w:ascii="Times New Roman" w:cs="Times New Roman" w:eastAsia="Times New Roman" w:hAnsi="Times New Roman"/>
          <w:sz w:val="16"/>
          <w:szCs w:val="16"/>
          <w:color w:val="auto"/>
        </w:rPr>
        <w:t>If our operating performance declines and we are not able to generate sufficient cash flow to service our debt obligations, we may in the future need to refinance or restructure our debt, including any 6.00% Notes due 2026 sold, sell assets, reduce or delay capital investments, seek to raise additional capital or seek to obtain waivers from the lenders under any credit facility or other debt we may enter into or incur in the future to avoid being in default. If we are unable to implement one or more of these alternatives, we may not be able to meet our payment obligations under the 6.00% Notes due 2026 and any other debt. If we are unable to repay debt, lenders having secured obligations could proceed against the collateral securing the debt. Because any future credit facilities will likely have customary cross-default provisions, if we have a default under the terms of the 6.00% Notes due 2026, the obligations under any future credit facility may be accelerated and we may be unable to repay or finance the amounts due.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choose to redeem the 6.00% Notes due 2026 when prevailing interest rates are relatively low.</w:t>
      </w:r>
    </w:p>
    <w:p>
      <w:pPr>
        <w:spacing w:after="0" w:line="196" w:lineRule="exact"/>
        <w:rPr>
          <w:sz w:val="20"/>
          <w:szCs w:val="20"/>
          <w:color w:val="auto"/>
        </w:rPr>
      </w:pPr>
    </w:p>
    <w:p>
      <w:pPr>
        <w:jc w:val="both"/>
        <w:ind w:right="20" w:firstLine="317"/>
        <w:spacing w:after="0" w:line="253" w:lineRule="auto"/>
        <w:rPr>
          <w:sz w:val="20"/>
          <w:szCs w:val="20"/>
          <w:color w:val="auto"/>
        </w:rPr>
      </w:pPr>
      <w:r>
        <w:rPr>
          <w:rFonts w:ascii="Times New Roman" w:cs="Times New Roman" w:eastAsia="Times New Roman" w:hAnsi="Times New Roman"/>
          <w:sz w:val="16"/>
          <w:szCs w:val="16"/>
          <w:color w:val="auto"/>
        </w:rPr>
        <w:t>On or after December 30, 2024, we may choose to redeem the 6.00% Notes due 2026 from time to time, especially if prevailing interest rates are lower than the rate borne by the 6.00% Notes due 2026. If prevailing rates are lower at the time of redemption, and we redeem the 6.00% Notes due 2026, a holder likely would not be able to reinvest the redemption proceeds in a comparable security at an effective interest rate as high as the interest rate on the 6.00% Notes due 2026 being redeemed. Our redemption right also may adversely impact a holder’s ability to sell the 6.00% Notes due 2026 as the optional redemption date or period approaches.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A downgrade, suspension or withdrawal of the credit rating assigned by a rating agency to us or our securities, if any, could cause the liquidity or market value of the 6.00% Notes due 2026 to decline significantly.</w:t>
      </w:r>
    </w:p>
    <w:p>
      <w:pPr>
        <w:spacing w:after="0" w:line="145"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6"/>
          <w:szCs w:val="16"/>
          <w:color w:val="auto"/>
        </w:rPr>
        <w:t>Our credit ratings, if any, are an assessment by rating agencies of our ability to pay our debts when due. Consequently, real or anticipated changes in our credit ratings will generally affect the market value of the 6.00% Notes due 2026. These credit ratings may not reflect the potential impact of risks relating to the structure or marketing of the 6.00% Notes due 2026. Credit ratings are paid for by the issuer and are not a recommendation to buy, sell or hold any security, and may be revised or withdrawn at any time by the issuing organization in its sole discretion.</w:t>
      </w:r>
    </w:p>
    <w:p>
      <w:pPr>
        <w:spacing w:after="0" w:line="16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An explanation of the significance of any ratings of us or our securities may be obtained from the applicable rating agency. Generally, rating agencies base their ratings on such material and information, and their own investigations, studies and assumptions, as they deem appropriate. Neither we nor any underwriter undertakes any obligation to maintain any such credit ratings or to advise holders of 6.00% Notes due 2026 of any changes in credit ratings of us or our securities. There can be no assurance that our credit ratings will remain at their current levels for any given period of time or that such credit ratings will not be lowered or withdrawn entirely by the rating agency if in their judgment future circumstances relating to the basis of the credit ratings, such as adverse changes in our company, so warrant.</w:t>
      </w:r>
    </w:p>
    <w:p>
      <w:pPr>
        <w:spacing w:after="0" w:line="16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Pursuant to the terms of the indenture governing the 6.00% Notes due 2026, we will use commercially reasonable efforts to maintain a credit rating on the 6.00% Notes due 2026 by a “nationally recognized statistical rating organization” (as such term is defined in Section 3(a)(62) of the Exchange Act) during the period of time that the 6.00% Notes due 2026 are outstanding; provided that no minimum credit rating is required. We offer no assurance that such rating, should it be maintained, will comport to any particular minimum level of creditworthiness.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an Investment in Our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in our securities may involve an above average degree of risk.</w:t>
      </w:r>
    </w:p>
    <w:p>
      <w:pPr>
        <w:spacing w:after="0" w:line="196"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and therefore, an investment in our shares may not be suitable for someone with lower risk tolerance.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common stock price may be volatile and may decrease substantially.</w:t>
      </w:r>
    </w:p>
    <w:p>
      <w:pPr>
        <w:spacing w:after="0" w:line="196" w:lineRule="exact"/>
        <w:rPr>
          <w:sz w:val="20"/>
          <w:szCs w:val="20"/>
          <w:color w:val="auto"/>
        </w:rPr>
      </w:pPr>
    </w:p>
    <w:p>
      <w:pPr>
        <w:jc w:val="both"/>
        <w:ind w:right="20" w:firstLine="317"/>
        <w:spacing w:after="0" w:line="258" w:lineRule="auto"/>
        <w:rPr>
          <w:sz w:val="20"/>
          <w:szCs w:val="20"/>
          <w:color w:val="auto"/>
        </w:rPr>
      </w:pPr>
      <w:r>
        <w:rPr>
          <w:rFonts w:ascii="Times New Roman" w:cs="Times New Roman" w:eastAsia="Times New Roman" w:hAnsi="Times New Roman"/>
          <w:sz w:val="16"/>
          <w:szCs w:val="16"/>
          <w:color w:val="auto"/>
        </w:rPr>
        <w:t>The trading price of our common stock may fluctuate substantially. The price of our common stock that will prevail in the market after any future offering may be higher or lower than the price you pay, depending on many factors, some of which are beyond our control and may not be directly related to our operating performance. These factors include, but are not limited to, the following:</w:t>
      </w:r>
    </w:p>
    <w:p>
      <w:pPr>
        <w:spacing w:after="0" w:line="159" w:lineRule="exact"/>
        <w:rPr>
          <w:sz w:val="20"/>
          <w:szCs w:val="20"/>
          <w:color w:val="auto"/>
        </w:rPr>
      </w:pPr>
    </w:p>
    <w:p>
      <w:pPr>
        <w:ind w:left="560" w:hanging="284"/>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and volume fluctuations in the overall stock market from time to time;</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demand for our shares;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volatility in the market price and trading volume of securities of RICs, BDCs or other financial services companies;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regulatory policies or tax guidelines with respect to RICs or BDCs;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qualify as a RIC for a particular taxable year, or the loss of RIC status;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our earnings or fluctuations in our operating results or changes in the expectations of securities analysts;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 and trends;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valuation of our portfolio investments;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performance of companies comparable to us;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sentiment against technology-related companies; or</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departures of any of the senior members of our management team.</w:t>
      </w:r>
    </w:p>
    <w:p>
      <w:pPr>
        <w:spacing w:after="0" w:line="192"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 For more information, see — “Our business and operations could be negatively affected if we become subject to any securities litigation or stockholder activism, which could cause us to incur significant expenses, hinder the execution of our investment strategy, and impact our stock price.”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Shares of our common stock have recently traded, and may in the future trade, at discounts from NAV or at premiums that may prove to be unsustainable.</w:t>
      </w:r>
    </w:p>
    <w:p>
      <w:pPr>
        <w:spacing w:after="0" w:line="196"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6"/>
          <w:szCs w:val="16"/>
          <w:color w:val="auto"/>
        </w:rPr>
        <w:t>Shares of BDCs like us may, during some periods, trade at prices higher than their NAV per share and, during other periods, as frequently occurs with closed-end investment companies, trade at prices lower than their NAV per share. The perceived value of our investment portfolio may be affected by a number of factors including perceived prospects for individual companies we invest in, market conditions for common stock generally, for IPOs and other exit events for venture-capital-backed companies, and the mix of companies in our investment portfolio over time. Negative or unforeseen developments affecting the perceived value of companies in our investment portfolio could result in a decline in the trading price of our common stock relative to our NAV per share.</w:t>
      </w:r>
    </w:p>
    <w:p>
      <w:pPr>
        <w:spacing w:after="0" w:line="166"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The possibility that our shares will trade at a discount from NAV or at premiums that are unsustainable are risks separate and distinct from the risk that our NAV per share will decrease. The risk of purchasing shares of a BDC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NAV per share. As of March 13, 2024, the closing price of our common stock on the Nasdaq Global Select Market was $4.36 per share, which represented an approximately 45.4% discount to our NAV of $7.99 per share as of December 31, 2023.</w:t>
      </w:r>
    </w:p>
    <w:p>
      <w:pPr>
        <w:spacing w:after="0" w:line="16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pay distributions to our stockholders and our distributions may not grow over time, particularly since we invest primarily in securities that do not produce current income, and a portion of distributions paid to our stockholders may be a return of capital, which is a distribution of the stockholders’ invested capital.</w:t>
      </w:r>
    </w:p>
    <w:p>
      <w:pPr>
        <w:spacing w:after="0" w:line="14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The timing and amount of our distributions, if any, will be determined by our Board of Directors and will be declared out of assets legally available for distribution. We cannot assure you that we will achieve investment results or maintain a tax treatment that will allow or require any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All distributions will be paid at the discretion of our Board of Directors and will depend on our earnings, our financial condition, maintenance of our tax treatment as a RIC, compliance with applicable BDC regulations, compliance with our debt covenants and such other factors as our Board of Directors may deem relevant from time to time. We cannot assure you that we will pay distributions to our stockholders in the future.</w:t>
      </w:r>
    </w:p>
    <w:p>
      <w:pPr>
        <w:spacing w:after="0" w:line="168"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As we intend to 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BDCs that primarily make debt investments. When we make distributions, we will be required to determine the extent to which such distributions are paid out of current or accumulated taxable earnings, recognized capital gains or capital. To the extent there is a return of capital, investors will be required to reduce their basis in our stock for U.S. federal tax purposes, which may result in higher tax liability when the shares are sold, even if they have not increased in value or have lost value. In addition, any return of capital will be net of any sales load and offering expenses associated with sales of shares of our common stock. Our distributions have included a return of capital in the past, and our future distributions may include a return of capital.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broad discretion over the use of proceeds from our offerings, to the extent they are successful, and will use proceeds in part to satisfy operating expenses.</w:t>
      </w:r>
    </w:p>
    <w:p>
      <w:pPr>
        <w:spacing w:after="0" w:line="196" w:lineRule="exact"/>
        <w:rPr>
          <w:sz w:val="20"/>
          <w:szCs w:val="20"/>
          <w:color w:val="auto"/>
        </w:rPr>
      </w:pPr>
    </w:p>
    <w:p>
      <w:pPr>
        <w:jc w:val="both"/>
        <w:ind w:firstLine="317"/>
        <w:spacing w:after="0" w:line="250" w:lineRule="auto"/>
        <w:rPr>
          <w:sz w:val="20"/>
          <w:szCs w:val="20"/>
          <w:color w:val="auto"/>
        </w:rPr>
      </w:pPr>
      <w:r>
        <w:rPr>
          <w:rFonts w:ascii="Times New Roman" w:cs="Times New Roman" w:eastAsia="Times New Roman" w:hAnsi="Times New Roman"/>
          <w:sz w:val="16"/>
          <w:szCs w:val="16"/>
          <w:color w:val="auto"/>
        </w:rPr>
        <w:t>We have significant flexibility in applying the proceeds of our offerings and may use the net proceeds from such offerings in ways with which you may not agree, or for purposes other than those contemplated at the time of the offering. We cannot assure you that we will be able to successfully utilize the proceeds within the time frame contemplated. We will also pay operating expenses, and may pay other expenses such as due diligence expenses of potential new investments, from the net proceeds of any offering. Our ability to achieve our investment objective may be limited to the extent that the net proceeds of an offering, pending full investment, are used to pay operating expenses. In addition, we can provide you no assurance that any such offerings will be successful, or that by increasing the size of our available equity capital our aggregate expenses, and correspondingly, our expense ratio, will be lowered.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9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Global economic, political and market conditions, including uncertainty about the financial stability of the United States, could have a significant adverse effect on our business, financial condition and results of operations.</w:t>
      </w:r>
    </w:p>
    <w:p>
      <w:pPr>
        <w:spacing w:after="0" w:line="145"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Downgrades by rating agencies to the U.S. government’s credit rating or concerns about its credit and deficit levels in general could cause interest rates and borrowing costs to rise, which may negatively impact both the perception of credit risk associated with our debt portfolio and our ability to access the debt markets on favorable terms. In addition, a decreased U.S. government credit rating could create broader financial turmoil and uncertainty, which may weigh heavily on our financial performance and the value of our common stock.</w:t>
      </w:r>
    </w:p>
    <w:p>
      <w:pPr>
        <w:spacing w:after="0" w:line="16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Deterioration in the economic conditions in the Eurozone and other regions or countries globally and the resulting instability in global financial markets may pose a risk to our business. Financial markets have been affected at times by a number of global macroeconomic events, including the following: large sovereign debts and fiscal deficits of several countries in Europe and in emerging markets jurisdictions, levels of non-performing loans on the balance sheets of European banks, the effect of the United Kingdom leaving the European Union, instability in the Chinese capital markets and bank failures. Global market and economic disruptions have affected, and may in the future affect, the U.S. capital markets, which could adversely affect our business, financial condition or results of operations. We cannot assure you that market disruptions in Europe and other regions or countries,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or elsewhere negatively impacts consumer confidence and consumer credit factors, our and our portfolio companies’ business, financial condition and results of operations could be significantly and adversely affected. Moreover, there is a risk of both sector-specific and broad-based corrections and/or downturns in the equity and credit markets. Any of the foregoing could have a significant impact on the markets in which we operate and could have a material adverse impact on our business prospects and financial condition.</w:t>
      </w:r>
    </w:p>
    <w:p>
      <w:pPr>
        <w:spacing w:after="0" w:line="174"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Various social and political circumstances in the United States and around the world (including wars and other forms of conflict, terrorist acts, security operations and catastrophic events such as fires, floods, earthquakes, tornadoes, hurricanes and global health epidemics), may also contribute to increased market volatility and economic uncertainties or deterioration in the United States and worldwide. Such events, including uncertainties regarding actual and potential shifts in U.S. and foreign trade, economic and other policies with other countries, and global conflicts could adversely affect our business, financial condition or results of operations. These market and economic disruptions could negatively impact the operating results of our portfolio companies.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Uncertainty about presidential administration initiatives could negatively impact our business, financial condition and results of operations.</w:t>
      </w:r>
    </w:p>
    <w:p>
      <w:pPr>
        <w:spacing w:after="0" w:line="196" w:lineRule="exact"/>
        <w:rPr>
          <w:sz w:val="20"/>
          <w:szCs w:val="20"/>
          <w:color w:val="auto"/>
        </w:rPr>
      </w:pPr>
    </w:p>
    <w:p>
      <w:pPr>
        <w:jc w:val="both"/>
        <w:ind w:firstLine="317"/>
        <w:spacing w:after="0" w:line="250" w:lineRule="auto"/>
        <w:rPr>
          <w:sz w:val="20"/>
          <w:szCs w:val="20"/>
          <w:color w:val="auto"/>
        </w:rPr>
      </w:pPr>
      <w:r>
        <w:rPr>
          <w:rFonts w:ascii="Times New Roman" w:cs="Times New Roman" w:eastAsia="Times New Roman" w:hAnsi="Times New Roman"/>
          <w:sz w:val="16"/>
          <w:szCs w:val="16"/>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w:t>
      </w:r>
    </w:p>
    <w:p>
      <w:pPr>
        <w:spacing w:after="0" w:line="166" w:lineRule="exact"/>
        <w:rPr>
          <w:sz w:val="20"/>
          <w:szCs w:val="20"/>
          <w:color w:val="auto"/>
        </w:rPr>
      </w:pPr>
    </w:p>
    <w:p>
      <w:pPr>
        <w:jc w:val="both"/>
        <w:ind w:right="20" w:firstLine="317"/>
        <w:spacing w:after="0" w:line="248" w:lineRule="auto"/>
        <w:rPr>
          <w:sz w:val="20"/>
          <w:szCs w:val="20"/>
          <w:color w:val="auto"/>
        </w:rPr>
      </w:pPr>
      <w:r>
        <w:rPr>
          <w:rFonts w:ascii="Times New Roman" w:cs="Times New Roman" w:eastAsia="Times New Roman" w:hAnsi="Times New Roman"/>
          <w:sz w:val="16"/>
          <w:szCs w:val="16"/>
          <w:color w:val="auto"/>
        </w:rPr>
        <w:t>A particular area identified as subject to potential change, amendment or repeal includes the Dodd-Frank Act, including the Volcker Rule and various swaps and derivatives regulations, credit risk retention requirements and the authorities of the Federal Reserve, the Financial Stability Oversight Council and the SEC. Given the uncertainty associated with the manner in which and whether the provisions of the Dodd-Frank Act will be implemented, repealed, amended, or replaced, the full impact such requirements will have on our business, results of operations or financial condition is unclear. The changes resulting from the Dodd-Frank Act or any changes to the regulations already implemented thereunder may require us to invest significant management attention and resources to evaluate and make necessary changes in order to comply with new statutory and regulatory requirements. Failure to comply with any such laws, regulations or principles, or changes thereto, may negatively impact our business, results of operations or financial condition. While we cannot predict what effect any changes in the laws or regulations or their interpretations would have on us as a result of recent financial reform legislation, these changes could be materially adverse to us and our stockholders.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Terrorist attacks, acts of war or natural disasters may affect any market for our securities, impact the businesses in which we invest and harm our business, operating results and financial condition.</w:t>
      </w:r>
    </w:p>
    <w:p>
      <w:pPr>
        <w:spacing w:after="0" w:line="145" w:lineRule="exact"/>
        <w:rPr>
          <w:sz w:val="20"/>
          <w:szCs w:val="20"/>
          <w:color w:val="auto"/>
        </w:rPr>
      </w:pPr>
    </w:p>
    <w:p>
      <w:pPr>
        <w:jc w:val="both"/>
        <w:ind w:firstLine="317"/>
        <w:spacing w:after="0" w:line="249" w:lineRule="auto"/>
        <w:rPr>
          <w:sz w:val="20"/>
          <w:szCs w:val="20"/>
          <w:color w:val="auto"/>
        </w:rPr>
      </w:pPr>
      <w:r>
        <w:rPr>
          <w:rFonts w:ascii="Times New Roman" w:cs="Times New Roman" w:eastAsia="Times New Roman" w:hAnsi="Times New Roman"/>
          <w:sz w:val="16"/>
          <w:szCs w:val="16"/>
          <w:color w:val="auto"/>
        </w:rPr>
        <w:t>Terrorist acts, acts of war or natural disasters, including as a result of global climate change, may disrupt our operations, as well as the operations of the businesses in which we invest. Such acts have created, and may continue to create, economic and political uncertainties and have contributed to global economic instability. Terrorist activities, military or security operations, global health emergencies, or extreme weather conditions or other natural disasters, including as a result of global climate change, could further weaken domestic and/or global economies and create additional uncertainties, which may negatively impact the businesses in which we invest directly or indirectly and, in turn, could have a material adverse impact on our business, operating results and financial condition. Losses from terrorist attacks, global health emergencies, and extreme weather conditions or other natural disasters are generally uninsurable. The nature and level of extreme weather conditions or other natural disasters cannot be predicted and may be exacerbated by global climate change.</w:t>
      </w:r>
    </w:p>
    <w:p>
      <w:pPr>
        <w:spacing w:after="0" w:line="16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b w:val="1"/>
          <w:bCs w:val="1"/>
          <w:i w:val="1"/>
          <w:iCs w:val="1"/>
          <w:color w:val="auto"/>
        </w:rPr>
        <w:t>The failure in cybersecurity systems, as well as the occurrence of events unanticipated in our disaster recovery systems and management continuity planning, could impair our ability to conduct business effectively.</w:t>
      </w:r>
    </w:p>
    <w:p>
      <w:pPr>
        <w:spacing w:after="0" w:line="145"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6"/>
          <w:szCs w:val="16"/>
          <w:color w:val="auto"/>
        </w:rPr>
        <w:t>Cybersecurity incidents and cyber-attacks have been occurring globally at a more frequent and severe level, and will likely continue to increase in frequency in the future. The occurrence of a disaster, such as a cyber-attack against us or against a third 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66" w:lineRule="exact"/>
        <w:rPr>
          <w:sz w:val="20"/>
          <w:szCs w:val="20"/>
          <w:color w:val="auto"/>
        </w:rPr>
      </w:pPr>
    </w:p>
    <w:p>
      <w:pPr>
        <w:jc w:val="both"/>
        <w:ind w:right="20" w:firstLine="317"/>
        <w:spacing w:after="0" w:line="258" w:lineRule="auto"/>
        <w:rPr>
          <w:sz w:val="20"/>
          <w:szCs w:val="20"/>
          <w:color w:val="auto"/>
        </w:rPr>
      </w:pPr>
      <w:r>
        <w:rPr>
          <w:rFonts w:ascii="Times New Roman" w:cs="Times New Roman" w:eastAsia="Times New Roman" w:hAnsi="Times New Roman"/>
          <w:sz w:val="16"/>
          <w:szCs w:val="16"/>
          <w:color w:val="auto"/>
        </w:rPr>
        <w:t>Our business operations rely upon secure information technology systems for data processing, storage and reporting. Despite careful security and controls design, implementation and updating, our information technology systems could become subject to cyber-attacks. Network, system, application and data breaches could result in operational disruptions or information misappropriation, which could have a material adverse effect on our business, results of operations and financial condition.</w:t>
      </w:r>
    </w:p>
    <w:p>
      <w:pPr>
        <w:spacing w:after="0" w:line="159" w:lineRule="exact"/>
        <w:rPr>
          <w:sz w:val="20"/>
          <w:szCs w:val="20"/>
          <w:color w:val="auto"/>
        </w:rPr>
      </w:pPr>
    </w:p>
    <w:p>
      <w:pPr>
        <w:jc w:val="both"/>
        <w:ind w:right="20" w:firstLine="317"/>
        <w:spacing w:after="0" w:line="253" w:lineRule="auto"/>
        <w:rPr>
          <w:sz w:val="20"/>
          <w:szCs w:val="20"/>
          <w:color w:val="auto"/>
        </w:rPr>
      </w:pPr>
      <w:r>
        <w:rPr>
          <w:rFonts w:ascii="Times New Roman" w:cs="Times New Roman" w:eastAsia="Times New Roman" w:hAnsi="Times New Roman"/>
          <w:sz w:val="16"/>
          <w:szCs w:val="16"/>
          <w:color w:val="auto"/>
        </w:rPr>
        <w:t>The occurrence of a disaster such as a cyber-attack, a natural catastrophe, an industrial accident, a terrorist attack or war, events unanticipated in our disaster recovery systems, or a support failure from external providers, could have an adverse effect on our ability to conduct business and on our results of operations and financial condition, particularly if those events affect our computer-based data processing, transmission, storage, and retrieval systems or destroy data. If a significant number of the members of our management team are unavailable in the event of a disaster, our ability to effectively conduct our business could be severely compromised.</w:t>
      </w:r>
    </w:p>
    <w:p>
      <w:pPr>
        <w:spacing w:after="0" w:line="164" w:lineRule="exact"/>
        <w:rPr>
          <w:sz w:val="20"/>
          <w:szCs w:val="20"/>
          <w:color w:val="auto"/>
        </w:rPr>
      </w:pPr>
    </w:p>
    <w:p>
      <w:pPr>
        <w:jc w:val="both"/>
        <w:ind w:firstLine="627"/>
        <w:spacing w:after="0" w:line="265" w:lineRule="auto"/>
        <w:rPr>
          <w:sz w:val="20"/>
          <w:szCs w:val="20"/>
          <w:color w:val="auto"/>
        </w:rPr>
      </w:pPr>
      <w:r>
        <w:rPr>
          <w:rFonts w:ascii="Times New Roman" w:cs="Times New Roman" w:eastAsia="Times New Roman" w:hAnsi="Times New Roman"/>
          <w:sz w:val="15"/>
          <w:szCs w:val="15"/>
          <w:color w:val="auto"/>
        </w:rPr>
        <w:t>We depend heavily upon computer systems to perform necessary business functions. Despite our implementation of a variety of security measures, our computer systems could be subject to cyber-attacks and unauthorized access, such as physical and electronic break-ins or unauthorized tampering. Like other companies, we may experience threats to our data and systems, including malware and computer virus attacks, unauthorized access, system failures and disruptions. If one or more of these events occurs, it could potentially jeopardize the confidential, proprietary and other information processed and stored in, and transmitted through, our computer systems and networks, or otherwise cause interruptions or malfunctions in our operations, which could result in damage to our reputation, financial losses, litigation, increased costs, regulatory penalties and/or customer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 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right="20" w:firstLine="317"/>
        <w:spacing w:after="0" w:line="253" w:lineRule="auto"/>
        <w:rPr>
          <w:sz w:val="20"/>
          <w:szCs w:val="20"/>
          <w:color w:val="auto"/>
        </w:rPr>
      </w:pPr>
      <w:r>
        <w:rPr>
          <w:rFonts w:ascii="Times New Roman" w:cs="Times New Roman" w:eastAsia="Times New Roman" w:hAnsi="Times New Roman"/>
          <w:sz w:val="16"/>
          <w:szCs w:val="16"/>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64"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6"/>
          <w:szCs w:val="16"/>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64" w:lineRule="exact"/>
        <w:rPr>
          <w:sz w:val="20"/>
          <w:szCs w:val="20"/>
          <w:color w:val="auto"/>
        </w:rPr>
      </w:pPr>
    </w:p>
    <w:p>
      <w:pPr>
        <w:jc w:val="both"/>
        <w:ind w:firstLine="317"/>
        <w:spacing w:after="0" w:line="258" w:lineRule="auto"/>
        <w:rPr>
          <w:sz w:val="20"/>
          <w:szCs w:val="20"/>
          <w:color w:val="auto"/>
        </w:rPr>
      </w:pPr>
      <w:r>
        <w:rPr>
          <w:rFonts w:ascii="Times New Roman" w:cs="Times New Roman" w:eastAsia="Times New Roman" w:hAnsi="Times New Roman"/>
          <w:sz w:val="16"/>
          <w:szCs w:val="16"/>
          <w:color w:val="auto"/>
        </w:rPr>
        <w:t>In addition,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59" w:lineRule="exact"/>
        <w:rPr>
          <w:sz w:val="20"/>
          <w:szCs w:val="20"/>
          <w:color w:val="auto"/>
        </w:rPr>
      </w:pPr>
    </w:p>
    <w:p>
      <w:pPr>
        <w:jc w:val="both"/>
        <w:ind w:firstLine="317"/>
        <w:spacing w:after="0" w:line="267" w:lineRule="auto"/>
        <w:rPr>
          <w:sz w:val="20"/>
          <w:szCs w:val="20"/>
          <w:color w:val="auto"/>
        </w:rPr>
      </w:pPr>
      <w:r>
        <w:rPr>
          <w:rFonts w:ascii="Times New Roman" w:cs="Times New Roman" w:eastAsia="Times New Roman" w:hAnsi="Times New Roman"/>
          <w:sz w:val="15"/>
          <w:szCs w:val="15"/>
          <w:color w:val="auto"/>
        </w:rPr>
        <w:t>Finally, the increased use of mobile and cloud technologies due to the proliferation of remote work resulting from and following the COVID-19 pandemic could heighten these and other operational risks as certain aspects of the security of such technologies may be complex and unpredictable. Reliance on mobile or cloud technology or any failure by mobile technology and cloud service providers to adequately safeguard their systems and prevent cyber-attacks could disrupt our operations, the operations of a portfolio company or the operations of our or their service providers and result in misappropriation, corruption or loss of personal, confidential or proprietary information or the inability to conduct ordinary business operations. In addition, there is a risk that encryption and other protective measures may be circumvented, particularly to the extent that new computing technologies increase the speed and computing power available. An extended period of remote working, whether by us, our portfolio companies, or our third-party providers, could strain technology resources and introduce operational risks, including heightened cybersecurity risk. Remote working environments may be less secure and more susceptible to hacking attacks, including phishing and social engineering attempts. Accordingly, the risks described above are heightened under current conditions.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Program Overview</w:t>
      </w:r>
    </w:p>
    <w:p>
      <w:pPr>
        <w:spacing w:after="0" w:line="194" w:lineRule="exact"/>
        <w:rPr>
          <w:sz w:val="20"/>
          <w:szCs w:val="20"/>
          <w:color w:val="auto"/>
        </w:rPr>
      </w:pPr>
    </w:p>
    <w:p>
      <w:pPr>
        <w:jc w:val="both"/>
        <w:ind w:firstLine="317"/>
        <w:spacing w:after="0" w:line="248" w:lineRule="auto"/>
        <w:rPr>
          <w:sz w:val="20"/>
          <w:szCs w:val="20"/>
          <w:color w:val="auto"/>
        </w:rPr>
      </w:pPr>
      <w:r>
        <w:rPr>
          <w:rFonts w:ascii="Times New Roman" w:cs="Times New Roman" w:eastAsia="Times New Roman" w:hAnsi="Times New Roman"/>
          <w:sz w:val="16"/>
          <w:szCs w:val="16"/>
          <w:color w:val="auto"/>
        </w:rPr>
        <w:t>We maintain, routinely review and evaluate our information technology and cybersecurity policies, practices and procedures (our “Cybersecurity Program”). The Cybersecurity Program has various policies and procedures, including an Information and Cybersecurity Policy and Business Continuity/Disaster Recovery Plan. Our Cybersecurity Program is administered by our Information Security Committee, which consists of our Chief Financial Officer, Chief Compliance Officer and other Company management and counsel, as appropriate, all of which is subject to the oversight of our Board of Directors. We also utilize the services of information technology and cybersecurity advisers, consultants and experts in the evaluation and periodic testing of our information technology and cybersecurity systems to recommend improvements to our Cybersecurity Program and in connection with any cybersecurity incident. We believe that the individuals involved in our Cybersecurity Program possess the necessary skills, experience and backgrounds that, when combined with the resources of our external information technology and cybersecurity advisers, consultants and experts, are sufficient to manage our Cybersecurity Program.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Role in Cybersecurity Risk Management</w:t>
      </w:r>
    </w:p>
    <w:p>
      <w:pPr>
        <w:spacing w:after="0" w:line="194" w:lineRule="exact"/>
        <w:rPr>
          <w:sz w:val="20"/>
          <w:szCs w:val="20"/>
          <w:color w:val="auto"/>
        </w:rPr>
      </w:pPr>
    </w:p>
    <w:p>
      <w:pPr>
        <w:jc w:val="both"/>
        <w:ind w:firstLine="317"/>
        <w:spacing w:after="0" w:line="250" w:lineRule="auto"/>
        <w:rPr>
          <w:sz w:val="20"/>
          <w:szCs w:val="20"/>
          <w:color w:val="auto"/>
        </w:rPr>
      </w:pPr>
      <w:r>
        <w:rPr>
          <w:rFonts w:ascii="Times New Roman" w:cs="Times New Roman" w:eastAsia="Times New Roman" w:hAnsi="Times New Roman"/>
          <w:sz w:val="16"/>
          <w:szCs w:val="16"/>
          <w:color w:val="auto"/>
        </w:rPr>
        <w:t xml:space="preserve">As part of our overall risk management process, our management engages at least annually in an enterprise risk management review and evaluation, during which management reviews the principal risks relating to our business and operations. Included in this process is a review and evaluation of our risks relating to our Cybersecurity Program. Additionally, as part of our Rule 38a-1 compliance program, we review at least annually the compliance policies and procedures of our key service providers, including documentation discussing each service providers’ information security and privacy controls. Any failure in our or our key service providers’ cybersecurity systems could have a material impact on our operating results. See “Item 1A. Risk Factors - General Risk Factors - </w:t>
      </w:r>
      <w:r>
        <w:rPr>
          <w:rFonts w:ascii="Times New Roman" w:cs="Times New Roman" w:eastAsia="Times New Roman" w:hAnsi="Times New Roman"/>
          <w:sz w:val="16"/>
          <w:szCs w:val="16"/>
          <w:i w:val="1"/>
          <w:iCs w:val="1"/>
          <w:color w:val="auto"/>
        </w:rPr>
        <w:t>The failure in cybersecurity systems, as well as the occurrence of events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unanticipated in our disaster recovery systems and management continuity planning, could impair our ability to conduct business effectively.”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Oversight of Cybersecurity Risks</w:t>
      </w:r>
    </w:p>
    <w:p>
      <w:pPr>
        <w:spacing w:after="0" w:line="194" w:lineRule="exact"/>
        <w:rPr>
          <w:sz w:val="20"/>
          <w:szCs w:val="20"/>
          <w:color w:val="auto"/>
        </w:rPr>
      </w:pPr>
    </w:p>
    <w:p>
      <w:pPr>
        <w:jc w:val="both"/>
        <w:ind w:firstLine="317"/>
        <w:spacing w:after="0" w:line="250" w:lineRule="auto"/>
        <w:rPr>
          <w:sz w:val="20"/>
          <w:szCs w:val="20"/>
          <w:color w:val="auto"/>
        </w:rPr>
      </w:pPr>
      <w:r>
        <w:rPr>
          <w:rFonts w:ascii="Times New Roman" w:cs="Times New Roman" w:eastAsia="Times New Roman" w:hAnsi="Times New Roman"/>
          <w:sz w:val="16"/>
          <w:szCs w:val="16"/>
          <w:color w:val="auto"/>
        </w:rPr>
        <w:t>Our Board of Directors as a whole has responsibility for the Company’s risk oversight, with reviews of certain areas being conducted by the relevant Board committees that report on their deliberations to the full Board of Directors. The oversight responsibility of the Board of Directors and its committees is enabled by management reporting processes that are designed to provide visibility to the Board of Directors about the identification, assessment and management of critical risks and management’s risk mitigation strategies. Accordingly, our Board of Directors provides strategic oversight on cybersecurity matters, including material risks associated with cybersecurity threats. Our Board of Directors receives periodic updates from our Chief Compliance Officer (or more frequently, as needed) regarding the overall state of our Cybersecurity Program, information on the current threat landscape, and material risks from cybersecurity threats and cybersecurity incidents.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94" w:lineRule="exact"/>
        <w:rPr>
          <w:sz w:val="20"/>
          <w:szCs w:val="20"/>
          <w:color w:val="auto"/>
        </w:rPr>
      </w:pPr>
    </w:p>
    <w:p>
      <w:pPr>
        <w:jc w:val="both"/>
        <w:ind w:right="20" w:firstLine="317"/>
        <w:spacing w:after="0" w:line="258" w:lineRule="auto"/>
        <w:rPr>
          <w:sz w:val="20"/>
          <w:szCs w:val="20"/>
          <w:color w:val="auto"/>
        </w:rPr>
      </w:pPr>
      <w:r>
        <w:rPr>
          <w:rFonts w:ascii="Times New Roman" w:cs="Times New Roman" w:eastAsia="Times New Roman" w:hAnsi="Times New Roman"/>
          <w:sz w:val="16"/>
          <w:szCs w:val="16"/>
          <w:color w:val="auto"/>
        </w:rPr>
        <w:t>We do not own any real estate or other physical properties materially important to our operations. Our principal executive office and headquarters is located at 640 Fifth Avenue, 12th Floor, New York, NY 10019 and we maintain an additional office at One Sansome Street, Suite 730, San Francisco, CA 94104. We are party to office leases pursuant to which we are leasing office facilities from third parties. We believe our office facilities are suitable and adequate for our business as it is presently conducted.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94"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6"/>
          <w:szCs w:val="16"/>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ectPr>
          <w:pgSz w:w="11900" w:h="16838" w:orient="portrait"/>
          <w:cols w:equalWidth="0" w:num="1">
            <w:col w:w="11260"/>
          </w:cols>
          <w:pgMar w:left="320" w:top="217" w:right="319" w:bottom="1440" w:gutter="0" w:footer="0" w:header="0"/>
        </w:sectPr>
      </w:pP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type w:val="continuous"/>
        </w:sectPr>
      </w:pPr>
    </w:p>
    <w:bookmarkStart w:id="49" w:name="page50"/>
    <w:bookmarkEnd w:id="49"/>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194" w:lineRule="exact"/>
        <w:rPr>
          <w:sz w:val="20"/>
          <w:szCs w:val="20"/>
          <w:color w:val="auto"/>
        </w:rPr>
      </w:pPr>
    </w:p>
    <w:p>
      <w:pPr>
        <w:jc w:val="both"/>
        <w:ind w:left="6" w:firstLine="317"/>
        <w:spacing w:after="0" w:line="249" w:lineRule="auto"/>
        <w:rPr>
          <w:sz w:val="20"/>
          <w:szCs w:val="20"/>
          <w:color w:val="auto"/>
        </w:rPr>
      </w:pPr>
      <w:r>
        <w:rPr>
          <w:rFonts w:ascii="Times New Roman" w:cs="Times New Roman" w:eastAsia="Times New Roman" w:hAnsi="Times New Roman"/>
          <w:sz w:val="16"/>
          <w:szCs w:val="16"/>
          <w:color w:val="auto"/>
        </w:rPr>
        <w:t>Our common stock is traded on the Nasdaq Global Select Market under the symbol “SSSS.” Prior to November 24, 2021, our common stock traded on the Nasdaq Capital Market under the same symbol (“SSSS”). Our common stock has historically traded at prices both above and below our NAV per share. It is not possible to predict whether our common stock will trade at, above or below NAV. See “Item 1A. Risk Factors—Risks Related to an Investment in Our Securities.” The following table sets forth, for each fiscal quarter for the fiscal years ended December 31, 2023, 2022 and 2021, the NAV per share of our common stock, the range of high and low closing sales prices for our common stock, and such closing sales price as a percentage (premium and discount) to our NAV per share. The closing market prices reported below have been adjusted to give retroactive effect to material changes resulting from stock dividends. The reported closing market price of our common stock on March 13, 2024 was $4.36 per share, which represented an approximately 45.4% discount to our NAV of $7.99 per share as of December 31, 2023.</w:t>
      </w:r>
    </w:p>
    <w:p>
      <w:pPr>
        <w:spacing w:after="0" w:line="166"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High Close</w:t>
            </w:r>
          </w:p>
        </w:tc>
        <w:tc>
          <w:tcPr>
            <w:tcW w:w="200" w:type="dxa"/>
            <w:vAlign w:val="bottom"/>
          </w:tcPr>
          <w:p>
            <w:pPr>
              <w:spacing w:after="0"/>
              <w:rPr>
                <w:sz w:val="16"/>
                <w:szCs w:val="16"/>
                <w:color w:val="auto"/>
              </w:rPr>
            </w:pP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Low Close</w:t>
            </w:r>
          </w:p>
        </w:tc>
      </w:tr>
      <w:tr>
        <w:trPr>
          <w:trHeight w:val="188"/>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Price as a</w:t>
            </w:r>
          </w:p>
        </w:tc>
        <w:tc>
          <w:tcPr>
            <w:tcW w:w="200" w:type="dxa"/>
            <w:vAlign w:val="bottom"/>
          </w:tcPr>
          <w:p>
            <w:pPr>
              <w:spacing w:after="0"/>
              <w:rPr>
                <w:sz w:val="16"/>
                <w:szCs w:val="16"/>
                <w:color w:val="auto"/>
              </w:rPr>
            </w:pP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Price as a</w:t>
            </w:r>
          </w:p>
        </w:tc>
      </w:tr>
      <w:tr>
        <w:trPr>
          <w:trHeight w:val="222"/>
        </w:trPr>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Price Range</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Premium/(Discount)</w:t>
            </w: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Premium/(Discount)</w:t>
            </w:r>
          </w:p>
        </w:tc>
      </w:tr>
      <w:tr>
        <w:trPr>
          <w:trHeight w:val="215"/>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60"/>
              <w:spacing w:after="0" w:line="211" w:lineRule="exact"/>
              <w:rPr>
                <w:sz w:val="20"/>
                <w:szCs w:val="20"/>
                <w:color w:val="auto"/>
              </w:rPr>
            </w:pPr>
            <w:r>
              <w:rPr>
                <w:rFonts w:ascii="Times New Roman" w:cs="Times New Roman" w:eastAsia="Times New Roman" w:hAnsi="Times New Roman"/>
                <w:sz w:val="24"/>
                <w:szCs w:val="24"/>
                <w:b w:val="1"/>
                <w:bCs w:val="1"/>
                <w:color w:val="auto"/>
                <w:vertAlign w:val="subscript"/>
              </w:rPr>
              <w:t>NAV</w:t>
            </w:r>
            <w:r>
              <w:rPr>
                <w:rFonts w:ascii="Times New Roman" w:cs="Times New Roman" w:eastAsia="Times New Roman" w:hAnsi="Times New Roman"/>
                <w:sz w:val="11"/>
                <w:szCs w:val="11"/>
                <w:b w:val="1"/>
                <w:bCs w:val="1"/>
                <w:color w:val="auto"/>
              </w:rPr>
              <w:t>(1)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Low</w:t>
            </w:r>
          </w:p>
        </w:tc>
        <w:tc>
          <w:tcPr>
            <w:tcW w:w="1720" w:type="dxa"/>
            <w:vAlign w:val="bottom"/>
            <w:gridSpan w:val="2"/>
          </w:tcPr>
          <w:p>
            <w:pPr>
              <w:jc w:val="center"/>
              <w:ind w:right="360"/>
              <w:spacing w:after="0" w:line="211" w:lineRule="exact"/>
              <w:rPr>
                <w:sz w:val="20"/>
                <w:szCs w:val="20"/>
                <w:color w:val="auto"/>
              </w:rPr>
            </w:pPr>
            <w:r>
              <w:rPr>
                <w:rFonts w:ascii="Times New Roman" w:cs="Times New Roman" w:eastAsia="Times New Roman" w:hAnsi="Times New Roman"/>
                <w:sz w:val="15"/>
                <w:szCs w:val="15"/>
                <w:b w:val="1"/>
                <w:bCs w:val="1"/>
                <w:color w:val="auto"/>
                <w:w w:val="94"/>
              </w:rPr>
              <w:t>to NAV</w:t>
            </w:r>
            <w:r>
              <w:rPr>
                <w:rFonts w:ascii="Times New Roman" w:cs="Times New Roman" w:eastAsia="Times New Roman" w:hAnsi="Times New Roman"/>
                <w:sz w:val="24"/>
                <w:szCs w:val="24"/>
                <w:b w:val="1"/>
                <w:bCs w:val="1"/>
                <w:color w:val="auto"/>
                <w:w w:val="94"/>
                <w:vertAlign w:val="superscript"/>
              </w:rPr>
              <w:t>(2)</w:t>
            </w:r>
          </w:p>
        </w:tc>
        <w:tc>
          <w:tcPr>
            <w:tcW w:w="200" w:type="dxa"/>
            <w:vAlign w:val="bottom"/>
          </w:tcPr>
          <w:p>
            <w:pPr>
              <w:spacing w:after="0"/>
              <w:rPr>
                <w:sz w:val="18"/>
                <w:szCs w:val="18"/>
                <w:color w:val="auto"/>
              </w:rPr>
            </w:pPr>
          </w:p>
        </w:tc>
        <w:tc>
          <w:tcPr>
            <w:tcW w:w="1680" w:type="dxa"/>
            <w:vAlign w:val="bottom"/>
            <w:gridSpan w:val="2"/>
          </w:tcPr>
          <w:p>
            <w:pPr>
              <w:jc w:val="right"/>
              <w:ind w:right="700"/>
              <w:spacing w:after="0" w:line="211" w:lineRule="exact"/>
              <w:rPr>
                <w:sz w:val="20"/>
                <w:szCs w:val="20"/>
                <w:color w:val="auto"/>
              </w:rPr>
            </w:pPr>
            <w:r>
              <w:rPr>
                <w:rFonts w:ascii="Times New Roman" w:cs="Times New Roman" w:eastAsia="Times New Roman" w:hAnsi="Times New Roman"/>
                <w:sz w:val="15"/>
                <w:szCs w:val="15"/>
                <w:b w:val="1"/>
                <w:bCs w:val="1"/>
                <w:color w:val="auto"/>
              </w:rPr>
              <w:t>to NAV</w:t>
            </w:r>
            <w:r>
              <w:rPr>
                <w:rFonts w:ascii="Times New Roman" w:cs="Times New Roman" w:eastAsia="Times New Roman" w:hAnsi="Times New Roman"/>
                <w:sz w:val="24"/>
                <w:szCs w:val="24"/>
                <w:b w:val="1"/>
                <w:bCs w:val="1"/>
                <w:color w:val="auto"/>
                <w:vertAlign w:val="superscript"/>
              </w:rPr>
              <w:t>(2)</w:t>
            </w:r>
          </w:p>
        </w:tc>
      </w:tr>
      <w:tr>
        <w:trPr>
          <w:trHeight w:val="188"/>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r>
      <w:tr>
        <w:trPr>
          <w:trHeight w:val="188"/>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Fourth Quarter</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4.32</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3.51</w:t>
            </w:r>
          </w:p>
        </w:tc>
        <w:tc>
          <w:tcPr>
            <w:tcW w:w="220" w:type="dxa"/>
            <w:vAlign w:val="bottom"/>
          </w:tcPr>
          <w:p>
            <w:pPr>
              <w:spacing w:after="0"/>
              <w:rPr>
                <w:sz w:val="16"/>
                <w:szCs w:val="16"/>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(45.9)%</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(56.1)%</w:t>
            </w:r>
          </w:p>
        </w:tc>
      </w:tr>
      <w:tr>
        <w:trPr>
          <w:trHeight w:val="188"/>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Third Quarter</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8.41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4.31</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3.19</w:t>
            </w:r>
          </w:p>
        </w:tc>
        <w:tc>
          <w:tcPr>
            <w:tcW w:w="2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(48.8)</w:t>
            </w:r>
          </w:p>
        </w:tc>
        <w:tc>
          <w:tcPr>
            <w:tcW w:w="1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(62.1)</w:t>
            </w:r>
          </w:p>
        </w:tc>
      </w:tr>
      <w:tr>
        <w:trPr>
          <w:trHeight w:val="188"/>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Second Quarter</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7.35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3.93</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3.20</w:t>
            </w:r>
          </w:p>
        </w:tc>
        <w:tc>
          <w:tcPr>
            <w:tcW w:w="220" w:type="dxa"/>
            <w:vAlign w:val="bottom"/>
          </w:tcPr>
          <w:p>
            <w:pPr>
              <w:spacing w:after="0"/>
              <w:rPr>
                <w:sz w:val="16"/>
                <w:szCs w:val="16"/>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(46.5)</w:t>
            </w:r>
          </w:p>
        </w:tc>
        <w:tc>
          <w:tcPr>
            <w:tcW w:w="18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(56.5)</w:t>
            </w:r>
          </w:p>
        </w:tc>
      </w:tr>
      <w:tr>
        <w:trPr>
          <w:trHeight w:val="188"/>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First Quarter</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7.59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4.64</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2.93</w:t>
            </w:r>
          </w:p>
        </w:tc>
        <w:tc>
          <w:tcPr>
            <w:tcW w:w="2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(38.9)</w:t>
            </w:r>
          </w:p>
        </w:tc>
        <w:tc>
          <w:tcPr>
            <w:tcW w:w="1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(61.4)</w:t>
            </w:r>
          </w:p>
        </w:tc>
      </w:tr>
      <w:tr>
        <w:trPr>
          <w:trHeight w:val="188"/>
        </w:trPr>
        <w:tc>
          <w:tcPr>
            <w:tcW w:w="3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88"/>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Fourth Quarter</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7.39</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4.38</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3.67</w:t>
            </w:r>
          </w:p>
        </w:tc>
        <w:tc>
          <w:tcPr>
            <w:tcW w:w="2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(40.7)%</w:t>
            </w:r>
          </w:p>
        </w:tc>
        <w:tc>
          <w:tcPr>
            <w:tcW w:w="1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(50.3)%</w:t>
            </w:r>
          </w:p>
        </w:tc>
      </w:tr>
      <w:tr>
        <w:trPr>
          <w:trHeight w:val="188"/>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Third Quarter</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3.87</w:t>
            </w:r>
          </w:p>
        </w:tc>
        <w:tc>
          <w:tcPr>
            <w:tcW w:w="220" w:type="dxa"/>
            <w:vAlign w:val="bottom"/>
          </w:tcPr>
          <w:p>
            <w:pPr>
              <w:spacing w:after="0"/>
              <w:rPr>
                <w:sz w:val="16"/>
                <w:szCs w:val="16"/>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(13.0)</w:t>
            </w:r>
          </w:p>
        </w:tc>
        <w:tc>
          <w:tcPr>
            <w:tcW w:w="18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(50.6)</w:t>
            </w:r>
          </w:p>
        </w:tc>
      </w:tr>
      <w:tr>
        <w:trPr>
          <w:trHeight w:val="188"/>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Second Quarter</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9.24</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8.94</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6.33</w:t>
            </w:r>
          </w:p>
        </w:tc>
        <w:tc>
          <w:tcPr>
            <w:tcW w:w="2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(3.2)</w:t>
            </w:r>
          </w:p>
        </w:tc>
        <w:tc>
          <w:tcPr>
            <w:tcW w:w="1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(31.5)</w:t>
            </w:r>
          </w:p>
        </w:tc>
      </w:tr>
      <w:tr>
        <w:trPr>
          <w:trHeight w:val="188"/>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 Quarter</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12.22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13.36</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8.27</w:t>
            </w:r>
          </w:p>
        </w:tc>
        <w:tc>
          <w:tcPr>
            <w:tcW w:w="220" w:type="dxa"/>
            <w:vAlign w:val="bottom"/>
          </w:tcPr>
          <w:p>
            <w:pPr>
              <w:spacing w:after="0"/>
              <w:rPr>
                <w:sz w:val="16"/>
                <w:szCs w:val="16"/>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9.3</w:t>
            </w:r>
          </w:p>
        </w:tc>
        <w:tc>
          <w:tcPr>
            <w:tcW w:w="18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(32.3)</w:t>
            </w:r>
          </w:p>
        </w:tc>
      </w:tr>
      <w:tr>
        <w:trPr>
          <w:trHeight w:val="188"/>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188"/>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Fourth Quarter</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11.72</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15.60</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11.41</w:t>
            </w:r>
          </w:p>
        </w:tc>
        <w:tc>
          <w:tcPr>
            <w:tcW w:w="220" w:type="dxa"/>
            <w:vAlign w:val="bottom"/>
          </w:tcPr>
          <w:p>
            <w:pPr>
              <w:spacing w:after="0"/>
              <w:rPr>
                <w:sz w:val="16"/>
                <w:szCs w:val="16"/>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33.1%</w:t>
            </w: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(2.6)%</w:t>
            </w:r>
          </w:p>
        </w:tc>
      </w:tr>
      <w:tr>
        <w:trPr>
          <w:trHeight w:val="188"/>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Third Quarter</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14.79</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16.25</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9.9</w:t>
            </w:r>
          </w:p>
        </w:tc>
        <w:tc>
          <w:tcPr>
            <w:tcW w:w="1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(17.6)</w:t>
            </w:r>
          </w:p>
        </w:tc>
      </w:tr>
      <w:tr>
        <w:trPr>
          <w:trHeight w:val="188"/>
        </w:trPr>
        <w:tc>
          <w:tcPr>
            <w:tcW w:w="3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Second Quarter</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16.56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15.52</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(6.3)</w:t>
            </w:r>
          </w:p>
        </w:tc>
        <w:tc>
          <w:tcPr>
            <w:tcW w:w="18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(21.1)</w:t>
            </w:r>
          </w:p>
        </w:tc>
      </w:tr>
      <w:tr>
        <w:trPr>
          <w:trHeight w:val="188"/>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First Quarter</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18.01</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15.43</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(14.3)</w:t>
            </w:r>
          </w:p>
        </w:tc>
        <w:tc>
          <w:tcPr>
            <w:tcW w:w="1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9133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ind w:left="286" w:right="20" w:hanging="286"/>
        <w:spacing w:after="0" w:line="255" w:lineRule="auto"/>
        <w:tabs>
          <w:tab w:leader="none" w:pos="28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NAV per share is determined as of the last day in the relevant quarter and therefore may not reflect the NAV per share on the date of the high and low close prices. The NAV per share figures shown are based on outstanding shares at the end of each period.</w:t>
      </w:r>
    </w:p>
    <w:p>
      <w:pPr>
        <w:ind w:left="286" w:hanging="286"/>
        <w:spacing w:after="0"/>
        <w:tabs>
          <w:tab w:leader="none" w:pos="28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the respective high or low close sales price divided by the NAV and subtracting 1.</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Holders</w:t>
      </w:r>
    </w:p>
    <w:p>
      <w:pPr>
        <w:spacing w:after="0" w:line="194"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6"/>
          <w:szCs w:val="16"/>
          <w:color w:val="auto"/>
        </w:rPr>
        <w:t>As of March 13, 2024, there were 19 holders of record of our common stock (including Cede &amp; Co.).</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Distributions</w:t>
      </w:r>
    </w:p>
    <w:p>
      <w:pPr>
        <w:spacing w:after="0" w:line="194" w:lineRule="exact"/>
        <w:rPr>
          <w:sz w:val="20"/>
          <w:szCs w:val="20"/>
          <w:color w:val="auto"/>
        </w:rPr>
      </w:pPr>
    </w:p>
    <w:p>
      <w:pPr>
        <w:jc w:val="both"/>
        <w:ind w:left="6" w:firstLine="317"/>
        <w:spacing w:after="0" w:line="267" w:lineRule="auto"/>
        <w:rPr>
          <w:sz w:val="20"/>
          <w:szCs w:val="20"/>
          <w:color w:val="auto"/>
        </w:rPr>
      </w:pPr>
      <w:r>
        <w:rPr>
          <w:rFonts w:ascii="Times New Roman" w:cs="Times New Roman" w:eastAsia="Times New Roman" w:hAnsi="Times New Roman"/>
          <w:sz w:val="15"/>
          <w:szCs w:val="15"/>
          <w:color w:val="auto"/>
        </w:rPr>
        <w:t>We have elected to be treated as a RIC under Subchapter M of the Code and expect to continue to operate in a manner so as to qualify for the tax treatment applicable to RICs. To maintain RIC tax treatment, we must, among other things, distribute at least 90% of our ordinary income and realized net short-term capital gains in excess of realized net long-term capital losses, if any. Further,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w:t>
      </w:r>
    </w:p>
    <w:p>
      <w:pPr>
        <w:jc w:val="both"/>
        <w:ind w:left="6" w:hanging="6"/>
        <w:spacing w:after="0" w:line="245" w:lineRule="auto"/>
        <w:tabs>
          <w:tab w:leader="none" w:pos="23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extended due date for filing the U.S. federal income tax return for that fiscal year.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net short-term capital losses), if any, at least annually, we may in the future decide to retain such capital gains for investment. If this happens, our stockholders will be treated as if they received an actual distribution of the capital gains we retain and reinvested the net after-tax proceeds in us. Stockholders may be eligible to claim a tax credit (or, in certain circumstances, a tax refund) equal to the allocable share of the tax we paid on the capital gains deemed distributed to them.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7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50" w:name="page51"/>
    <w:bookmarkEnd w:id="50"/>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left="6" w:firstLine="282"/>
        <w:spacing w:after="0" w:line="258" w:lineRule="auto"/>
        <w:rPr>
          <w:sz w:val="20"/>
          <w:szCs w:val="20"/>
          <w:color w:val="auto"/>
        </w:rPr>
      </w:pPr>
      <w:r>
        <w:rPr>
          <w:rFonts w:ascii="Times New Roman" w:cs="Times New Roman" w:eastAsia="Times New Roman" w:hAnsi="Times New Roman"/>
          <w:sz w:val="16"/>
          <w:szCs w:val="16"/>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December 31, 2023. The table is divided by fiscal year according to record date:</w:t>
      </w:r>
    </w:p>
    <w:p>
      <w:pPr>
        <w:spacing w:after="0" w:line="169"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Record Date</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Payment Date</w:t>
            </w:r>
          </w:p>
        </w:tc>
        <w:tc>
          <w:tcPr>
            <w:tcW w:w="200" w:type="dxa"/>
            <w:vAlign w:val="bottom"/>
          </w:tcPr>
          <w:p>
            <w:pPr>
              <w:spacing w:after="0"/>
              <w:rPr>
                <w:sz w:val="18"/>
                <w:szCs w:val="18"/>
                <w:color w:val="auto"/>
              </w:rPr>
            </w:pPr>
          </w:p>
        </w:tc>
        <w:tc>
          <w:tcPr>
            <w:tcW w:w="18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Amount per Share</w:t>
            </w:r>
          </w:p>
        </w:tc>
      </w:tr>
      <w:tr>
        <w:trPr>
          <w:trHeight w:val="188"/>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2015:</w:t>
            </w:r>
          </w:p>
        </w:tc>
        <w:tc>
          <w:tcPr>
            <w:tcW w:w="24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3"/>
        </w:trPr>
        <w:tc>
          <w:tcPr>
            <w:tcW w:w="4740" w:type="dxa"/>
            <w:vAlign w:val="bottom"/>
            <w:gridSpan w:val="2"/>
          </w:tcPr>
          <w:p>
            <w:pPr>
              <w:ind w:left="160"/>
              <w:spacing w:after="0" w:line="223" w:lineRule="exact"/>
              <w:rPr>
                <w:sz w:val="20"/>
                <w:szCs w:val="20"/>
                <w:color w:val="auto"/>
              </w:rPr>
            </w:pPr>
            <w:r>
              <w:rPr>
                <w:rFonts w:ascii="Times New Roman" w:cs="Times New Roman" w:eastAsia="Times New Roman" w:hAnsi="Times New Roman"/>
                <w:sz w:val="15"/>
                <w:szCs w:val="15"/>
                <w:color w:val="auto"/>
              </w:rPr>
              <w:t>November 4, 2015</w:t>
            </w:r>
            <w:r>
              <w:rPr>
                <w:rFonts w:ascii="Times New Roman" w:cs="Times New Roman" w:eastAsia="Times New Roman" w:hAnsi="Times New Roman"/>
                <w:sz w:val="25"/>
                <w:szCs w:val="25"/>
                <w:color w:val="auto"/>
                <w:vertAlign w:val="superscript"/>
              </w:rPr>
              <w:t>(1)</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November 16, 2015</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6"/>
              </w:rPr>
              <w:t>December 31, 2015</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2.76</w:t>
            </w:r>
          </w:p>
        </w:tc>
      </w:tr>
      <w:tr>
        <w:trPr>
          <w:trHeight w:val="188"/>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2016:</w:t>
            </w:r>
          </w:p>
        </w:tc>
        <w:tc>
          <w:tcPr>
            <w:tcW w:w="2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4740" w:type="dxa"/>
            <w:vAlign w:val="bottom"/>
            <w:gridSpan w:val="2"/>
          </w:tcPr>
          <w:p>
            <w:pPr>
              <w:ind w:left="160"/>
              <w:spacing w:after="0" w:line="223" w:lineRule="exact"/>
              <w:rPr>
                <w:sz w:val="20"/>
                <w:szCs w:val="20"/>
                <w:color w:val="auto"/>
              </w:rPr>
            </w:pPr>
            <w:r>
              <w:rPr>
                <w:rFonts w:ascii="Times New Roman" w:cs="Times New Roman" w:eastAsia="Times New Roman" w:hAnsi="Times New Roman"/>
                <w:sz w:val="15"/>
                <w:szCs w:val="15"/>
                <w:color w:val="auto"/>
              </w:rPr>
              <w:t>August 3, 2016</w:t>
            </w:r>
            <w:r>
              <w:rPr>
                <w:rFonts w:ascii="Times New Roman" w:cs="Times New Roman" w:eastAsia="Times New Roman" w:hAnsi="Times New Roman"/>
                <w:sz w:val="25"/>
                <w:szCs w:val="25"/>
                <w:color w:val="auto"/>
                <w:vertAlign w:val="superscript"/>
              </w:rPr>
              <w:t>(2)</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August 16, 2016</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August 24, 2016</w:t>
            </w:r>
          </w:p>
        </w:tc>
        <w:tc>
          <w:tcPr>
            <w:tcW w:w="200" w:type="dxa"/>
            <w:vAlign w:val="bottom"/>
          </w:tcPr>
          <w:p>
            <w:pPr>
              <w:spacing w:after="0"/>
              <w:rPr>
                <w:sz w:val="19"/>
                <w:szCs w:val="19"/>
                <w:color w:val="auto"/>
              </w:rPr>
            </w:pPr>
          </w:p>
        </w:tc>
        <w:tc>
          <w:tcPr>
            <w:tcW w:w="182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0.04</w:t>
            </w:r>
          </w:p>
        </w:tc>
      </w:tr>
      <w:tr>
        <w:trPr>
          <w:trHeight w:val="188"/>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2019:</w:t>
            </w:r>
          </w:p>
        </w:tc>
        <w:tc>
          <w:tcPr>
            <w:tcW w:w="2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4740" w:type="dxa"/>
            <w:vAlign w:val="bottom"/>
            <w:gridSpan w:val="2"/>
          </w:tcPr>
          <w:p>
            <w:pPr>
              <w:ind w:left="160"/>
              <w:spacing w:after="0" w:line="223" w:lineRule="exact"/>
              <w:rPr>
                <w:sz w:val="20"/>
                <w:szCs w:val="20"/>
                <w:color w:val="auto"/>
              </w:rPr>
            </w:pPr>
            <w:r>
              <w:rPr>
                <w:rFonts w:ascii="Times New Roman" w:cs="Times New Roman" w:eastAsia="Times New Roman" w:hAnsi="Times New Roman"/>
                <w:sz w:val="15"/>
                <w:szCs w:val="15"/>
                <w:color w:val="auto"/>
              </w:rPr>
              <w:t>November 5, 2019</w:t>
            </w:r>
            <w:r>
              <w:rPr>
                <w:rFonts w:ascii="Times New Roman" w:cs="Times New Roman" w:eastAsia="Times New Roman" w:hAnsi="Times New Roman"/>
                <w:sz w:val="25"/>
                <w:szCs w:val="25"/>
                <w:color w:val="auto"/>
                <w:vertAlign w:val="superscript"/>
              </w:rPr>
              <w:t>(3)</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December 2, 2019</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6"/>
              </w:rPr>
              <w:t>December 12, 2019</w:t>
            </w:r>
          </w:p>
        </w:tc>
        <w:tc>
          <w:tcPr>
            <w:tcW w:w="200" w:type="dxa"/>
            <w:vAlign w:val="bottom"/>
          </w:tcPr>
          <w:p>
            <w:pPr>
              <w:spacing w:after="0"/>
              <w:rPr>
                <w:sz w:val="19"/>
                <w:szCs w:val="19"/>
                <w:color w:val="auto"/>
              </w:rPr>
            </w:pPr>
          </w:p>
        </w:tc>
        <w:tc>
          <w:tcPr>
            <w:tcW w:w="182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0.20</w:t>
            </w:r>
          </w:p>
        </w:tc>
      </w:tr>
      <w:tr>
        <w:trPr>
          <w:trHeight w:val="223"/>
        </w:trPr>
        <w:tc>
          <w:tcPr>
            <w:tcW w:w="4740" w:type="dxa"/>
            <w:vAlign w:val="bottom"/>
            <w:gridSpan w:val="2"/>
            <w:shd w:val="clear" w:color="auto" w:fill="CCEEFF"/>
          </w:tcPr>
          <w:p>
            <w:pPr>
              <w:ind w:left="160"/>
              <w:spacing w:after="0" w:line="223" w:lineRule="exact"/>
              <w:rPr>
                <w:sz w:val="20"/>
                <w:szCs w:val="20"/>
                <w:color w:val="auto"/>
              </w:rPr>
            </w:pPr>
            <w:r>
              <w:rPr>
                <w:rFonts w:ascii="Times New Roman" w:cs="Times New Roman" w:eastAsia="Times New Roman" w:hAnsi="Times New Roman"/>
                <w:sz w:val="15"/>
                <w:szCs w:val="15"/>
                <w:color w:val="auto"/>
              </w:rPr>
              <w:t>December 20, 2019</w:t>
            </w:r>
            <w:r>
              <w:rPr>
                <w:rFonts w:ascii="Times New Roman" w:cs="Times New Roman" w:eastAsia="Times New Roman" w:hAnsi="Times New Roman"/>
                <w:sz w:val="25"/>
                <w:szCs w:val="25"/>
                <w:color w:val="auto"/>
                <w:vertAlign w:val="superscript"/>
              </w:rPr>
              <w:t>(4)</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December 31, 2019</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6"/>
              </w:rPr>
              <w:t>January 15, 2020</w:t>
            </w:r>
          </w:p>
        </w:tc>
        <w:tc>
          <w:tcPr>
            <w:tcW w:w="2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0.12</w:t>
            </w:r>
          </w:p>
        </w:tc>
      </w:tr>
      <w:tr>
        <w:trPr>
          <w:trHeight w:val="188"/>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2020:</w:t>
            </w: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740" w:type="dxa"/>
            <w:vAlign w:val="bottom"/>
            <w:gridSpan w:val="2"/>
            <w:shd w:val="clear" w:color="auto" w:fill="CCEEFF"/>
          </w:tcPr>
          <w:p>
            <w:pPr>
              <w:ind w:left="160"/>
              <w:spacing w:after="0" w:line="223" w:lineRule="exact"/>
              <w:rPr>
                <w:sz w:val="20"/>
                <w:szCs w:val="20"/>
                <w:color w:val="auto"/>
              </w:rPr>
            </w:pPr>
            <w:r>
              <w:rPr>
                <w:rFonts w:ascii="Times New Roman" w:cs="Times New Roman" w:eastAsia="Times New Roman" w:hAnsi="Times New Roman"/>
                <w:sz w:val="15"/>
                <w:szCs w:val="15"/>
                <w:color w:val="auto"/>
              </w:rPr>
              <w:t>July 29, 2020</w:t>
            </w:r>
            <w:r>
              <w:rPr>
                <w:rFonts w:ascii="Times New Roman" w:cs="Times New Roman" w:eastAsia="Times New Roman" w:hAnsi="Times New Roman"/>
                <w:sz w:val="25"/>
                <w:szCs w:val="25"/>
                <w:color w:val="auto"/>
                <w:vertAlign w:val="superscript"/>
              </w:rPr>
              <w:t>(5)</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August 11, 2020</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9"/>
              </w:rPr>
              <w:t>August 25, 2020</w:t>
            </w:r>
          </w:p>
        </w:tc>
        <w:tc>
          <w:tcPr>
            <w:tcW w:w="2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0.15</w:t>
            </w:r>
          </w:p>
        </w:tc>
      </w:tr>
      <w:tr>
        <w:trPr>
          <w:trHeight w:val="223"/>
        </w:trPr>
        <w:tc>
          <w:tcPr>
            <w:tcW w:w="4740" w:type="dxa"/>
            <w:vAlign w:val="bottom"/>
            <w:gridSpan w:val="2"/>
          </w:tcPr>
          <w:p>
            <w:pPr>
              <w:ind w:left="160"/>
              <w:spacing w:after="0" w:line="223" w:lineRule="exact"/>
              <w:rPr>
                <w:sz w:val="20"/>
                <w:szCs w:val="20"/>
                <w:color w:val="auto"/>
              </w:rPr>
            </w:pPr>
            <w:r>
              <w:rPr>
                <w:rFonts w:ascii="Times New Roman" w:cs="Times New Roman" w:eastAsia="Times New Roman" w:hAnsi="Times New Roman"/>
                <w:sz w:val="15"/>
                <w:szCs w:val="15"/>
                <w:color w:val="auto"/>
              </w:rPr>
              <w:t>September 28, 2020</w:t>
            </w:r>
            <w:r>
              <w:rPr>
                <w:rFonts w:ascii="Times New Roman" w:cs="Times New Roman" w:eastAsia="Times New Roman" w:hAnsi="Times New Roman"/>
                <w:sz w:val="25"/>
                <w:szCs w:val="25"/>
                <w:color w:val="auto"/>
                <w:vertAlign w:val="superscript"/>
              </w:rPr>
              <w:t>(6)</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6"/>
              </w:rPr>
              <w:t>October 5, 2020</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October 20, 2020</w:t>
            </w:r>
          </w:p>
        </w:tc>
        <w:tc>
          <w:tcPr>
            <w:tcW w:w="200" w:type="dxa"/>
            <w:vAlign w:val="bottom"/>
          </w:tcPr>
          <w:p>
            <w:pPr>
              <w:spacing w:after="0"/>
              <w:rPr>
                <w:sz w:val="19"/>
                <w:szCs w:val="19"/>
                <w:color w:val="auto"/>
              </w:rPr>
            </w:pPr>
          </w:p>
        </w:tc>
        <w:tc>
          <w:tcPr>
            <w:tcW w:w="182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0.25</w:t>
            </w:r>
          </w:p>
        </w:tc>
      </w:tr>
      <w:tr>
        <w:trPr>
          <w:trHeight w:val="223"/>
        </w:trPr>
        <w:tc>
          <w:tcPr>
            <w:tcW w:w="4740" w:type="dxa"/>
            <w:vAlign w:val="bottom"/>
            <w:gridSpan w:val="2"/>
            <w:shd w:val="clear" w:color="auto" w:fill="CCEEFF"/>
          </w:tcPr>
          <w:p>
            <w:pPr>
              <w:ind w:left="160"/>
              <w:spacing w:after="0" w:line="223" w:lineRule="exact"/>
              <w:rPr>
                <w:sz w:val="20"/>
                <w:szCs w:val="20"/>
                <w:color w:val="auto"/>
              </w:rPr>
            </w:pPr>
            <w:r>
              <w:rPr>
                <w:rFonts w:ascii="Times New Roman" w:cs="Times New Roman" w:eastAsia="Times New Roman" w:hAnsi="Times New Roman"/>
                <w:sz w:val="15"/>
                <w:szCs w:val="15"/>
                <w:color w:val="auto"/>
              </w:rPr>
              <w:t>October 28, 2020</w:t>
            </w:r>
            <w:r>
              <w:rPr>
                <w:rFonts w:ascii="Times New Roman" w:cs="Times New Roman" w:eastAsia="Times New Roman" w:hAnsi="Times New Roman"/>
                <w:sz w:val="25"/>
                <w:szCs w:val="25"/>
                <w:color w:val="auto"/>
                <w:vertAlign w:val="superscript"/>
              </w:rPr>
              <w:t>(7)</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November 10, 2020</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November 30, 2020</w:t>
            </w:r>
          </w:p>
        </w:tc>
        <w:tc>
          <w:tcPr>
            <w:tcW w:w="2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0.25</w:t>
            </w:r>
          </w:p>
        </w:tc>
      </w:tr>
      <w:tr>
        <w:trPr>
          <w:trHeight w:val="223"/>
        </w:trPr>
        <w:tc>
          <w:tcPr>
            <w:tcW w:w="4740" w:type="dxa"/>
            <w:vAlign w:val="bottom"/>
            <w:gridSpan w:val="2"/>
          </w:tcPr>
          <w:p>
            <w:pPr>
              <w:ind w:left="160"/>
              <w:spacing w:after="0" w:line="223" w:lineRule="exact"/>
              <w:rPr>
                <w:sz w:val="20"/>
                <w:szCs w:val="20"/>
                <w:color w:val="auto"/>
              </w:rPr>
            </w:pPr>
            <w:r>
              <w:rPr>
                <w:rFonts w:ascii="Times New Roman" w:cs="Times New Roman" w:eastAsia="Times New Roman" w:hAnsi="Times New Roman"/>
                <w:sz w:val="15"/>
                <w:szCs w:val="15"/>
                <w:color w:val="auto"/>
              </w:rPr>
              <w:t>December 16, 2020</w:t>
            </w:r>
            <w:r>
              <w:rPr>
                <w:rFonts w:ascii="Times New Roman" w:cs="Times New Roman" w:eastAsia="Times New Roman" w:hAnsi="Times New Roman"/>
                <w:sz w:val="25"/>
                <w:szCs w:val="25"/>
                <w:color w:val="auto"/>
                <w:vertAlign w:val="superscript"/>
              </w:rPr>
              <w:t>(8)</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December 30, 2020</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6"/>
              </w:rPr>
              <w:t>January 15, 2021</w:t>
            </w:r>
          </w:p>
        </w:tc>
        <w:tc>
          <w:tcPr>
            <w:tcW w:w="200" w:type="dxa"/>
            <w:vAlign w:val="bottom"/>
          </w:tcPr>
          <w:p>
            <w:pPr>
              <w:spacing w:after="0"/>
              <w:rPr>
                <w:sz w:val="19"/>
                <w:szCs w:val="19"/>
                <w:color w:val="auto"/>
              </w:rPr>
            </w:pPr>
          </w:p>
        </w:tc>
        <w:tc>
          <w:tcPr>
            <w:tcW w:w="182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0.22</w:t>
            </w:r>
          </w:p>
        </w:tc>
      </w:tr>
      <w:tr>
        <w:trPr>
          <w:trHeight w:val="188"/>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Fiscal 2021:</w:t>
            </w:r>
          </w:p>
        </w:tc>
        <w:tc>
          <w:tcPr>
            <w:tcW w:w="2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4740" w:type="dxa"/>
            <w:vAlign w:val="bottom"/>
            <w:gridSpan w:val="2"/>
          </w:tcPr>
          <w:p>
            <w:pPr>
              <w:ind w:left="160"/>
              <w:spacing w:after="0" w:line="223" w:lineRule="exact"/>
              <w:rPr>
                <w:sz w:val="20"/>
                <w:szCs w:val="20"/>
                <w:color w:val="auto"/>
              </w:rPr>
            </w:pPr>
            <w:r>
              <w:rPr>
                <w:rFonts w:ascii="Times New Roman" w:cs="Times New Roman" w:eastAsia="Times New Roman" w:hAnsi="Times New Roman"/>
                <w:sz w:val="15"/>
                <w:szCs w:val="15"/>
                <w:color w:val="auto"/>
              </w:rPr>
              <w:t>January 26, 2021</w:t>
            </w:r>
            <w:r>
              <w:rPr>
                <w:rFonts w:ascii="Times New Roman" w:cs="Times New Roman" w:eastAsia="Times New Roman" w:hAnsi="Times New Roman"/>
                <w:sz w:val="25"/>
                <w:szCs w:val="25"/>
                <w:color w:val="auto"/>
                <w:vertAlign w:val="superscript"/>
              </w:rPr>
              <w:t>(9)</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February 5, 2021</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6"/>
              </w:rPr>
              <w:t>February 19, 2021</w:t>
            </w:r>
          </w:p>
        </w:tc>
        <w:tc>
          <w:tcPr>
            <w:tcW w:w="200" w:type="dxa"/>
            <w:vAlign w:val="bottom"/>
          </w:tcPr>
          <w:p>
            <w:pPr>
              <w:spacing w:after="0"/>
              <w:rPr>
                <w:sz w:val="19"/>
                <w:szCs w:val="19"/>
                <w:color w:val="auto"/>
              </w:rPr>
            </w:pPr>
          </w:p>
        </w:tc>
        <w:tc>
          <w:tcPr>
            <w:tcW w:w="182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0.25</w:t>
            </w:r>
          </w:p>
        </w:tc>
      </w:tr>
      <w:tr>
        <w:trPr>
          <w:trHeight w:val="223"/>
        </w:trPr>
        <w:tc>
          <w:tcPr>
            <w:tcW w:w="4740" w:type="dxa"/>
            <w:vAlign w:val="bottom"/>
            <w:gridSpan w:val="2"/>
            <w:shd w:val="clear" w:color="auto" w:fill="CCEEFF"/>
          </w:tcPr>
          <w:p>
            <w:pPr>
              <w:ind w:left="160"/>
              <w:spacing w:after="0" w:line="223" w:lineRule="exact"/>
              <w:rPr>
                <w:sz w:val="20"/>
                <w:szCs w:val="20"/>
                <w:color w:val="auto"/>
              </w:rPr>
            </w:pPr>
            <w:r>
              <w:rPr>
                <w:rFonts w:ascii="Times New Roman" w:cs="Times New Roman" w:eastAsia="Times New Roman" w:hAnsi="Times New Roman"/>
                <w:sz w:val="15"/>
                <w:szCs w:val="15"/>
                <w:color w:val="auto"/>
              </w:rPr>
              <w:t>March 8, 2021</w:t>
            </w:r>
            <w:r>
              <w:rPr>
                <w:rFonts w:ascii="Times New Roman" w:cs="Times New Roman" w:eastAsia="Times New Roman" w:hAnsi="Times New Roman"/>
                <w:sz w:val="25"/>
                <w:szCs w:val="25"/>
                <w:color w:val="auto"/>
                <w:vertAlign w:val="superscript"/>
              </w:rPr>
              <w:t>(10)</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March 30, 2021</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5"/>
              </w:rPr>
              <w:t>April 15, 2021</w:t>
            </w:r>
          </w:p>
        </w:tc>
        <w:tc>
          <w:tcPr>
            <w:tcW w:w="2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0.25</w:t>
            </w:r>
          </w:p>
        </w:tc>
      </w:tr>
      <w:tr>
        <w:trPr>
          <w:trHeight w:val="223"/>
        </w:trPr>
        <w:tc>
          <w:tcPr>
            <w:tcW w:w="4740" w:type="dxa"/>
            <w:vAlign w:val="bottom"/>
            <w:gridSpan w:val="2"/>
          </w:tcPr>
          <w:p>
            <w:pPr>
              <w:ind w:left="160"/>
              <w:spacing w:after="0" w:line="223" w:lineRule="exact"/>
              <w:rPr>
                <w:sz w:val="20"/>
                <w:szCs w:val="20"/>
                <w:color w:val="auto"/>
              </w:rPr>
            </w:pPr>
            <w:r>
              <w:rPr>
                <w:rFonts w:ascii="Times New Roman" w:cs="Times New Roman" w:eastAsia="Times New Roman" w:hAnsi="Times New Roman"/>
                <w:sz w:val="15"/>
                <w:szCs w:val="15"/>
                <w:color w:val="auto"/>
              </w:rPr>
              <w:t>May 4, 2021</w:t>
            </w:r>
            <w:r>
              <w:rPr>
                <w:rFonts w:ascii="Times New Roman" w:cs="Times New Roman" w:eastAsia="Times New Roman" w:hAnsi="Times New Roman"/>
                <w:sz w:val="25"/>
                <w:szCs w:val="25"/>
                <w:color w:val="auto"/>
                <w:vertAlign w:val="superscript"/>
              </w:rPr>
              <w:t>(11)</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May 18, 2021</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6"/>
              </w:rPr>
              <w:t>June 30, 2021</w:t>
            </w:r>
          </w:p>
        </w:tc>
        <w:tc>
          <w:tcPr>
            <w:tcW w:w="200" w:type="dxa"/>
            <w:vAlign w:val="bottom"/>
          </w:tcPr>
          <w:p>
            <w:pPr>
              <w:spacing w:after="0"/>
              <w:rPr>
                <w:sz w:val="19"/>
                <w:szCs w:val="19"/>
                <w:color w:val="auto"/>
              </w:rPr>
            </w:pPr>
          </w:p>
        </w:tc>
        <w:tc>
          <w:tcPr>
            <w:tcW w:w="182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2.50</w:t>
            </w:r>
          </w:p>
        </w:tc>
      </w:tr>
      <w:tr>
        <w:trPr>
          <w:trHeight w:val="223"/>
        </w:trPr>
        <w:tc>
          <w:tcPr>
            <w:tcW w:w="4740" w:type="dxa"/>
            <w:vAlign w:val="bottom"/>
            <w:gridSpan w:val="2"/>
            <w:shd w:val="clear" w:color="auto" w:fill="CCEEFF"/>
          </w:tcPr>
          <w:p>
            <w:pPr>
              <w:ind w:left="160"/>
              <w:spacing w:after="0" w:line="223" w:lineRule="exact"/>
              <w:rPr>
                <w:sz w:val="20"/>
                <w:szCs w:val="20"/>
                <w:color w:val="auto"/>
              </w:rPr>
            </w:pPr>
            <w:r>
              <w:rPr>
                <w:rFonts w:ascii="Times New Roman" w:cs="Times New Roman" w:eastAsia="Times New Roman" w:hAnsi="Times New Roman"/>
                <w:sz w:val="15"/>
                <w:szCs w:val="15"/>
                <w:color w:val="auto"/>
              </w:rPr>
              <w:t>August 3, 2021</w:t>
            </w:r>
            <w:r>
              <w:rPr>
                <w:rFonts w:ascii="Times New Roman" w:cs="Times New Roman" w:eastAsia="Times New Roman" w:hAnsi="Times New Roman"/>
                <w:sz w:val="25"/>
                <w:szCs w:val="25"/>
                <w:color w:val="auto"/>
                <w:vertAlign w:val="superscript"/>
              </w:rPr>
              <w:t>(12)</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August 18, 2021</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September 30, 2021</w:t>
            </w:r>
          </w:p>
        </w:tc>
        <w:tc>
          <w:tcPr>
            <w:tcW w:w="2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2.25</w:t>
            </w:r>
          </w:p>
        </w:tc>
      </w:tr>
      <w:tr>
        <w:trPr>
          <w:trHeight w:val="223"/>
        </w:trPr>
        <w:tc>
          <w:tcPr>
            <w:tcW w:w="4740" w:type="dxa"/>
            <w:vAlign w:val="bottom"/>
            <w:gridSpan w:val="2"/>
          </w:tcPr>
          <w:p>
            <w:pPr>
              <w:ind w:left="160"/>
              <w:spacing w:after="0" w:line="223" w:lineRule="exact"/>
              <w:rPr>
                <w:sz w:val="20"/>
                <w:szCs w:val="20"/>
                <w:color w:val="auto"/>
              </w:rPr>
            </w:pPr>
            <w:r>
              <w:rPr>
                <w:rFonts w:ascii="Times New Roman" w:cs="Times New Roman" w:eastAsia="Times New Roman" w:hAnsi="Times New Roman"/>
                <w:sz w:val="15"/>
                <w:szCs w:val="15"/>
                <w:color w:val="auto"/>
              </w:rPr>
              <w:t>November 2, 2021</w:t>
            </w:r>
            <w:r>
              <w:rPr>
                <w:rFonts w:ascii="Times New Roman" w:cs="Times New Roman" w:eastAsia="Times New Roman" w:hAnsi="Times New Roman"/>
                <w:sz w:val="25"/>
                <w:szCs w:val="25"/>
                <w:color w:val="auto"/>
                <w:vertAlign w:val="superscript"/>
              </w:rPr>
              <w:t>(13)</w:t>
            </w: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November 17, 2021</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6"/>
              </w:rPr>
              <w:t>December 30, 2021</w:t>
            </w:r>
          </w:p>
        </w:tc>
        <w:tc>
          <w:tcPr>
            <w:tcW w:w="200" w:type="dxa"/>
            <w:vAlign w:val="bottom"/>
          </w:tcPr>
          <w:p>
            <w:pPr>
              <w:spacing w:after="0"/>
              <w:rPr>
                <w:sz w:val="19"/>
                <w:szCs w:val="19"/>
                <w:color w:val="auto"/>
              </w:rPr>
            </w:pPr>
          </w:p>
        </w:tc>
        <w:tc>
          <w:tcPr>
            <w:tcW w:w="182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2.00</w:t>
            </w:r>
          </w:p>
        </w:tc>
      </w:tr>
      <w:tr>
        <w:trPr>
          <w:trHeight w:val="223"/>
        </w:trPr>
        <w:tc>
          <w:tcPr>
            <w:tcW w:w="4740" w:type="dxa"/>
            <w:vAlign w:val="bottom"/>
            <w:gridSpan w:val="2"/>
            <w:shd w:val="clear" w:color="auto" w:fill="CCEEFF"/>
          </w:tcPr>
          <w:p>
            <w:pPr>
              <w:ind w:left="160"/>
              <w:spacing w:after="0" w:line="223" w:lineRule="exact"/>
              <w:rPr>
                <w:sz w:val="20"/>
                <w:szCs w:val="20"/>
                <w:color w:val="auto"/>
              </w:rPr>
            </w:pPr>
            <w:r>
              <w:rPr>
                <w:rFonts w:ascii="Times New Roman" w:cs="Times New Roman" w:eastAsia="Times New Roman" w:hAnsi="Times New Roman"/>
                <w:sz w:val="15"/>
                <w:szCs w:val="15"/>
                <w:color w:val="auto"/>
              </w:rPr>
              <w:t>December 20, 2021</w:t>
            </w:r>
            <w:r>
              <w:rPr>
                <w:rFonts w:ascii="Times New Roman" w:cs="Times New Roman" w:eastAsia="Times New Roman" w:hAnsi="Times New Roman"/>
                <w:sz w:val="25"/>
                <w:szCs w:val="25"/>
                <w:color w:val="auto"/>
                <w:vertAlign w:val="superscript"/>
              </w:rPr>
              <w:t>(14)</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December 31, 2021</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6"/>
              </w:rPr>
              <w:t>January 14, 2022</w:t>
            </w:r>
          </w:p>
        </w:tc>
        <w:tc>
          <w:tcPr>
            <w:tcW w:w="2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0.75</w:t>
            </w:r>
          </w:p>
        </w:tc>
      </w:tr>
      <w:tr>
        <w:trPr>
          <w:trHeight w:val="188"/>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5"/>
        </w:trPr>
        <w:tc>
          <w:tcPr>
            <w:tcW w:w="4740" w:type="dxa"/>
            <w:vAlign w:val="bottom"/>
            <w:gridSpan w:val="2"/>
            <w:shd w:val="clear" w:color="auto" w:fill="CCEEFF"/>
          </w:tcPr>
          <w:p>
            <w:pPr>
              <w:ind w:left="160"/>
              <w:spacing w:after="0" w:line="235" w:lineRule="exact"/>
              <w:rPr>
                <w:sz w:val="20"/>
                <w:szCs w:val="20"/>
                <w:color w:val="auto"/>
              </w:rPr>
            </w:pPr>
            <w:r>
              <w:rPr>
                <w:rFonts w:ascii="Times New Roman" w:cs="Times New Roman" w:eastAsia="Times New Roman" w:hAnsi="Times New Roman"/>
                <w:sz w:val="16"/>
                <w:szCs w:val="16"/>
                <w:color w:val="auto"/>
              </w:rPr>
              <w:t>March 8, 2022</w:t>
            </w:r>
            <w:r>
              <w:rPr>
                <w:rFonts w:ascii="Times New Roman" w:cs="Times New Roman" w:eastAsia="Times New Roman" w:hAnsi="Times New Roman"/>
                <w:sz w:val="26"/>
                <w:szCs w:val="26"/>
                <w:color w:val="auto"/>
                <w:vertAlign w:val="superscript"/>
              </w:rPr>
              <w:t>(15)</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March 25, 2022</w:t>
            </w: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5"/>
              </w:rPr>
              <w:t>April 15, 2022</w:t>
            </w:r>
          </w:p>
        </w:tc>
        <w:tc>
          <w:tcPr>
            <w:tcW w:w="2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w w:val="92"/>
              </w:rPr>
              <w:t>0.11</w:t>
            </w:r>
          </w:p>
        </w:tc>
        <w:tc>
          <w:tcPr>
            <w:tcW w:w="100" w:type="dxa"/>
            <w:vAlign w:val="bottom"/>
            <w:shd w:val="clear" w:color="auto" w:fill="CCEEFF"/>
          </w:tcPr>
          <w:p>
            <w:pPr>
              <w:spacing w:after="0"/>
              <w:rPr>
                <w:sz w:val="22"/>
                <w:szCs w:val="22"/>
                <w:color w:val="auto"/>
              </w:rPr>
            </w:pPr>
          </w:p>
        </w:tc>
      </w:tr>
      <w:tr>
        <w:trPr>
          <w:trHeight w:val="183"/>
        </w:trPr>
        <w:tc>
          <w:tcPr>
            <w:tcW w:w="47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0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6"/>
                <w:szCs w:val="16"/>
                <w:b w:val="1"/>
                <w:bCs w:val="1"/>
                <w:color w:val="auto"/>
                <w:w w:val="88"/>
              </w:rPr>
              <w:t>12.10</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9133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jc w:val="both"/>
        <w:ind w:left="386" w:hanging="386"/>
        <w:spacing w:after="0" w:line="249" w:lineRule="auto"/>
        <w:tabs>
          <w:tab w:leader="none" w:pos="38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1"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distribution of $887,240 on August 24, 2016, $820,753 represented a distribution from realized gains, and $66,487 represented a return of capital.</w:t>
      </w:r>
    </w:p>
    <w:p>
      <w:pPr>
        <w:spacing w:after="0" w:line="4"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$3,512,849 distribution paid on December 12, 2019 represented a distribution from realized gains. None of the distribution represented a return of capital.</w:t>
      </w:r>
    </w:p>
    <w:p>
      <w:pPr>
        <w:spacing w:after="0" w:line="4"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$2,107,709 distribution paid on January 15, 2020 represented a distribution from realized gains. None of the distribution represented a return of capital.</w:t>
      </w:r>
    </w:p>
    <w:p>
      <w:pPr>
        <w:spacing w:after="0" w:line="4"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$2,516,452 distribution paid on August 25, 2020 represented a distribution from realized gains. None of the distribution represented a return of capital.</w:t>
      </w:r>
    </w:p>
    <w:p>
      <w:pPr>
        <w:spacing w:after="0" w:line="4"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$5,071,326 distribution paid on October 20, 2020 represented a distribution from realized gains. None of the distribution represented a return of capital.</w:t>
      </w:r>
    </w:p>
    <w:p>
      <w:pPr>
        <w:spacing w:after="0" w:line="4"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$4,978,504 distribution paid on November 30, 2020 represented a distribution from realized gains. None of the distribution represented a return of capital.</w:t>
      </w:r>
    </w:p>
    <w:p>
      <w:pPr>
        <w:spacing w:after="0" w:line="17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51" w:name="page52"/>
    <w:bookmarkEnd w:id="51"/>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ind w:left="386" w:hanging="386"/>
        <w:spacing w:after="0"/>
        <w:tabs>
          <w:tab w:leader="none" w:pos="38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$4,381,084 distribution paid on January 15, 2021 represented a distribution from realized gains. None of the distribution represented a return of capital.</w:t>
      </w:r>
    </w:p>
    <w:p>
      <w:pPr>
        <w:spacing w:after="0" w:line="19"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$4,981,131 distribution paid on February 19, 2021 represented a distribution from realized gains. None of the distribution represented a return of capital.</w:t>
      </w:r>
    </w:p>
    <w:p>
      <w:pPr>
        <w:spacing w:after="0" w:line="4"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$6,051,304 distribution paid on April 15, 2021 represented a distribution from realized gains. None of the distribution represented a return of capital.</w:t>
      </w:r>
    </w:p>
    <w:p>
      <w:pPr>
        <w:spacing w:after="0" w:line="4" w:lineRule="exact"/>
        <w:rPr>
          <w:rFonts w:ascii="Times New Roman" w:cs="Times New Roman" w:eastAsia="Times New Roman" w:hAnsi="Times New Roman"/>
          <w:sz w:val="16"/>
          <w:szCs w:val="16"/>
          <w:color w:val="auto"/>
        </w:rPr>
      </w:pPr>
    </w:p>
    <w:p>
      <w:pPr>
        <w:jc w:val="both"/>
        <w:ind w:left="386" w:right="20" w:hanging="386"/>
        <w:spacing w:after="0" w:line="245" w:lineRule="auto"/>
        <w:tabs>
          <w:tab w:leader="none" w:pos="38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spacing w:after="0" w:line="1" w:lineRule="exact"/>
        <w:rPr>
          <w:rFonts w:ascii="Times New Roman" w:cs="Times New Roman" w:eastAsia="Times New Roman" w:hAnsi="Times New Roman"/>
          <w:sz w:val="16"/>
          <w:szCs w:val="16"/>
          <w:color w:val="auto"/>
        </w:rPr>
      </w:pPr>
    </w:p>
    <w:p>
      <w:pPr>
        <w:jc w:val="both"/>
        <w:ind w:left="386" w:right="20" w:hanging="386"/>
        <w:spacing w:after="0" w:line="245" w:lineRule="auto"/>
        <w:tabs>
          <w:tab w:leader="none" w:pos="38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spacing w:after="0" w:line="1" w:lineRule="exact"/>
        <w:rPr>
          <w:rFonts w:ascii="Times New Roman" w:cs="Times New Roman" w:eastAsia="Times New Roman" w:hAnsi="Times New Roman"/>
          <w:sz w:val="16"/>
          <w:szCs w:val="16"/>
          <w:color w:val="auto"/>
        </w:rPr>
      </w:pPr>
    </w:p>
    <w:p>
      <w:pPr>
        <w:jc w:val="both"/>
        <w:ind w:left="386" w:right="20" w:hanging="386"/>
        <w:spacing w:after="0" w:line="245" w:lineRule="auto"/>
        <w:tabs>
          <w:tab w:leader="none" w:pos="38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spacing w:after="0" w:line="1"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$23,338,915 distribution paid on January 14, 2022 represented a distribution from realized gains. None of the distribution represented a return of capital.</w:t>
      </w:r>
    </w:p>
    <w:p>
      <w:pPr>
        <w:spacing w:after="0" w:line="4" w:lineRule="exact"/>
        <w:rPr>
          <w:rFonts w:ascii="Times New Roman" w:cs="Times New Roman" w:eastAsia="Times New Roman" w:hAnsi="Times New Roman"/>
          <w:sz w:val="16"/>
          <w:szCs w:val="16"/>
          <w:color w:val="auto"/>
        </w:rPr>
      </w:pPr>
    </w:p>
    <w:p>
      <w:pPr>
        <w:ind w:left="386" w:hanging="386"/>
        <w:spacing w:after="0"/>
        <w:tabs>
          <w:tab w:leader="none" w:pos="38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$3,441,824 distribution paid on April 15, 2022 represented a distribution from realized gains. None of the distribution represented a return of capital.</w:t>
      </w:r>
    </w:p>
    <w:p>
      <w:pPr>
        <w:spacing w:after="0" w:line="177" w:lineRule="exact"/>
        <w:rPr>
          <w:sz w:val="20"/>
          <w:szCs w:val="20"/>
          <w:color w:val="auto"/>
        </w:rPr>
      </w:pPr>
    </w:p>
    <w:p>
      <w:pPr>
        <w:jc w:val="both"/>
        <w:ind w:left="6" w:firstLine="317"/>
        <w:spacing w:after="0" w:line="253" w:lineRule="auto"/>
        <w:rPr>
          <w:sz w:val="20"/>
          <w:szCs w:val="20"/>
          <w:color w:val="auto"/>
        </w:rPr>
      </w:pPr>
      <w:r>
        <w:rPr>
          <w:rFonts w:ascii="Times New Roman" w:cs="Times New Roman" w:eastAsia="Times New Roman" w:hAnsi="Times New Roman"/>
          <w:sz w:val="16"/>
          <w:szCs w:val="16"/>
          <w:color w:val="auto"/>
        </w:rPr>
        <w:t>We intend to focus on making equity-based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64" w:lineRule="exact"/>
        <w:rPr>
          <w:sz w:val="20"/>
          <w:szCs w:val="20"/>
          <w:color w:val="auto"/>
        </w:rPr>
      </w:pPr>
    </w:p>
    <w:p>
      <w:pPr>
        <w:jc w:val="both"/>
        <w:ind w:left="6" w:firstLine="317"/>
        <w:spacing w:after="0" w:line="248" w:lineRule="auto"/>
        <w:rPr>
          <w:sz w:val="20"/>
          <w:szCs w:val="20"/>
          <w:color w:val="auto"/>
        </w:rPr>
      </w:pPr>
      <w:r>
        <w:rPr>
          <w:rFonts w:ascii="Times New Roman" w:cs="Times New Roman" w:eastAsia="Times New Roman" w:hAnsi="Times New Roman"/>
          <w:sz w:val="16"/>
          <w:szCs w:val="16"/>
          <w:color w:val="auto"/>
        </w:rPr>
        <w:t>Our current intention is to make any future distributions out of assets legally available therefrom in the form of additional shares of our common stock under our dividend reinvestment plan (“DRIP”), except in the case of stockholders who elect to receive dividends and/or long-term capital gains distributions in cash. Under the DRIP, if a stockholder owns shares of common stock registered in its own name, the stockholder will have all cash distributions (net of any applicable withholding) automatically reinvested in additional shares of common stock unless the stockholder opts out of our DRIP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DRIP,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72" w:lineRule="exact"/>
        <w:rPr>
          <w:sz w:val="20"/>
          <w:szCs w:val="20"/>
          <w:color w:val="auto"/>
        </w:rPr>
      </w:pPr>
    </w:p>
    <w:p>
      <w:pPr>
        <w:jc w:val="both"/>
        <w:ind w:left="6" w:firstLine="317"/>
        <w:spacing w:after="0" w:line="270" w:lineRule="auto"/>
        <w:rPr>
          <w:sz w:val="20"/>
          <w:szCs w:val="20"/>
          <w:color w:val="auto"/>
        </w:rPr>
      </w:pPr>
      <w:r>
        <w:rPr>
          <w:rFonts w:ascii="Times New Roman" w:cs="Times New Roman" w:eastAsia="Times New Roman" w:hAnsi="Times New Roman"/>
          <w:sz w:val="15"/>
          <w:szCs w:val="15"/>
          <w:color w:val="auto"/>
        </w:rPr>
        <w:t>So long as we qualify and maintain our tax treatment as a RIC, we generally will not be subject to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r>
        <w:rPr>
          <w:rFonts w:ascii="Times New Roman" w:cs="Times New Roman" w:eastAsia="Times New Roman" w:hAnsi="Times New Roman"/>
          <w:sz w:val="15"/>
          <w:szCs w:val="15"/>
          <w:i w:val="1"/>
          <w:iCs w:val="1"/>
          <w:color w:val="auto"/>
        </w:rPr>
        <w:t>U.S. Federal and State Income Taxes</w:t>
      </w:r>
      <w:r>
        <w:rPr>
          <w:rFonts w:ascii="Times New Roman" w:cs="Times New Roman" w:eastAsia="Times New Roman" w:hAnsi="Times New Roman"/>
          <w:sz w:val="15"/>
          <w:szCs w:val="15"/>
          <w:color w:val="auto"/>
        </w:rPr>
        <w:t>” and “Note 9—Income Taxes” to our Consolidated Financial Statements as of December 31, 2023 for more information. The Taxable Subsidiaries included in our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5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194" w:lineRule="exact"/>
        <w:rPr>
          <w:sz w:val="20"/>
          <w:szCs w:val="20"/>
          <w:color w:val="auto"/>
        </w:rPr>
      </w:pPr>
    </w:p>
    <w:p>
      <w:pPr>
        <w:jc w:val="both"/>
        <w:ind w:left="6" w:firstLine="317"/>
        <w:spacing w:after="0" w:line="265" w:lineRule="auto"/>
        <w:rPr>
          <w:sz w:val="20"/>
          <w:szCs w:val="20"/>
          <w:color w:val="auto"/>
        </w:rPr>
      </w:pPr>
      <w:r>
        <w:rPr>
          <w:rFonts w:ascii="Times New Roman" w:cs="Times New Roman" w:eastAsia="Times New Roman" w:hAnsi="Times New Roman"/>
          <w:sz w:val="15"/>
          <w:szCs w:val="15"/>
          <w:color w:val="auto"/>
        </w:rPr>
        <w:t>On July 31, 2019, our Board of Directors approved and adopted the SuRo Capital Corp. Amended and Restated 2019 Equity Incentive Plan (the “Amended Equity Incentive Plan,”) and on June 19, 2020, stockholders approved the Amended Equity Incentive Plan. The Amended Equity Incentive Plan provides stock-based awards as long-term incentive compensation to our employees, including our executive officers. We use stock-based awards to (i) attract and retain key employees and officers, (ii) motivate employees and officers by means of performance-related incentives to achieve long-range performance goals, (iii) enable employees and officers to participate in our long-term growth, (iv) link employees’ compensation to the long-term interests of stockholders, (v) recognize individual contributions to corporate strategic priorities and to our long-term performance and</w:t>
      </w:r>
    </w:p>
    <w:p>
      <w:pPr>
        <w:spacing w:after="0" w:line="4" w:lineRule="exact"/>
        <w:rPr>
          <w:sz w:val="20"/>
          <w:szCs w:val="20"/>
          <w:color w:val="auto"/>
        </w:rPr>
      </w:pPr>
    </w:p>
    <w:p>
      <w:pPr>
        <w:jc w:val="both"/>
        <w:ind w:left="6" w:hanging="6"/>
        <w:spacing w:after="0" w:line="247" w:lineRule="auto"/>
        <w:tabs>
          <w:tab w:leader="none" w:pos="27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competitive total direct compensation. The Compensation Committee of the Board of Directors (the “Compensation Committee”) has authority to select the persons to receive stock-based awards, and our Board of Directors may also grant awards and administer the Amended Equity Incentive Plan in its sole discretion. At the time of each award, the Compensation Committee determines the terms of the award in its sole discretion, including any performance period (or periods) and any performance objectives relating to the award. We do not have any equity compensation plan that has not been approved by our stockholders.</w:t>
      </w:r>
    </w:p>
    <w:p>
      <w:pPr>
        <w:spacing w:after="0" w:line="167"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6"/>
          <w:szCs w:val="16"/>
          <w:color w:val="auto"/>
        </w:rPr>
        <w:t>The following table details the securities authorized for issuance under our equity compensation plans as of December 31, 2023:</w:t>
      </w:r>
    </w:p>
    <w:p>
      <w:pPr>
        <w:spacing w:after="0" w:line="190"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Number of securities</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remaining available for</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future issuance under</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securities to</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equity compensation</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be issued upon exercise</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exercise price of</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plans (excluding</w:t>
            </w: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 outstanding options,</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outstanding options,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securities reflected in</w:t>
            </w:r>
          </w:p>
        </w:tc>
        <w:tc>
          <w:tcPr>
            <w:tcW w:w="0" w:type="dxa"/>
            <w:vAlign w:val="bottom"/>
          </w:tcPr>
          <w:p>
            <w:pPr>
              <w:spacing w:after="0"/>
              <w:rPr>
                <w:sz w:val="1"/>
                <w:szCs w:val="1"/>
                <w:color w:val="auto"/>
              </w:rPr>
            </w:pPr>
          </w:p>
        </w:tc>
      </w:tr>
      <w:tr>
        <w:trPr>
          <w:trHeight w:val="210"/>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 and rights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warrants and rights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column (a))</w:t>
            </w:r>
          </w:p>
        </w:tc>
        <w:tc>
          <w:tcPr>
            <w:tcW w:w="0" w:type="dxa"/>
            <w:vAlign w:val="bottom"/>
          </w:tcPr>
          <w:p>
            <w:pPr>
              <w:spacing w:after="0"/>
              <w:rPr>
                <w:sz w:val="1"/>
                <w:szCs w:val="1"/>
                <w:color w:val="auto"/>
              </w:rPr>
            </w:pPr>
          </w:p>
        </w:tc>
      </w:tr>
      <w:tr>
        <w:trPr>
          <w:trHeight w:val="188"/>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24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474,432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640" w:type="dxa"/>
            <w:vAlign w:val="bottom"/>
          </w:tcPr>
          <w:p>
            <w:pPr>
              <w:spacing w:after="0"/>
              <w:rPr>
                <w:sz w:val="17"/>
                <w:szCs w:val="17"/>
                <w:color w:val="auto"/>
              </w:rPr>
            </w:pPr>
          </w:p>
        </w:tc>
        <w:tc>
          <w:tcPr>
            <w:tcW w:w="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5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474,432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vMerge w:val="restart"/>
          </w:tcPr>
          <w:p>
            <w:pPr>
              <w:jc w:val="right"/>
              <w:ind w:right="1282"/>
              <w:spacing w:after="0"/>
              <w:rPr>
                <w:sz w:val="20"/>
                <w:szCs w:val="20"/>
                <w:color w:val="auto"/>
              </w:rPr>
            </w:pPr>
            <w:r>
              <w:rPr>
                <w:rFonts w:ascii="Times New Roman" w:cs="Times New Roman" w:eastAsia="Times New Roman" w:hAnsi="Times New Roman"/>
                <w:sz w:val="16"/>
                <w:szCs w:val="16"/>
                <w:color w:val="auto"/>
              </w:rPr>
              <w:t>49</w:t>
            </w: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6"/>
          </w:cols>
          <w:pgMar w:left="314" w:top="217"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Graph</w:t>
      </w:r>
    </w:p>
    <w:p>
      <w:pPr>
        <w:spacing w:after="0" w:line="194" w:lineRule="exact"/>
        <w:rPr>
          <w:sz w:val="20"/>
          <w:szCs w:val="20"/>
          <w:color w:val="auto"/>
        </w:rPr>
      </w:pPr>
    </w:p>
    <w:p>
      <w:pPr>
        <w:jc w:val="both"/>
        <w:ind w:right="20" w:firstLine="317"/>
        <w:spacing w:after="0" w:line="251" w:lineRule="auto"/>
        <w:rPr>
          <w:sz w:val="20"/>
          <w:szCs w:val="20"/>
          <w:color w:val="auto"/>
        </w:rPr>
      </w:pPr>
      <w:r>
        <w:rPr>
          <w:rFonts w:ascii="Times New Roman" w:cs="Times New Roman" w:eastAsia="Times New Roman" w:hAnsi="Times New Roman"/>
          <w:sz w:val="16"/>
          <w:szCs w:val="16"/>
          <w:color w:val="auto"/>
        </w:rPr>
        <w:t>The following graph compares the cumulative total return on our common stock with that of the Standard &amp; Poor’s 500 Stock Index and the Nasdaq Stock Index, as we do not believe there is an appropriate index of companies with an investment strategy similar to our own with which to compare the return on our common stock, for the five years ended December 31, 2023. The graph assumes that, on December 31, 2018, a person invested $100.00 in our common stock, at the closing price of our common stock on December 31, 2018, and in the Standard &amp; Poor’s 500 Stock Index and the Nasdaq Stock Index. The graph measures total stockholder return, which takes into account both changes in stock price and dividends. It assumes that dividends are reinvested in like securities on the respective dividend dates without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116205</wp:posOffset>
            </wp:positionV>
            <wp:extent cx="5000625" cy="2044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00625" cy="2044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2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12/31/18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12/31/19</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12/31/20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12/31/21</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8"/>
              </w:rPr>
              <w:t>12/31/22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8"/>
              </w:rPr>
              <w:t>12/31/23</w:t>
            </w:r>
          </w:p>
        </w:tc>
        <w:tc>
          <w:tcPr>
            <w:tcW w:w="80" w:type="dxa"/>
            <w:vAlign w:val="bottom"/>
            <w:tcBorders>
              <w:bottom w:val="single" w:sz="8" w:color="CCEEFF"/>
            </w:tcBorders>
          </w:tcPr>
          <w:p>
            <w:pPr>
              <w:spacing w:after="0"/>
              <w:rPr>
                <w:sz w:val="18"/>
                <w:szCs w:val="18"/>
                <w:color w:val="auto"/>
              </w:rPr>
            </w:pPr>
          </w:p>
        </w:tc>
      </w:tr>
      <w:tr>
        <w:trPr>
          <w:trHeight w:val="188"/>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SSSS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131.56</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491.94</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151.46</w:t>
            </w:r>
          </w:p>
        </w:tc>
        <w:tc>
          <w:tcPr>
            <w:tcW w:w="80" w:type="dxa"/>
            <w:vAlign w:val="bottom"/>
            <w:shd w:val="clear" w:color="auto" w:fill="CCEEFF"/>
          </w:tcPr>
          <w:p>
            <w:pPr>
              <w:spacing w:after="0"/>
              <w:rPr>
                <w:sz w:val="16"/>
                <w:szCs w:val="16"/>
                <w:color w:val="auto"/>
              </w:rPr>
            </w:pPr>
          </w:p>
        </w:tc>
      </w:tr>
      <w:tr>
        <w:trPr>
          <w:trHeight w:val="188"/>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S&amp;P 500 Index</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128.88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149.83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190.13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153.16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190.27</w:t>
            </w:r>
          </w:p>
        </w:tc>
      </w:tr>
      <w:tr>
        <w:trPr>
          <w:trHeight w:val="188"/>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Nasdaq Stock Index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135.23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194.24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235.78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157.74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226.24</w:t>
            </w:r>
          </w:p>
        </w:tc>
      </w:tr>
    </w:tbl>
    <w:p>
      <w:pPr>
        <w:spacing w:after="0" w:line="172"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The graph and other information furnished under this Part II, Item 5 of this Form 10-K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of Unregistered Equity Securities</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did not sell any equity securities during the period covered in this report that were not registered under the Securities Act of 1933, as amended.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53" w:name="page54"/>
    <w:bookmarkEnd w:id="53"/>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r>
        <w:rPr>
          <w:rFonts w:ascii="Times New Roman" w:cs="Times New Roman" w:eastAsia="Times New Roman" w:hAnsi="Times New Roman"/>
          <w:sz w:val="26"/>
          <w:szCs w:val="26"/>
          <w:b w:val="1"/>
          <w:bCs w:val="1"/>
          <w:color w:val="auto"/>
          <w:vertAlign w:val="superscript"/>
        </w:rPr>
        <w:t>(1)</w:t>
      </w:r>
    </w:p>
    <w:p>
      <w:pPr>
        <w:spacing w:after="0" w:line="99"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6"/>
          <w:szCs w:val="16"/>
          <w:color w:val="auto"/>
        </w:rPr>
        <w:t>Information relating to our purchases of our common stock during the year ended December 31, 2023 is as follows:</w:t>
      </w:r>
    </w:p>
    <w:p>
      <w:pPr>
        <w:spacing w:after="0" w:line="190"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Approximate</w:t>
            </w:r>
          </w:p>
        </w:tc>
        <w:tc>
          <w:tcPr>
            <w:tcW w:w="0" w:type="dxa"/>
            <w:vAlign w:val="bottom"/>
          </w:tcPr>
          <w:p>
            <w:pPr>
              <w:spacing w:after="0"/>
              <w:rPr>
                <w:sz w:val="1"/>
                <w:szCs w:val="1"/>
                <w:color w:val="auto"/>
              </w:rPr>
            </w:pPr>
          </w:p>
        </w:tc>
      </w:tr>
      <w:tr>
        <w:trPr>
          <w:trHeight w:val="188"/>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Total Number</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Dollar Value of</w:t>
            </w:r>
          </w:p>
        </w:tc>
        <w:tc>
          <w:tcPr>
            <w:tcW w:w="0" w:type="dxa"/>
            <w:vAlign w:val="bottom"/>
          </w:tcPr>
          <w:p>
            <w:pPr>
              <w:spacing w:after="0"/>
              <w:rPr>
                <w:sz w:val="1"/>
                <w:szCs w:val="1"/>
                <w:color w:val="auto"/>
              </w:rPr>
            </w:pPr>
          </w:p>
        </w:tc>
      </w:tr>
      <w:tr>
        <w:trPr>
          <w:trHeight w:val="188"/>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of Shares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Shares that May</w:t>
            </w:r>
          </w:p>
        </w:tc>
        <w:tc>
          <w:tcPr>
            <w:tcW w:w="0" w:type="dxa"/>
            <w:vAlign w:val="bottom"/>
          </w:tcPr>
          <w:p>
            <w:pPr>
              <w:spacing w:after="0"/>
              <w:rPr>
                <w:sz w:val="1"/>
                <w:szCs w:val="1"/>
                <w:color w:val="auto"/>
              </w:rPr>
            </w:pPr>
          </w:p>
        </w:tc>
      </w:tr>
      <w:tr>
        <w:trPr>
          <w:trHeight w:val="160"/>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w w:val="97"/>
              </w:rPr>
              <w:t>Purchased as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w w:val="95"/>
              </w:rPr>
              <w:t>Yet Be Purchased</w:t>
            </w:r>
          </w:p>
        </w:tc>
        <w:tc>
          <w:tcPr>
            <w:tcW w:w="0" w:type="dxa"/>
            <w:vAlign w:val="bottom"/>
          </w:tcPr>
          <w:p>
            <w:pPr>
              <w:spacing w:after="0"/>
              <w:rPr>
                <w:sz w:val="1"/>
                <w:szCs w:val="1"/>
                <w:color w:val="auto"/>
              </w:rPr>
            </w:pPr>
          </w:p>
        </w:tc>
      </w:tr>
      <w:tr>
        <w:trPr>
          <w:trHeight w:val="188"/>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200" w:type="dxa"/>
            <w:vAlign w:val="bottom"/>
          </w:tcPr>
          <w:p>
            <w:pPr>
              <w:spacing w:after="0"/>
              <w:rPr>
                <w:sz w:val="16"/>
                <w:szCs w:val="16"/>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Part of Publicly</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Under the Share</w:t>
            </w:r>
          </w:p>
        </w:tc>
        <w:tc>
          <w:tcPr>
            <w:tcW w:w="0" w:type="dxa"/>
            <w:vAlign w:val="bottom"/>
          </w:tcPr>
          <w:p>
            <w:pPr>
              <w:spacing w:after="0"/>
              <w:rPr>
                <w:sz w:val="1"/>
                <w:szCs w:val="1"/>
                <w:color w:val="auto"/>
              </w:rPr>
            </w:pPr>
          </w:p>
        </w:tc>
      </w:tr>
      <w:tr>
        <w:trPr>
          <w:trHeight w:val="188"/>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200" w:type="dxa"/>
            <w:vAlign w:val="bottom"/>
          </w:tcPr>
          <w:p>
            <w:pPr>
              <w:spacing w:after="0"/>
              <w:rPr>
                <w:sz w:val="16"/>
                <w:szCs w:val="16"/>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8"/>
              </w:rPr>
              <w:t>Price Paid</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Repurchase</w:t>
            </w:r>
          </w:p>
        </w:tc>
        <w:tc>
          <w:tcPr>
            <w:tcW w:w="0" w:type="dxa"/>
            <w:vAlign w:val="bottom"/>
          </w:tcPr>
          <w:p>
            <w:pPr>
              <w:spacing w:after="0"/>
              <w:rPr>
                <w:sz w:val="1"/>
                <w:szCs w:val="1"/>
                <w:color w:val="auto"/>
              </w:rPr>
            </w:pPr>
          </w:p>
        </w:tc>
      </w:tr>
      <w:tr>
        <w:trPr>
          <w:trHeight w:val="239"/>
        </w:trPr>
        <w:tc>
          <w:tcPr>
            <w:tcW w:w="4740" w:type="dxa"/>
            <w:vAlign w:val="bottom"/>
            <w:gridSpan w:val="2"/>
          </w:tcPr>
          <w:p>
            <w:pPr>
              <w:ind w:left="20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20" w:type="dxa"/>
            <w:vAlign w:val="bottom"/>
            <w:gridSpan w:val="2"/>
          </w:tcPr>
          <w:p>
            <w:pPr>
              <w:jc w:val="center"/>
              <w:ind w:right="340"/>
              <w:spacing w:after="0" w:line="235" w:lineRule="exact"/>
              <w:rPr>
                <w:sz w:val="20"/>
                <w:szCs w:val="20"/>
                <w:color w:val="auto"/>
              </w:rPr>
            </w:pPr>
            <w:r>
              <w:rPr>
                <w:rFonts w:ascii="Times New Roman" w:cs="Times New Roman" w:eastAsia="Times New Roman" w:hAnsi="Times New Roman"/>
                <w:sz w:val="16"/>
                <w:szCs w:val="16"/>
                <w:b w:val="1"/>
                <w:bCs w:val="1"/>
                <w:color w:val="auto"/>
                <w:w w:val="93"/>
              </w:rPr>
              <w:t>Purchased</w:t>
            </w:r>
            <w:r>
              <w:rPr>
                <w:rFonts w:ascii="Times New Roman" w:cs="Times New Roman" w:eastAsia="Times New Roman" w:hAnsi="Times New Roman"/>
                <w:sz w:val="26"/>
                <w:szCs w:val="26"/>
                <w:b w:val="1"/>
                <w:bCs w:val="1"/>
                <w:color w:val="auto"/>
                <w:w w:val="93"/>
                <w:vertAlign w:val="superscript"/>
              </w:rPr>
              <w:t>(2)</w:t>
            </w:r>
          </w:p>
        </w:tc>
        <w:tc>
          <w:tcPr>
            <w:tcW w:w="200" w:type="dxa"/>
            <w:vAlign w:val="bottom"/>
          </w:tcPr>
          <w:p>
            <w:pPr>
              <w:spacing w:after="0"/>
              <w:rPr>
                <w:sz w:val="20"/>
                <w:szCs w:val="20"/>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7"/>
              </w:rPr>
              <w:t>Per Share</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Program</w:t>
            </w:r>
          </w:p>
        </w:tc>
        <w:tc>
          <w:tcPr>
            <w:tcW w:w="0" w:type="dxa"/>
            <w:vAlign w:val="bottom"/>
          </w:tcPr>
          <w:p>
            <w:pPr>
              <w:spacing w:after="0"/>
              <w:rPr>
                <w:sz w:val="1"/>
                <w:szCs w:val="1"/>
                <w:color w:val="auto"/>
              </w:rPr>
            </w:pPr>
          </w:p>
        </w:tc>
      </w:tr>
      <w:tr>
        <w:trPr>
          <w:trHeight w:val="188"/>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January 1 through January 31, 2023</w:t>
            </w:r>
          </w:p>
        </w:tc>
        <w:tc>
          <w:tcPr>
            <w:tcW w:w="2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16,364,771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February 1 through February 28, 2023</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16,364,771</w:t>
            </w:r>
          </w:p>
        </w:tc>
        <w:tc>
          <w:tcPr>
            <w:tcW w:w="0" w:type="dxa"/>
            <w:vAlign w:val="bottom"/>
          </w:tcPr>
          <w:p>
            <w:pPr>
              <w:spacing w:after="0"/>
              <w:rPr>
                <w:sz w:val="1"/>
                <w:szCs w:val="1"/>
                <w:color w:val="auto"/>
              </w:rPr>
            </w:pPr>
          </w:p>
        </w:tc>
      </w:tr>
      <w:tr>
        <w:trPr>
          <w:trHeight w:val="188"/>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1 through March 31, 2023</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16,364,771</w:t>
            </w:r>
          </w:p>
        </w:tc>
        <w:tc>
          <w:tcPr>
            <w:tcW w:w="0" w:type="dxa"/>
            <w:vAlign w:val="bottom"/>
          </w:tcPr>
          <w:p>
            <w:pPr>
              <w:spacing w:after="0"/>
              <w:rPr>
                <w:sz w:val="1"/>
                <w:szCs w:val="1"/>
                <w:color w:val="auto"/>
              </w:rPr>
            </w:pPr>
          </w:p>
        </w:tc>
      </w:tr>
      <w:tr>
        <w:trPr>
          <w:trHeight w:val="188"/>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April 1 through April 30, 2023</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3,000,000</w:t>
            </w:r>
          </w:p>
        </w:tc>
        <w:tc>
          <w:tcPr>
            <w:tcW w:w="200" w:type="dxa"/>
            <w:vAlign w:val="bottom"/>
          </w:tcPr>
          <w:p>
            <w:pPr>
              <w:spacing w:after="0"/>
              <w:rPr>
                <w:sz w:val="16"/>
                <w:szCs w:val="16"/>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4.50</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3,000,000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16,364,771</w:t>
            </w:r>
          </w:p>
        </w:tc>
        <w:tc>
          <w:tcPr>
            <w:tcW w:w="0" w:type="dxa"/>
            <w:vAlign w:val="bottom"/>
          </w:tcPr>
          <w:p>
            <w:pPr>
              <w:spacing w:after="0"/>
              <w:rPr>
                <w:sz w:val="1"/>
                <w:szCs w:val="1"/>
                <w:color w:val="auto"/>
              </w:rPr>
            </w:pPr>
          </w:p>
        </w:tc>
      </w:tr>
      <w:tr>
        <w:trPr>
          <w:trHeight w:val="188"/>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May 1 through May 31, 2023</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16,364,771</w:t>
            </w:r>
          </w:p>
        </w:tc>
        <w:tc>
          <w:tcPr>
            <w:tcW w:w="0" w:type="dxa"/>
            <w:vAlign w:val="bottom"/>
          </w:tcPr>
          <w:p>
            <w:pPr>
              <w:spacing w:after="0"/>
              <w:rPr>
                <w:sz w:val="1"/>
                <w:szCs w:val="1"/>
                <w:color w:val="auto"/>
              </w:rPr>
            </w:pPr>
          </w:p>
        </w:tc>
      </w:tr>
      <w:tr>
        <w:trPr>
          <w:trHeight w:val="188"/>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June 1 through June 30, 2023</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16,364,771</w:t>
            </w:r>
          </w:p>
        </w:tc>
        <w:tc>
          <w:tcPr>
            <w:tcW w:w="0" w:type="dxa"/>
            <w:vAlign w:val="bottom"/>
          </w:tcPr>
          <w:p>
            <w:pPr>
              <w:spacing w:after="0"/>
              <w:rPr>
                <w:sz w:val="1"/>
                <w:szCs w:val="1"/>
                <w:color w:val="auto"/>
              </w:rPr>
            </w:pPr>
          </w:p>
        </w:tc>
      </w:tr>
      <w:tr>
        <w:trPr>
          <w:trHeight w:val="188"/>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July 1 through July 31, 2023</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16,364,771</w:t>
            </w:r>
          </w:p>
        </w:tc>
        <w:tc>
          <w:tcPr>
            <w:tcW w:w="0" w:type="dxa"/>
            <w:vAlign w:val="bottom"/>
          </w:tcPr>
          <w:p>
            <w:pPr>
              <w:spacing w:after="0"/>
              <w:rPr>
                <w:sz w:val="1"/>
                <w:szCs w:val="1"/>
                <w:color w:val="auto"/>
              </w:rPr>
            </w:pPr>
          </w:p>
        </w:tc>
      </w:tr>
      <w:tr>
        <w:trPr>
          <w:trHeight w:val="188"/>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August 1 through August 31, 2023</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69,990</w:t>
            </w:r>
          </w:p>
        </w:tc>
        <w:tc>
          <w:tcPr>
            <w:tcW w:w="200" w:type="dxa"/>
            <w:vAlign w:val="bottom"/>
          </w:tcPr>
          <w:p>
            <w:pPr>
              <w:spacing w:after="0"/>
              <w:rPr>
                <w:sz w:val="16"/>
                <w:szCs w:val="16"/>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3.62</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69,990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21,111,429</w:t>
            </w:r>
          </w:p>
        </w:tc>
        <w:tc>
          <w:tcPr>
            <w:tcW w:w="0" w:type="dxa"/>
            <w:vAlign w:val="bottom"/>
          </w:tcPr>
          <w:p>
            <w:pPr>
              <w:spacing w:after="0"/>
              <w:rPr>
                <w:sz w:val="1"/>
                <w:szCs w:val="1"/>
                <w:color w:val="auto"/>
              </w:rPr>
            </w:pPr>
          </w:p>
        </w:tc>
      </w:tr>
      <w:tr>
        <w:trPr>
          <w:trHeight w:val="188"/>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1 through September 30, 2023</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116,503</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3.65</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116,503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20,686,087</w:t>
            </w:r>
          </w:p>
        </w:tc>
        <w:tc>
          <w:tcPr>
            <w:tcW w:w="0" w:type="dxa"/>
            <w:vAlign w:val="bottom"/>
          </w:tcPr>
          <w:p>
            <w:pPr>
              <w:spacing w:after="0"/>
              <w:rPr>
                <w:sz w:val="1"/>
                <w:szCs w:val="1"/>
                <w:color w:val="auto"/>
              </w:rPr>
            </w:pPr>
          </w:p>
        </w:tc>
      </w:tr>
      <w:tr>
        <w:trPr>
          <w:trHeight w:val="188"/>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October 1 through October 31, 2023</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20,686,087</w:t>
            </w:r>
          </w:p>
        </w:tc>
        <w:tc>
          <w:tcPr>
            <w:tcW w:w="0" w:type="dxa"/>
            <w:vAlign w:val="bottom"/>
          </w:tcPr>
          <w:p>
            <w:pPr>
              <w:spacing w:after="0"/>
              <w:rPr>
                <w:sz w:val="1"/>
                <w:szCs w:val="1"/>
                <w:color w:val="auto"/>
              </w:rPr>
            </w:pPr>
          </w:p>
        </w:tc>
      </w:tr>
      <w:tr>
        <w:trPr>
          <w:trHeight w:val="188"/>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November 1 through November 30, 2023</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49,300</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3.97</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20,686,087</w:t>
            </w:r>
          </w:p>
        </w:tc>
        <w:tc>
          <w:tcPr>
            <w:tcW w:w="0" w:type="dxa"/>
            <w:vAlign w:val="bottom"/>
          </w:tcPr>
          <w:p>
            <w:pPr>
              <w:spacing w:after="0"/>
              <w:rPr>
                <w:sz w:val="1"/>
                <w:szCs w:val="1"/>
                <w:color w:val="auto"/>
              </w:rPr>
            </w:pPr>
          </w:p>
        </w:tc>
      </w:tr>
      <w:tr>
        <w:trPr>
          <w:trHeight w:val="20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1 through December 31, 2023</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76,750</w:t>
            </w:r>
          </w:p>
        </w:tc>
        <w:tc>
          <w:tcPr>
            <w:tcW w:w="200" w:type="dxa"/>
            <w:vAlign w:val="bottom"/>
          </w:tcPr>
          <w:p>
            <w:pPr>
              <w:spacing w:after="0"/>
              <w:rPr>
                <w:sz w:val="17"/>
                <w:szCs w:val="17"/>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4.04</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20,686,087</w:t>
            </w:r>
          </w:p>
        </w:tc>
        <w:tc>
          <w:tcPr>
            <w:tcW w:w="0" w:type="dxa"/>
            <w:vAlign w:val="bottom"/>
          </w:tcPr>
          <w:p>
            <w:pPr>
              <w:spacing w:after="0"/>
              <w:rPr>
                <w:sz w:val="1"/>
                <w:szCs w:val="1"/>
                <w:color w:val="auto"/>
              </w:rPr>
            </w:pPr>
          </w:p>
        </w:tc>
      </w:tr>
      <w:tr>
        <w:trPr>
          <w:trHeight w:val="200"/>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3,312,543</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3,186,493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6" w:firstLine="282"/>
        <w:spacing w:after="0" w:line="258" w:lineRule="auto"/>
        <w:rPr>
          <w:sz w:val="20"/>
          <w:szCs w:val="20"/>
          <w:color w:val="auto"/>
        </w:rPr>
      </w:pPr>
      <w:r>
        <w:rPr>
          <w:rFonts w:ascii="Times New Roman" w:cs="Times New Roman" w:eastAsia="Times New Roman" w:hAnsi="Times New Roman"/>
          <w:sz w:val="16"/>
          <w:szCs w:val="16"/>
          <w:color w:val="auto"/>
        </w:rPr>
        <w:t>On March 17, 2023, we commenced the Modified Dutch Auction Tender Offer to purchase up to 3,000,000 shares of our common stock from our stockholders, which expired on April 17, 2023. In accordance with the terms of the Modified Dutch Auction Tender Offer, we selected the lowest price per share of not less than $3.00 per share and not greater than $4.50 per share.</w:t>
      </w:r>
    </w:p>
    <w:p>
      <w:pPr>
        <w:spacing w:after="0" w:line="159" w:lineRule="exact"/>
        <w:rPr>
          <w:sz w:val="20"/>
          <w:szCs w:val="20"/>
          <w:color w:val="auto"/>
        </w:rPr>
      </w:pPr>
    </w:p>
    <w:p>
      <w:pPr>
        <w:jc w:val="both"/>
        <w:ind w:left="6" w:firstLine="282"/>
        <w:spacing w:after="0" w:line="258" w:lineRule="auto"/>
        <w:rPr>
          <w:sz w:val="20"/>
          <w:szCs w:val="20"/>
          <w:color w:val="auto"/>
        </w:rPr>
      </w:pPr>
      <w:r>
        <w:rPr>
          <w:rFonts w:ascii="Times New Roman" w:cs="Times New Roman" w:eastAsia="Times New Roman" w:hAnsi="Times New Roman"/>
          <w:sz w:val="16"/>
          <w:szCs w:val="16"/>
          <w:color w:val="auto"/>
        </w:rPr>
        <w:t>Pursuant to the Modified Dutch Auction Tender Offer, we repurchased 3,000,000 shares, representing 10.6% of our outstanding shares, on or about April 21, 2023 at a price of $4.50 per share. We used available cash to fund the purchase of our shares of common stock in the Modified Dutch Auction Tender Offer and to pay for all related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179133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74" w:lineRule="exact"/>
        <w:rPr>
          <w:sz w:val="20"/>
          <w:szCs w:val="20"/>
          <w:color w:val="auto"/>
        </w:rPr>
      </w:pPr>
    </w:p>
    <w:p>
      <w:pPr>
        <w:jc w:val="both"/>
        <w:ind w:left="566" w:hanging="566"/>
        <w:spacing w:after="0" w:line="247" w:lineRule="auto"/>
        <w:tabs>
          <w:tab w:leader="none" w:pos="56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Following several intervening approvals from our Board of Directors to increase the amount of shares of our common stock that may be repurchased under the discretionary Share Repurchase Program and/or extend the Share Repurchase Program to later expiration dates, most recently, on August 7, 2023, our Board of Directors approved an extension of the Share Repurchase Program under the earlier of (i) October 31, 2024 or (ii) the repurchase of $60.0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year ended December 31, 2023, we repurchased 186,493 shares of common stock under the Share Repurchase Program. As of December 31, 2023, the dollar value of shares that remained available to be purchased under the Share Repurchase Program was approximately $20.7 million.</w:t>
      </w:r>
    </w:p>
    <w:p>
      <w:pPr>
        <w:spacing w:after="0" w:line="2" w:lineRule="exact"/>
        <w:rPr>
          <w:rFonts w:ascii="Times New Roman" w:cs="Times New Roman" w:eastAsia="Times New Roman" w:hAnsi="Times New Roman"/>
          <w:sz w:val="16"/>
          <w:szCs w:val="16"/>
          <w:color w:val="auto"/>
        </w:rPr>
      </w:pPr>
    </w:p>
    <w:p>
      <w:pPr>
        <w:ind w:left="566" w:right="20" w:hanging="566"/>
        <w:spacing w:after="0" w:line="250" w:lineRule="auto"/>
        <w:tabs>
          <w:tab w:leader="none" w:pos="56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purchases of our common stock made on the open market by or on behalf of any “affiliated purchaser,” as defined in Exchange Act Rule 10b-18(a)(3), of the Company.</w:t>
      </w:r>
    </w:p>
    <w:p>
      <w:pPr>
        <w:spacing w:after="0" w:line="16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Senior Securities</w:t>
      </w:r>
    </w:p>
    <w:p>
      <w:pPr>
        <w:spacing w:after="0" w:line="194" w:lineRule="exact"/>
        <w:rPr>
          <w:sz w:val="20"/>
          <w:szCs w:val="20"/>
          <w:color w:val="auto"/>
        </w:rPr>
      </w:pPr>
    </w:p>
    <w:p>
      <w:pPr>
        <w:ind w:left="6" w:right="20" w:firstLine="353"/>
        <w:spacing w:after="0" w:line="270" w:lineRule="auto"/>
        <w:rPr>
          <w:sz w:val="20"/>
          <w:szCs w:val="20"/>
          <w:color w:val="auto"/>
        </w:rPr>
      </w:pPr>
      <w:r>
        <w:rPr>
          <w:rFonts w:ascii="Times New Roman" w:cs="Times New Roman" w:eastAsia="Times New Roman" w:hAnsi="Times New Roman"/>
          <w:sz w:val="16"/>
          <w:szCs w:val="16"/>
          <w:color w:val="auto"/>
        </w:rPr>
        <w:t>Information about our senior securities is shown in the following table as of the end of the last ten fiscal years. The report of our independent registered public accounting firm, Marcum LLP, on the senior securities table, as of December 31, 2023, 2022, 2021, 2020 and 2019, is attached as an exhibit to this annual report on Form 10-K.</w:t>
      </w:r>
    </w:p>
    <w:p>
      <w:pPr>
        <w:spacing w:after="0" w:line="15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54" w:name="page55"/>
    <w:bookmarkEnd w:id="54"/>
    <w:tbl>
      <w:tblPr>
        <w:tblLayout w:type="fixed"/>
        <w:tblInd w:w="6" w:type="dxa"/>
        <w:tblCellMar>
          <w:top w:w="0" w:type="dxa"/>
          <w:left w:w="0" w:type="dxa"/>
          <w:bottom w:w="0" w:type="dxa"/>
          <w:right w:w="0" w:type="dxa"/>
        </w:tblCellMar>
      </w:tblPr>
      <w:tr>
        <w:trPr>
          <w:trHeight w:val="184"/>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73"/>
        </w:trPr>
        <w:tc>
          <w:tcPr>
            <w:tcW w:w="9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5"/>
              </w:rPr>
              <w:t>Total Amount</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8"/>
        </w:trPr>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Involuntary</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7"/>
              </w:rPr>
              <w:t>Exclusive of</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Liquidation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5"/>
              </w:rPr>
              <w:t>Treasury</w:t>
            </w:r>
          </w:p>
        </w:tc>
        <w:tc>
          <w:tcPr>
            <w:tcW w:w="100" w:type="dxa"/>
            <w:vAlign w:val="bottom"/>
          </w:tcPr>
          <w:p>
            <w:pPr>
              <w:spacing w:after="0"/>
              <w:rPr>
                <w:sz w:val="16"/>
                <w:szCs w:val="16"/>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6"/>
              </w:rPr>
              <w:t>Asset Coverage</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Preference Per</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6"/>
              </w:rPr>
              <w:t>Average Market</w:t>
            </w:r>
          </w:p>
        </w:tc>
      </w:tr>
      <w:tr>
        <w:trPr>
          <w:trHeight w:val="239"/>
        </w:trPr>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Class and Year</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520"/>
              <w:spacing w:after="0" w:line="235" w:lineRule="exact"/>
              <w:rPr>
                <w:sz w:val="20"/>
                <w:szCs w:val="20"/>
                <w:color w:val="auto"/>
              </w:rPr>
            </w:pPr>
            <w:r>
              <w:rPr>
                <w:rFonts w:ascii="Times New Roman" w:cs="Times New Roman" w:eastAsia="Times New Roman" w:hAnsi="Times New Roman"/>
                <w:sz w:val="16"/>
                <w:szCs w:val="16"/>
                <w:b w:val="1"/>
                <w:bCs w:val="1"/>
                <w:color w:val="auto"/>
                <w:w w:val="92"/>
              </w:rPr>
              <w:t>Securities</w:t>
            </w:r>
            <w:r>
              <w:rPr>
                <w:rFonts w:ascii="Times New Roman" w:cs="Times New Roman" w:eastAsia="Times New Roman" w:hAnsi="Times New Roman"/>
                <w:sz w:val="26"/>
                <w:szCs w:val="26"/>
                <w:b w:val="1"/>
                <w:bCs w:val="1"/>
                <w:color w:val="auto"/>
                <w:w w:val="92"/>
                <w:vertAlign w:val="superscript"/>
              </w:rPr>
              <w:t>(1)</w:t>
            </w:r>
          </w:p>
        </w:tc>
        <w:tc>
          <w:tcPr>
            <w:tcW w:w="100" w:type="dxa"/>
            <w:vAlign w:val="bottom"/>
          </w:tcPr>
          <w:p>
            <w:pPr>
              <w:spacing w:after="0"/>
              <w:rPr>
                <w:sz w:val="20"/>
                <w:szCs w:val="20"/>
                <w:color w:val="auto"/>
              </w:rPr>
            </w:pPr>
          </w:p>
        </w:tc>
        <w:tc>
          <w:tcPr>
            <w:tcW w:w="1580" w:type="dxa"/>
            <w:vAlign w:val="bottom"/>
            <w:gridSpan w:val="2"/>
          </w:tcPr>
          <w:p>
            <w:pPr>
              <w:jc w:val="center"/>
              <w:ind w:right="420"/>
              <w:spacing w:after="0" w:line="235" w:lineRule="exact"/>
              <w:rPr>
                <w:sz w:val="20"/>
                <w:szCs w:val="20"/>
                <w:color w:val="auto"/>
              </w:rPr>
            </w:pPr>
            <w:r>
              <w:rPr>
                <w:rFonts w:ascii="Times New Roman" w:cs="Times New Roman" w:eastAsia="Times New Roman" w:hAnsi="Times New Roman"/>
                <w:sz w:val="16"/>
                <w:szCs w:val="16"/>
                <w:b w:val="1"/>
                <w:bCs w:val="1"/>
                <w:color w:val="auto"/>
                <w:w w:val="93"/>
              </w:rPr>
              <w:t>Ratio Per Unit</w:t>
            </w:r>
            <w:r>
              <w:rPr>
                <w:rFonts w:ascii="Times New Roman" w:cs="Times New Roman" w:eastAsia="Times New Roman" w:hAnsi="Times New Roman"/>
                <w:sz w:val="26"/>
                <w:szCs w:val="26"/>
                <w:b w:val="1"/>
                <w:bCs w:val="1"/>
                <w:color w:val="auto"/>
                <w:w w:val="93"/>
                <w:vertAlign w:val="superscript"/>
              </w:rPr>
              <w:t>(2)</w:t>
            </w:r>
          </w:p>
        </w:tc>
        <w:tc>
          <w:tcPr>
            <w:tcW w:w="1500" w:type="dxa"/>
            <w:vAlign w:val="bottom"/>
            <w:gridSpan w:val="2"/>
          </w:tcPr>
          <w:p>
            <w:pPr>
              <w:jc w:val="center"/>
              <w:ind w:right="160"/>
              <w:spacing w:after="0" w:line="235" w:lineRule="exact"/>
              <w:rPr>
                <w:sz w:val="20"/>
                <w:szCs w:val="20"/>
                <w:color w:val="auto"/>
              </w:rPr>
            </w:pPr>
            <w:r>
              <w:rPr>
                <w:rFonts w:ascii="Times New Roman" w:cs="Times New Roman" w:eastAsia="Times New Roman" w:hAnsi="Times New Roman"/>
                <w:sz w:val="16"/>
                <w:szCs w:val="16"/>
                <w:b w:val="1"/>
                <w:bCs w:val="1"/>
                <w:color w:val="auto"/>
                <w:w w:val="91"/>
              </w:rPr>
              <w:t>Unit</w:t>
            </w:r>
            <w:r>
              <w:rPr>
                <w:rFonts w:ascii="Times New Roman" w:cs="Times New Roman" w:eastAsia="Times New Roman" w:hAnsi="Times New Roman"/>
                <w:sz w:val="26"/>
                <w:szCs w:val="26"/>
                <w:b w:val="1"/>
                <w:bCs w:val="1"/>
                <w:color w:val="auto"/>
                <w:w w:val="91"/>
                <w:vertAlign w:val="superscript"/>
              </w:rPr>
              <w:t>(3)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Value Per Unit</w:t>
            </w:r>
          </w:p>
        </w:tc>
      </w:tr>
      <w:tr>
        <w:trPr>
          <w:trHeight w:val="192"/>
        </w:trPr>
        <w:tc>
          <w:tcPr>
            <w:tcW w:w="4500" w:type="dxa"/>
            <w:vAlign w:val="bottom"/>
            <w:tcBorders>
              <w:top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6.</w:t>
            </w:r>
            <w:r>
              <w:rPr>
                <w:rFonts w:ascii="Times New Roman" w:cs="Times New Roman" w:eastAsia="Times New Roman" w:hAnsi="Times New Roman"/>
                <w:sz w:val="16"/>
                <w:szCs w:val="16"/>
                <w:u w:val="single" w:color="auto"/>
                <w:color w:val="auto"/>
              </w:rPr>
              <w:t>00%</w:t>
            </w:r>
            <w:r>
              <w:rPr>
                <w:rFonts w:ascii="Times New Roman" w:cs="Times New Roman" w:eastAsia="Times New Roman" w:hAnsi="Times New Roman"/>
                <w:sz w:val="16"/>
                <w:szCs w:val="16"/>
                <w:color w:val="auto"/>
              </w:rPr>
              <w:t xml:space="preserve"> Notes due 2026</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23"/>
        </w:trPr>
        <w:tc>
          <w:tcPr>
            <w:tcW w:w="142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15"/>
                <w:szCs w:val="15"/>
                <w:color w:val="auto"/>
              </w:rPr>
              <w:t>Fiscal 2023</w:t>
            </w:r>
            <w:r>
              <w:rPr>
                <w:rFonts w:ascii="Times New Roman" w:cs="Times New Roman" w:eastAsia="Times New Roman" w:hAnsi="Times New Roman"/>
                <w:sz w:val="25"/>
                <w:szCs w:val="25"/>
                <w:color w:val="auto"/>
                <w:vertAlign w:val="superscript"/>
              </w:rPr>
              <w:t>(4)</w:t>
            </w:r>
          </w:p>
        </w:tc>
        <w:tc>
          <w:tcPr>
            <w:tcW w:w="3080" w:type="dxa"/>
            <w:vAlign w:val="bottom"/>
            <w:tcBorders>
              <w:top w:val="single" w:sz="8" w:color="CCEEFF"/>
            </w:tcBorders>
            <w:gridSpan w:val="3"/>
          </w:tcPr>
          <w:p>
            <w:pPr>
              <w:spacing w:after="0"/>
              <w:rPr>
                <w:sz w:val="19"/>
                <w:szCs w:val="19"/>
                <w:color w:val="auto"/>
              </w:rPr>
            </w:pPr>
          </w:p>
        </w:tc>
        <w:tc>
          <w:tcPr>
            <w:tcW w:w="40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75,000,000</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3,711</w:t>
            </w:r>
          </w:p>
        </w:tc>
        <w:tc>
          <w:tcPr>
            <w:tcW w:w="1500" w:type="dxa"/>
            <w:vAlign w:val="bottom"/>
            <w:tcBorders>
              <w:top w:val="single" w:sz="8" w:color="CCEEFF"/>
            </w:tcBorders>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23.40</w:t>
            </w:r>
          </w:p>
        </w:tc>
      </w:tr>
      <w:tr>
        <w:trPr>
          <w:trHeight w:val="223"/>
        </w:trPr>
        <w:tc>
          <w:tcPr>
            <w:tcW w:w="4500" w:type="dxa"/>
            <w:vAlign w:val="bottom"/>
            <w:gridSpan w:val="5"/>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Fiscal 2022</w:t>
            </w:r>
            <w:r>
              <w:rPr>
                <w:rFonts w:ascii="Times New Roman" w:cs="Times New Roman" w:eastAsia="Times New Roman" w:hAnsi="Times New Roman"/>
                <w:sz w:val="25"/>
                <w:szCs w:val="25"/>
                <w:color w:val="auto"/>
                <w:vertAlign w:val="superscript"/>
              </w:rPr>
              <w:t>(4)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75,000,000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3,800</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24.83</w:t>
            </w:r>
          </w:p>
        </w:tc>
      </w:tr>
      <w:tr>
        <w:trPr>
          <w:trHeight w:val="223"/>
        </w:trPr>
        <w:tc>
          <w:tcPr>
            <w:tcW w:w="4500" w:type="dxa"/>
            <w:vAlign w:val="bottom"/>
            <w:gridSpan w:val="5"/>
          </w:tcPr>
          <w:p>
            <w:pPr>
              <w:spacing w:after="0" w:line="223" w:lineRule="exact"/>
              <w:rPr>
                <w:sz w:val="20"/>
                <w:szCs w:val="20"/>
                <w:color w:val="auto"/>
              </w:rPr>
            </w:pPr>
            <w:r>
              <w:rPr>
                <w:rFonts w:ascii="Times New Roman" w:cs="Times New Roman" w:eastAsia="Times New Roman" w:hAnsi="Times New Roman"/>
                <w:sz w:val="15"/>
                <w:szCs w:val="15"/>
                <w:color w:val="auto"/>
              </w:rPr>
              <w:t>Fiscal 2021</w:t>
            </w:r>
            <w:r>
              <w:rPr>
                <w:rFonts w:ascii="Times New Roman" w:cs="Times New Roman" w:eastAsia="Times New Roman" w:hAnsi="Times New Roman"/>
                <w:sz w:val="25"/>
                <w:szCs w:val="25"/>
                <w:color w:val="auto"/>
                <w:vertAlign w:val="superscript"/>
              </w:rPr>
              <w:t>(4)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75,000,000</w:t>
            </w:r>
          </w:p>
        </w:tc>
        <w:tc>
          <w:tcPr>
            <w:tcW w:w="10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5,865</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25.52</w:t>
            </w:r>
          </w:p>
        </w:tc>
      </w:tr>
      <w:tr>
        <w:trPr>
          <w:trHeight w:val="188"/>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2020</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8,892</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5,998</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2018</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5,884</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3,968</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3,784</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4,884</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4,286</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76"/>
        </w:trPr>
        <w:tc>
          <w:tcPr>
            <w:tcW w:w="4500" w:type="dxa"/>
            <w:vAlign w:val="bottom"/>
            <w:gridSpan w:val="5"/>
          </w:tcPr>
          <w:p>
            <w:pPr>
              <w:spacing w:after="0" w:line="176" w:lineRule="exact"/>
              <w:rPr>
                <w:sz w:val="20"/>
                <w:szCs w:val="20"/>
                <w:color w:val="auto"/>
              </w:rPr>
            </w:pPr>
            <w:r>
              <w:rPr>
                <w:rFonts w:ascii="Times New Roman" w:cs="Times New Roman" w:eastAsia="Times New Roman" w:hAnsi="Times New Roman"/>
                <w:sz w:val="16"/>
                <w:szCs w:val="16"/>
                <w:color w:val="auto"/>
              </w:rPr>
              <w:t>4.</w:t>
            </w:r>
            <w:r>
              <w:rPr>
                <w:rFonts w:ascii="Times New Roman" w:cs="Times New Roman" w:eastAsia="Times New Roman" w:hAnsi="Times New Roman"/>
                <w:sz w:val="16"/>
                <w:szCs w:val="16"/>
                <w:u w:val="single" w:color="auto"/>
                <w:color w:val="auto"/>
              </w:rPr>
              <w:t>75%</w:t>
            </w:r>
            <w:r>
              <w:rPr>
                <w:rFonts w:ascii="Times New Roman" w:cs="Times New Roman" w:eastAsia="Times New Roman" w:hAnsi="Times New Roman"/>
                <w:sz w:val="16"/>
                <w:szCs w:val="16"/>
                <w:color w:val="auto"/>
              </w:rPr>
              <w:t xml:space="preserve"> Convertible Senior Notes due 2023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264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2023</w:t>
            </w:r>
          </w:p>
        </w:tc>
        <w:tc>
          <w:tcPr>
            <w:tcW w:w="18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3,711</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2022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3,800</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3"/>
        </w:trPr>
        <w:tc>
          <w:tcPr>
            <w:tcW w:w="4500" w:type="dxa"/>
            <w:vAlign w:val="bottom"/>
            <w:gridSpan w:val="5"/>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Fiscal 2021</w:t>
            </w:r>
            <w:r>
              <w:rPr>
                <w:rFonts w:ascii="Times New Roman" w:cs="Times New Roman" w:eastAsia="Times New Roman" w:hAnsi="Times New Roman"/>
                <w:sz w:val="25"/>
                <w:szCs w:val="25"/>
                <w:color w:val="auto"/>
                <w:vertAlign w:val="superscript"/>
              </w:rPr>
              <w:t>(5)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5,865</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3"/>
        </w:trPr>
        <w:tc>
          <w:tcPr>
            <w:tcW w:w="4500" w:type="dxa"/>
            <w:vAlign w:val="bottom"/>
            <w:gridSpan w:val="5"/>
          </w:tcPr>
          <w:p>
            <w:pPr>
              <w:spacing w:after="0" w:line="223" w:lineRule="exact"/>
              <w:rPr>
                <w:sz w:val="20"/>
                <w:szCs w:val="20"/>
                <w:color w:val="auto"/>
              </w:rPr>
            </w:pPr>
            <w:r>
              <w:rPr>
                <w:rFonts w:ascii="Times New Roman" w:cs="Times New Roman" w:eastAsia="Times New Roman" w:hAnsi="Times New Roman"/>
                <w:sz w:val="15"/>
                <w:szCs w:val="15"/>
                <w:color w:val="auto"/>
              </w:rPr>
              <w:t>Fiscal 2020</w:t>
            </w:r>
            <w:r>
              <w:rPr>
                <w:rFonts w:ascii="Times New Roman" w:cs="Times New Roman" w:eastAsia="Times New Roman" w:hAnsi="Times New Roman"/>
                <w:sz w:val="25"/>
                <w:szCs w:val="25"/>
                <w:color w:val="auto"/>
                <w:vertAlign w:val="superscript"/>
              </w:rPr>
              <w:t>(5)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38,215,000</w:t>
            </w:r>
          </w:p>
        </w:tc>
        <w:tc>
          <w:tcPr>
            <w:tcW w:w="10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8,892</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2019</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40,000,000</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5,998</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40,000,000</w:t>
            </w:r>
          </w:p>
        </w:tc>
        <w:tc>
          <w:tcPr>
            <w:tcW w:w="10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5,884</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2017</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3,968</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3,784</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2015</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4,884</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4,286</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92"/>
        </w:trPr>
        <w:tc>
          <w:tcPr>
            <w:tcW w:w="45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5.</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Convertible Senior Notes due 2018</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26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Fiscal 2023</w:t>
            </w:r>
          </w:p>
        </w:tc>
        <w:tc>
          <w:tcPr>
            <w:tcW w:w="186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3,711</w:t>
            </w:r>
          </w:p>
        </w:tc>
        <w:tc>
          <w:tcPr>
            <w:tcW w:w="1500" w:type="dxa"/>
            <w:vAlign w:val="bottom"/>
            <w:tcBorders>
              <w:top w:val="single" w:sz="8" w:color="CCEEFF"/>
            </w:tcBorders>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2022</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3,800</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2021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5,865</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2020</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8,892</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5,998</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3"/>
        </w:trPr>
        <w:tc>
          <w:tcPr>
            <w:tcW w:w="4500" w:type="dxa"/>
            <w:vAlign w:val="bottom"/>
            <w:gridSpan w:val="5"/>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Fiscal 2018</w:t>
            </w:r>
            <w:r>
              <w:rPr>
                <w:rFonts w:ascii="Times New Roman" w:cs="Times New Roman" w:eastAsia="Times New Roman" w:hAnsi="Times New Roman"/>
                <w:sz w:val="25"/>
                <w:szCs w:val="25"/>
                <w:color w:val="auto"/>
                <w:vertAlign w:val="superscript"/>
              </w:rPr>
              <w:t>(6)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5,884</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69,000,000</w:t>
            </w:r>
          </w:p>
        </w:tc>
        <w:tc>
          <w:tcPr>
            <w:tcW w:w="10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3,968</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69,000,000</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3,784</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69,000,000</w:t>
            </w:r>
          </w:p>
        </w:tc>
        <w:tc>
          <w:tcPr>
            <w:tcW w:w="10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4,884</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2014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69,000,000</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4,286</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76"/>
        </w:trPr>
        <w:tc>
          <w:tcPr>
            <w:tcW w:w="4500" w:type="dxa"/>
            <w:vAlign w:val="bottom"/>
            <w:gridSpan w:val="5"/>
          </w:tcPr>
          <w:p>
            <w:pPr>
              <w:spacing w:after="0" w:line="176" w:lineRule="exact"/>
              <w:rPr>
                <w:sz w:val="20"/>
                <w:szCs w:val="20"/>
                <w:color w:val="auto"/>
              </w:rPr>
            </w:pPr>
            <w:r>
              <w:rPr>
                <w:rFonts w:ascii="Times New Roman" w:cs="Times New Roman" w:eastAsia="Times New Roman" w:hAnsi="Times New Roman"/>
                <w:sz w:val="16"/>
                <w:szCs w:val="16"/>
                <w:color w:val="auto"/>
              </w:rPr>
              <w:t>Credit Facility</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2023</w:t>
            </w:r>
          </w:p>
        </w:tc>
        <w:tc>
          <w:tcPr>
            <w:tcW w:w="3600" w:type="dxa"/>
            <w:vAlign w:val="bottom"/>
            <w:gridSpan w:val="4"/>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3,711</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2022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3,800</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2021</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5,865</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188"/>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2020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8,892</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3"/>
        </w:trPr>
        <w:tc>
          <w:tcPr>
            <w:tcW w:w="4500" w:type="dxa"/>
            <w:vAlign w:val="bottom"/>
            <w:gridSpan w:val="5"/>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Fiscal 2019</w:t>
            </w:r>
            <w:r>
              <w:rPr>
                <w:rFonts w:ascii="Times New Roman" w:cs="Times New Roman" w:eastAsia="Times New Roman" w:hAnsi="Times New Roman"/>
                <w:sz w:val="25"/>
                <w:szCs w:val="25"/>
                <w:color w:val="auto"/>
                <w:vertAlign w:val="superscript"/>
              </w:rPr>
              <w:t>(7)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5,998</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3"/>
        </w:trPr>
        <w:tc>
          <w:tcPr>
            <w:tcW w:w="4500" w:type="dxa"/>
            <w:vAlign w:val="bottom"/>
            <w:gridSpan w:val="5"/>
          </w:tcPr>
          <w:p>
            <w:pPr>
              <w:spacing w:after="0" w:line="223" w:lineRule="exact"/>
              <w:rPr>
                <w:sz w:val="20"/>
                <w:szCs w:val="20"/>
                <w:color w:val="auto"/>
              </w:rPr>
            </w:pPr>
            <w:r>
              <w:rPr>
                <w:rFonts w:ascii="Times New Roman" w:cs="Times New Roman" w:eastAsia="Times New Roman" w:hAnsi="Times New Roman"/>
                <w:sz w:val="15"/>
                <w:szCs w:val="15"/>
                <w:color w:val="auto"/>
              </w:rPr>
              <w:t>Fiscal 2018</w:t>
            </w:r>
            <w:r>
              <w:rPr>
                <w:rFonts w:ascii="Times New Roman" w:cs="Times New Roman" w:eastAsia="Times New Roman" w:hAnsi="Times New Roman"/>
                <w:sz w:val="25"/>
                <w:szCs w:val="25"/>
                <w:color w:val="auto"/>
                <w:vertAlign w:val="superscript"/>
              </w:rPr>
              <w:t>(7)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5,884</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3"/>
        </w:trPr>
        <w:tc>
          <w:tcPr>
            <w:tcW w:w="4500" w:type="dxa"/>
            <w:vAlign w:val="bottom"/>
            <w:gridSpan w:val="5"/>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Fiscal 2017</w:t>
            </w:r>
            <w:r>
              <w:rPr>
                <w:rFonts w:ascii="Times New Roman" w:cs="Times New Roman" w:eastAsia="Times New Roman" w:hAnsi="Times New Roman"/>
                <w:sz w:val="25"/>
                <w:szCs w:val="25"/>
                <w:color w:val="auto"/>
                <w:vertAlign w:val="superscript"/>
              </w:rPr>
              <w:t>(7)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3,968</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3"/>
        </w:trPr>
        <w:tc>
          <w:tcPr>
            <w:tcW w:w="4500" w:type="dxa"/>
            <w:vAlign w:val="bottom"/>
            <w:gridSpan w:val="5"/>
          </w:tcPr>
          <w:p>
            <w:pPr>
              <w:spacing w:after="0" w:line="223" w:lineRule="exact"/>
              <w:rPr>
                <w:sz w:val="20"/>
                <w:szCs w:val="20"/>
                <w:color w:val="auto"/>
              </w:rPr>
            </w:pPr>
            <w:r>
              <w:rPr>
                <w:rFonts w:ascii="Times New Roman" w:cs="Times New Roman" w:eastAsia="Times New Roman" w:hAnsi="Times New Roman"/>
                <w:sz w:val="15"/>
                <w:szCs w:val="15"/>
                <w:color w:val="auto"/>
              </w:rPr>
              <w:t>Fiscal 2016</w:t>
            </w:r>
            <w:r>
              <w:rPr>
                <w:rFonts w:ascii="Times New Roman" w:cs="Times New Roman" w:eastAsia="Times New Roman" w:hAnsi="Times New Roman"/>
                <w:sz w:val="25"/>
                <w:szCs w:val="25"/>
                <w:color w:val="auto"/>
                <w:vertAlign w:val="superscript"/>
              </w:rPr>
              <w:t>(8)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3,784</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223"/>
        </w:trPr>
        <w:tc>
          <w:tcPr>
            <w:tcW w:w="4500" w:type="dxa"/>
            <w:vAlign w:val="bottom"/>
            <w:gridSpan w:val="5"/>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Fiscal 2015</w:t>
            </w:r>
            <w:r>
              <w:rPr>
                <w:rFonts w:ascii="Times New Roman" w:cs="Times New Roman" w:eastAsia="Times New Roman" w:hAnsi="Times New Roman"/>
                <w:sz w:val="25"/>
                <w:szCs w:val="25"/>
                <w:color w:val="auto"/>
                <w:vertAlign w:val="superscript"/>
              </w:rPr>
              <w:t>(8)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4,884</w:t>
            </w:r>
          </w:p>
        </w:tc>
        <w:tc>
          <w:tcPr>
            <w:tcW w:w="15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r>
        <w:trPr>
          <w:trHeight w:val="343"/>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Fiscal 2014</w:t>
            </w:r>
            <w:r>
              <w:rPr>
                <w:rFonts w:ascii="Times New Roman" w:cs="Times New Roman" w:eastAsia="Times New Roman" w:hAnsi="Times New Roman"/>
                <w:sz w:val="26"/>
                <w:szCs w:val="26"/>
                <w:color w:val="auto"/>
                <w:vertAlign w:val="superscript"/>
              </w:rPr>
              <w:t>(8)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18,000,000</w:t>
            </w:r>
          </w:p>
        </w:tc>
        <w:tc>
          <w:tcPr>
            <w:tcW w:w="100" w:type="dxa"/>
            <w:vAlign w:val="bottom"/>
          </w:tcPr>
          <w:p>
            <w:pPr>
              <w:spacing w:after="0"/>
              <w:rPr>
                <w:sz w:val="24"/>
                <w:szCs w:val="24"/>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4,286</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179133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67" w:lineRule="exact"/>
        <w:rPr>
          <w:sz w:val="20"/>
          <w:szCs w:val="20"/>
          <w:color w:val="auto"/>
        </w:rPr>
      </w:pPr>
    </w:p>
    <w:p>
      <w:pPr>
        <w:ind w:left="566" w:hanging="566"/>
        <w:spacing w:after="0"/>
        <w:tabs>
          <w:tab w:leader="none" w:pos="56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gross amount of each class of senior securities outstanding at the end of the period presented, before deduction of discount and debt issuance costs.</w:t>
      </w:r>
    </w:p>
    <w:p>
      <w:pPr>
        <w:spacing w:after="0" w:line="19" w:lineRule="exact"/>
        <w:rPr>
          <w:rFonts w:ascii="Times New Roman" w:cs="Times New Roman" w:eastAsia="Times New Roman" w:hAnsi="Times New Roman"/>
          <w:sz w:val="16"/>
          <w:szCs w:val="16"/>
          <w:color w:val="auto"/>
        </w:rPr>
      </w:pPr>
    </w:p>
    <w:p>
      <w:pPr>
        <w:jc w:val="both"/>
        <w:ind w:left="566" w:right="20" w:hanging="566"/>
        <w:spacing w:after="0" w:line="245" w:lineRule="auto"/>
        <w:tabs>
          <w:tab w:leader="none" w:pos="56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coverage per unit for a class of senior securities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jc w:val="both"/>
        <w:ind w:left="566" w:hanging="566"/>
        <w:spacing w:after="0" w:line="245" w:lineRule="auto"/>
        <w:tabs>
          <w:tab w:leader="none" w:pos="56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to which such class of senior security would be entitled upon the voluntary liquidation of the issuer in preference to any security junior to it. The “—” in this column indicates that the SEC expressly does not require this information to be disclosed for the types of senior securities representing indebtedness issued by the Company as of the stated time periods.</w:t>
      </w:r>
    </w:p>
    <w:p>
      <w:pPr>
        <w:ind w:left="566" w:hanging="566"/>
        <w:spacing w:after="0"/>
        <w:tabs>
          <w:tab w:leader="none" w:pos="56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6.00% Notes due 2026 were issued on December 17, 2021.</w:t>
      </w:r>
    </w:p>
    <w:p>
      <w:pPr>
        <w:spacing w:after="0" w:line="4" w:lineRule="exact"/>
        <w:rPr>
          <w:rFonts w:ascii="Times New Roman" w:cs="Times New Roman" w:eastAsia="Times New Roman" w:hAnsi="Times New Roman"/>
          <w:sz w:val="16"/>
          <w:szCs w:val="16"/>
          <w:color w:val="auto"/>
        </w:rPr>
      </w:pPr>
    </w:p>
    <w:p>
      <w:pPr>
        <w:ind w:left="566" w:right="20" w:hanging="566"/>
        <w:spacing w:after="0" w:line="245" w:lineRule="auto"/>
        <w:tabs>
          <w:tab w:leader="none" w:pos="56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2020, we issued 174,888 shares of our common stock and cash for fractional shares upon the conversion of $1,785,000 in aggregate principal amount of the 4.75% Convertible Senior Notes due 2023. The 4.75% Convertible Senior Notes due 2023 were repaid in full with interest on March 29, 2021.</w:t>
      </w:r>
    </w:p>
    <w:p>
      <w:pPr>
        <w:ind w:left="566" w:hanging="566"/>
        <w:spacing w:after="0"/>
        <w:tabs>
          <w:tab w:leader="none" w:pos="56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5.25% Convertible Senior Notes due 2018 were repaid in full with interest on September 15, 2018.</w:t>
      </w:r>
    </w:p>
    <w:p>
      <w:pPr>
        <w:spacing w:after="0" w:line="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amounts under the $12.0 million senior secured revolving Credit Facility with Western Alliance Bank, National Association, which matured on May 31, 2019.</w:t>
      </w:r>
    </w:p>
    <w:p>
      <w:pPr>
        <w:spacing w:after="0" w:line="15" w:lineRule="exact"/>
        <w:rPr>
          <w:rFonts w:ascii="Times New Roman" w:cs="Times New Roman" w:eastAsia="Times New Roman" w:hAnsi="Times New Roman"/>
          <w:sz w:val="15"/>
          <w:szCs w:val="15"/>
          <w:color w:val="auto"/>
        </w:rPr>
      </w:pPr>
    </w:p>
    <w:p>
      <w:pPr>
        <w:ind w:left="566" w:hanging="566"/>
        <w:spacing w:after="0"/>
        <w:tabs>
          <w:tab w:leader="none" w:pos="56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amounts under the $18.0 million Credit Facility with Silicon Valley Bank, National Association, which matured on December 31, 2016.</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Item 6. [Reserved]</w:t>
      </w:r>
    </w:p>
    <w:p>
      <w:pPr>
        <w:sectPr>
          <w:pgSz w:w="11900" w:h="16838" w:orient="portrait"/>
          <w:cols w:equalWidth="0" w:num="1">
            <w:col w:w="11266"/>
          </w:cols>
          <w:pgMar w:left="314" w:top="202" w:right="319" w:bottom="1440" w:gutter="0" w:footer="0" w:header="0"/>
        </w:sectPr>
      </w:pPr>
    </w:p>
    <w:p>
      <w:pPr>
        <w:spacing w:after="0" w:line="19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02" w:right="31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4" w:lineRule="exact"/>
        <w:rPr>
          <w:sz w:val="20"/>
          <w:szCs w:val="20"/>
          <w:color w:val="auto"/>
        </w:rPr>
      </w:pPr>
    </w:p>
    <w:p>
      <w:pPr>
        <w:jc w:val="both"/>
        <w:ind w:right="20" w:firstLine="317"/>
        <w:spacing w:after="0" w:line="253" w:lineRule="auto"/>
        <w:rPr>
          <w:sz w:val="20"/>
          <w:szCs w:val="20"/>
          <w:color w:val="auto"/>
        </w:rPr>
      </w:pPr>
      <w:r>
        <w:rPr>
          <w:rFonts w:ascii="Times New Roman" w:cs="Times New Roman" w:eastAsia="Times New Roman" w:hAnsi="Times New Roman"/>
          <w:sz w:val="16"/>
          <w:szCs w:val="16"/>
          <w:color w:val="auto"/>
        </w:rPr>
        <w:t>This annual report on Form 10-K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forward-looking statements contained in this annual report on Form 10-K involve risks and uncertainties, including, without limitation, statements as to:</w:t>
      </w:r>
    </w:p>
    <w:p>
      <w:pPr>
        <w:spacing w:after="0" w:line="192" w:lineRule="exact"/>
        <w:rPr>
          <w:sz w:val="20"/>
          <w:szCs w:val="20"/>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operating results;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upon our management team and key investment professionals;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prospects and the prospects of our portfolio companies;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our business and future growth;</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investments that we expect to make;</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investments in growth-stage companies, other venture capital-backed companies, and generally U.S. companies;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contractual arrangements and relationships with third parties;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make distributions;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dependence of our future success on the general economy and its impact on the industries in which we invest;</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uncertainty of the value of our portfolio investments;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portfolio companies to achieve their objectives;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political, economic or industry conditions;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expected financings and investments;</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changes in laws or regulations (including the interpretation thereof), including tax laws, on our operations and/or the operation of our portfolio companies;</w:t>
      </w:r>
    </w:p>
    <w:p>
      <w:pPr>
        <w:spacing w:after="0" w:line="203" w:lineRule="exact"/>
        <w:rPr>
          <w:rFonts w:ascii="Times New Roman" w:cs="Times New Roman" w:eastAsia="Times New Roman" w:hAnsi="Times New Roman"/>
          <w:sz w:val="15"/>
          <w:szCs w:val="15"/>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adequacy of our cash resources and working capital;</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market volatility, including general price and volume fluctuations in stock markets; and</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cash flows, if any, from the operations of our portfolio companies.</w:t>
      </w:r>
    </w:p>
    <w:p>
      <w:pPr>
        <w:spacing w:after="0" w:line="192" w:lineRule="exact"/>
        <w:rPr>
          <w:sz w:val="20"/>
          <w:szCs w:val="20"/>
          <w:color w:val="auto"/>
        </w:rPr>
      </w:pPr>
    </w:p>
    <w:p>
      <w:pPr>
        <w:ind w:right="20" w:firstLine="317"/>
        <w:spacing w:after="0" w:line="270" w:lineRule="auto"/>
        <w:rPr>
          <w:sz w:val="20"/>
          <w:szCs w:val="20"/>
          <w:color w:val="auto"/>
        </w:rPr>
      </w:pPr>
      <w:r>
        <w:rPr>
          <w:rFonts w:ascii="Times New Roman" w:cs="Times New Roman" w:eastAsia="Times New Roman" w:hAnsi="Times New Roman"/>
          <w:sz w:val="16"/>
          <w:szCs w:val="16"/>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50" w:lineRule="exact"/>
        <w:rPr>
          <w:sz w:val="20"/>
          <w:szCs w:val="20"/>
          <w:color w:val="auto"/>
        </w:rPr>
      </w:pPr>
    </w:p>
    <w:p>
      <w:pPr>
        <w:ind w:left="560" w:hanging="284"/>
        <w:spacing w:after="0" w:line="270" w:lineRule="auto"/>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economic downturn could impair our portfolio companies’ ability to continue to operate, which could lead to the loss of some or all of our investments in such portfolio companies;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ind w:left="560" w:hanging="284"/>
        <w:spacing w:after="0" w:line="270" w:lineRule="auto"/>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economic downturn could disproportionately impact the market sectors in which a significant portion of our portfolio is concentrated, causing us to suffer losses in our portfolio;</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contraction of available credit and/or an inability to access the equity markets could impair our investment activities;</w:t>
      </w:r>
    </w:p>
    <w:p>
      <w:pPr>
        <w:spacing w:after="0" w:line="192"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inflation or an inflationary economic environment could adversely affect our portfolio companies’ operating results, causing us to suffer losses in our portfolio;</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volatility could adversely affect our results, particularly because we use leverage as part of our investment strategy; and</w:t>
      </w:r>
    </w:p>
    <w:p>
      <w:pPr>
        <w:spacing w:after="0" w:line="192"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risks, uncertainties and other factors we identify in the sections entitled “Risk Factors” in our quarterly reports on Form 10-Q, our annual report on Form 10-K, and in our other filings with the SEC.</w:t>
      </w:r>
    </w:p>
    <w:p>
      <w:pPr>
        <w:spacing w:after="0" w:line="150" w:lineRule="exact"/>
        <w:rPr>
          <w:sz w:val="20"/>
          <w:szCs w:val="20"/>
          <w:color w:val="auto"/>
        </w:rPr>
      </w:pPr>
    </w:p>
    <w:p>
      <w:pPr>
        <w:jc w:val="both"/>
        <w:ind w:firstLine="317"/>
        <w:spacing w:after="0" w:line="249" w:lineRule="auto"/>
        <w:rPr>
          <w:sz w:val="20"/>
          <w:szCs w:val="20"/>
          <w:color w:val="auto"/>
        </w:rPr>
      </w:pPr>
      <w:r>
        <w:rPr>
          <w:rFonts w:ascii="Times New Roman" w:cs="Times New Roman" w:eastAsia="Times New Roman" w:hAnsi="Times New Roman"/>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annual report on Form 10-K. The following analysis of our financial condition and results of operations should be read in conjunction with our consolidated financial statements and the related notes thereto contained elsewhere in this annual report on Form 10-K.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4" w:lineRule="exact"/>
        <w:rPr>
          <w:sz w:val="20"/>
          <w:szCs w:val="20"/>
          <w:color w:val="auto"/>
        </w:rPr>
      </w:pPr>
    </w:p>
    <w:p>
      <w:pPr>
        <w:jc w:val="both"/>
        <w:ind w:right="20" w:firstLine="317"/>
        <w:spacing w:after="0" w:line="270" w:lineRule="auto"/>
        <w:rPr>
          <w:sz w:val="20"/>
          <w:szCs w:val="20"/>
          <w:color w:val="auto"/>
        </w:rPr>
      </w:pPr>
      <w:r>
        <w:rPr>
          <w:rFonts w:ascii="Times New Roman" w:cs="Times New Roman" w:eastAsia="Times New Roman" w:hAnsi="Times New Roman"/>
          <w:sz w:val="16"/>
          <w:szCs w:val="16"/>
          <w:color w:val="auto"/>
        </w:rPr>
        <w:t>We are an internally managed, non-diversified closed-end management investment company that has elected to be regulated as a BDC under the 1940 Act, and has elected to be treated, and intends to qualify annually, as a RIC under Subchapter M of the Code.</w:t>
      </w:r>
    </w:p>
    <w:p>
      <w:pPr>
        <w:spacing w:after="0" w:line="150" w:lineRule="exact"/>
        <w:rPr>
          <w:sz w:val="20"/>
          <w:szCs w:val="20"/>
          <w:color w:val="auto"/>
        </w:rPr>
      </w:pPr>
    </w:p>
    <w:p>
      <w:pPr>
        <w:jc w:val="both"/>
        <w:ind w:firstLine="317"/>
        <w:spacing w:after="0" w:line="249" w:lineRule="auto"/>
        <w:rPr>
          <w:sz w:val="20"/>
          <w:szCs w:val="20"/>
          <w:color w:val="auto"/>
        </w:rPr>
      </w:pPr>
      <w:r>
        <w:rPr>
          <w:rFonts w:ascii="Times New Roman" w:cs="Times New Roman" w:eastAsia="Times New Roman" w:hAnsi="Times New Roman"/>
          <w:sz w:val="16"/>
          <w:szCs w:val="16"/>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 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PIPE transactions of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68" w:lineRule="exact"/>
        <w:rPr>
          <w:sz w:val="20"/>
          <w:szCs w:val="20"/>
          <w:color w:val="auto"/>
        </w:rPr>
      </w:pPr>
    </w:p>
    <w:p>
      <w:pPr>
        <w:jc w:val="both"/>
        <w:ind w:firstLine="317"/>
        <w:spacing w:after="0" w:line="272" w:lineRule="auto"/>
        <w:rPr>
          <w:sz w:val="20"/>
          <w:szCs w:val="20"/>
          <w:color w:val="auto"/>
        </w:rPr>
      </w:pPr>
      <w:r>
        <w:rPr>
          <w:rFonts w:ascii="Times New Roman" w:cs="Times New Roman" w:eastAsia="Times New Roman" w:hAnsi="Times New Roman"/>
          <w:sz w:val="15"/>
          <w:szCs w:val="15"/>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51"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6"/>
          <w:szCs w:val="16"/>
          <w:color w:val="auto"/>
        </w:rPr>
        <w:t>Our investment philosophy is based on a disciplined approach of identifying promising investments in high-growth, venture-backed companies across several key industry themes which may include, among others, social/mobile,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right="20" w:firstLine="317"/>
        <w:spacing w:after="0" w:line="251" w:lineRule="auto"/>
        <w:rPr>
          <w:sz w:val="20"/>
          <w:szCs w:val="20"/>
          <w:color w:val="auto"/>
        </w:rPr>
      </w:pPr>
      <w:r>
        <w:rPr>
          <w:rFonts w:ascii="Times New Roman" w:cs="Times New Roman" w:eastAsia="Times New Roman" w:hAnsi="Times New Roman"/>
          <w:sz w:val="16"/>
          <w:szCs w:val="16"/>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We seek to create a low-turnover portfolio that includes investments in companies representing a broad range of investment themes.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History</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50"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date of inception was January 6, 2011, which is the date we commenced development stage activities. We commenced operations as a BDC upon completion of our IPO in May 2011 and began our investment operations during the second quarter of 2011.</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On and effective June 22, 2020, we changed our name to “SuRo Capital Corp.” from “Sutter Rock Capital Corp.”</w:t>
      </w:r>
    </w:p>
    <w:p>
      <w:pPr>
        <w:spacing w:after="0" w:line="192"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On and effective March 12, 2019, our Board of Directors approved our Internalization, and we began operating as an internally managed non-diversified closed-end management investment company that has elected to be regulated as a BDC under the 1940 Act. Our Board of Directors approved the Internalization in order to better align the interests of our stockholders with its management. As an internally managed BDC, we are managed by our employees, rather than the employees of an external investment adviser, thereby allowing for greater transparency to stockholders through robust disclosure regarding our compensation structure. As a result of the Internalization,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1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Except as otherwise disclosed herein, this Form 10-K discusses our business and operations as an internally managed BDC during the period covered by this Form 10-K.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58" w:name="page59"/>
    <w:bookmarkEnd w:id="58"/>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Portfolio and Investment Activity</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2023</w:t>
      </w:r>
    </w:p>
    <w:p>
      <w:pPr>
        <w:spacing w:after="0" w:line="196" w:lineRule="exact"/>
        <w:rPr>
          <w:sz w:val="20"/>
          <w:szCs w:val="20"/>
          <w:color w:val="auto"/>
        </w:rPr>
      </w:pPr>
    </w:p>
    <w:p>
      <w:pPr>
        <w:jc w:val="both"/>
        <w:ind w:left="6" w:firstLine="282"/>
        <w:spacing w:after="0" w:line="258" w:lineRule="auto"/>
        <w:rPr>
          <w:sz w:val="20"/>
          <w:szCs w:val="20"/>
          <w:color w:val="auto"/>
        </w:rPr>
      </w:pPr>
      <w:r>
        <w:rPr>
          <w:rFonts w:ascii="Times New Roman" w:cs="Times New Roman" w:eastAsia="Times New Roman" w:hAnsi="Times New Roman"/>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December 31, 2023, of all of our portfolio investments, excluding short-term U.S. Treasury bills, was $184,081,249.</w:t>
      </w:r>
    </w:p>
    <w:p>
      <w:pPr>
        <w:spacing w:after="0" w:line="159" w:lineRule="exact"/>
        <w:rPr>
          <w:sz w:val="20"/>
          <w:szCs w:val="20"/>
          <w:color w:val="auto"/>
        </w:rPr>
      </w:pPr>
    </w:p>
    <w:p>
      <w:pPr>
        <w:jc w:val="both"/>
        <w:ind w:left="6" w:firstLine="282"/>
        <w:spacing w:after="0" w:line="270" w:lineRule="auto"/>
        <w:rPr>
          <w:sz w:val="20"/>
          <w:szCs w:val="20"/>
          <w:color w:val="auto"/>
        </w:rPr>
      </w:pPr>
      <w:r>
        <w:rPr>
          <w:rFonts w:ascii="Times New Roman" w:cs="Times New Roman" w:eastAsia="Times New Roman" w:hAnsi="Times New Roman"/>
          <w:sz w:val="16"/>
          <w:szCs w:val="16"/>
          <w:color w:val="auto"/>
        </w:rPr>
        <w:t>During the year ended December 31, 2023, we funded investments in an aggregate amount of $25,766,162 (not including capitalized transaction costs or investments in short-term U.S. Treasury bills) as shown in the following table:</w:t>
      </w:r>
    </w:p>
    <w:p>
      <w:pPr>
        <w:spacing w:after="0" w:line="160"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40" w:type="dxa"/>
            <w:vAlign w:val="bottom"/>
            <w:tcBorders>
              <w:bottom w:val="single" w:sz="8" w:color="CCEEFF"/>
            </w:tcBorders>
          </w:tcPr>
          <w:p>
            <w:pPr>
              <w:spacing w:after="0"/>
              <w:rPr>
                <w:sz w:val="18"/>
                <w:szCs w:val="18"/>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Investment</w:t>
            </w:r>
          </w:p>
        </w:tc>
        <w:tc>
          <w:tcPr>
            <w:tcW w:w="2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Transaction Date</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Gross Payments</w:t>
            </w:r>
          </w:p>
        </w:tc>
        <w:tc>
          <w:tcPr>
            <w:tcW w:w="120" w:type="dxa"/>
            <w:vAlign w:val="bottom"/>
            <w:tcBorders>
              <w:bottom w:val="single" w:sz="8" w:color="CCEEFF"/>
            </w:tcBorders>
            <w:gridSpan w:val="2"/>
          </w:tcPr>
          <w:p>
            <w:pPr>
              <w:spacing w:after="0"/>
              <w:rPr>
                <w:sz w:val="18"/>
                <w:szCs w:val="18"/>
                <w:color w:val="auto"/>
              </w:rPr>
            </w:pPr>
          </w:p>
        </w:tc>
      </w:tr>
      <w:tr>
        <w:trPr>
          <w:trHeight w:val="223"/>
        </w:trPr>
        <w:tc>
          <w:tcPr>
            <w:tcW w:w="36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Orchard Technologies, Inc.</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Preferred shares, Series 1</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1/13/2023</w:t>
            </w:r>
          </w:p>
        </w:tc>
        <w:tc>
          <w:tcPr>
            <w:tcW w:w="2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2,000,000</w:t>
            </w:r>
          </w:p>
        </w:tc>
        <w:tc>
          <w:tcPr>
            <w:tcW w:w="100" w:type="dxa"/>
            <w:vAlign w:val="bottom"/>
            <w:shd w:val="clear" w:color="auto" w:fill="CCEEFF"/>
          </w:tcPr>
          <w:p>
            <w:pPr>
              <w:spacing w:after="0"/>
              <w:rPr>
                <w:sz w:val="19"/>
                <w:szCs w:val="19"/>
                <w:color w:val="auto"/>
              </w:rPr>
            </w:pPr>
          </w:p>
        </w:tc>
      </w:tr>
      <w:tr>
        <w:trPr>
          <w:trHeight w:val="223"/>
        </w:trPr>
        <w:tc>
          <w:tcPr>
            <w:tcW w:w="3840" w:type="dxa"/>
            <w:vAlign w:val="bottom"/>
            <w:gridSpan w:val="2"/>
          </w:tcPr>
          <w:p>
            <w:pPr>
              <w:spacing w:after="0" w:line="223" w:lineRule="exact"/>
              <w:rPr>
                <w:sz w:val="20"/>
                <w:szCs w:val="20"/>
                <w:color w:val="auto"/>
              </w:rPr>
            </w:pPr>
            <w:r>
              <w:rPr>
                <w:rFonts w:ascii="Times New Roman" w:cs="Times New Roman" w:eastAsia="Times New Roman" w:hAnsi="Times New Roman"/>
                <w:sz w:val="15"/>
                <w:szCs w:val="15"/>
                <w:color w:val="auto"/>
              </w:rPr>
              <w:t>True Global Ventures 4 Plus Pte Ltd</w:t>
            </w:r>
            <w:r>
              <w:rPr>
                <w:rFonts w:ascii="Times New Roman" w:cs="Times New Roman" w:eastAsia="Times New Roman" w:hAnsi="Times New Roman"/>
                <w:sz w:val="25"/>
                <w:szCs w:val="25"/>
                <w:color w:val="auto"/>
                <w:vertAlign w:val="superscript"/>
              </w:rPr>
              <w:t>(2)</w:t>
            </w:r>
          </w:p>
        </w:tc>
        <w:tc>
          <w:tcPr>
            <w:tcW w:w="3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Limited Partner Fund Investment</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3/31/2023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1,330,000</w:t>
            </w:r>
          </w:p>
        </w:tc>
        <w:tc>
          <w:tcPr>
            <w:tcW w:w="100" w:type="dxa"/>
            <w:vAlign w:val="bottom"/>
          </w:tcPr>
          <w:p>
            <w:pPr>
              <w:spacing w:after="0"/>
              <w:rPr>
                <w:sz w:val="19"/>
                <w:szCs w:val="19"/>
                <w:color w:val="auto"/>
              </w:rPr>
            </w:pPr>
          </w:p>
        </w:tc>
      </w:tr>
      <w:tr>
        <w:trPr>
          <w:trHeight w:val="188"/>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PayJoy, Inc.</w:t>
            </w:r>
          </w:p>
        </w:tc>
        <w:tc>
          <w:tcPr>
            <w:tcW w:w="3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Simple Agreement for Future Equity (SAFE)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5/25/2023</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6"/>
                <w:szCs w:val="16"/>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ServiceTitan, Inc.</w:t>
            </w:r>
          </w:p>
        </w:tc>
        <w:tc>
          <w:tcPr>
            <w:tcW w:w="3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Common shares</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6/30/2023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9,999,990</w:t>
            </w:r>
          </w:p>
        </w:tc>
        <w:tc>
          <w:tcPr>
            <w:tcW w:w="100" w:type="dxa"/>
            <w:vAlign w:val="bottom"/>
          </w:tcPr>
          <w:p>
            <w:pPr>
              <w:spacing w:after="0"/>
              <w:rPr>
                <w:sz w:val="16"/>
                <w:szCs w:val="16"/>
                <w:color w:val="auto"/>
              </w:rPr>
            </w:pPr>
          </w:p>
        </w:tc>
      </w:tr>
      <w:tr>
        <w:trPr>
          <w:trHeight w:val="188"/>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FourKites, Inc.</w:t>
            </w:r>
          </w:p>
        </w:tc>
        <w:tc>
          <w:tcPr>
            <w:tcW w:w="3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8"/>
              </w:rPr>
              <w:t>Common shares</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4"/>
              </w:rPr>
              <w:t>Various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8,511,174</w:t>
            </w:r>
          </w:p>
        </w:tc>
        <w:tc>
          <w:tcPr>
            <w:tcW w:w="100" w:type="dxa"/>
            <w:vAlign w:val="bottom"/>
            <w:shd w:val="clear" w:color="auto" w:fill="CCEEFF"/>
          </w:tcPr>
          <w:p>
            <w:pPr>
              <w:spacing w:after="0"/>
              <w:rPr>
                <w:sz w:val="16"/>
                <w:szCs w:val="16"/>
                <w:color w:val="auto"/>
              </w:rPr>
            </w:pPr>
          </w:p>
        </w:tc>
      </w:tr>
      <w:tr>
        <w:trPr>
          <w:trHeight w:val="223"/>
        </w:trPr>
        <w:tc>
          <w:tcPr>
            <w:tcW w:w="3840" w:type="dxa"/>
            <w:vAlign w:val="bottom"/>
            <w:gridSpan w:val="2"/>
          </w:tcPr>
          <w:p>
            <w:pPr>
              <w:spacing w:after="0" w:line="223" w:lineRule="exact"/>
              <w:rPr>
                <w:sz w:val="20"/>
                <w:szCs w:val="20"/>
                <w:color w:val="auto"/>
              </w:rPr>
            </w:pPr>
            <w:r>
              <w:rPr>
                <w:rFonts w:ascii="Times New Roman" w:cs="Times New Roman" w:eastAsia="Times New Roman" w:hAnsi="Times New Roman"/>
                <w:sz w:val="15"/>
                <w:szCs w:val="15"/>
                <w:color w:val="auto"/>
              </w:rPr>
              <w:t>Shogun Enterprises, Inc. (d/b/a Hearth)</w:t>
            </w:r>
            <w:r>
              <w:rPr>
                <w:rFonts w:ascii="Times New Roman" w:cs="Times New Roman" w:eastAsia="Times New Roman" w:hAnsi="Times New Roman"/>
                <w:sz w:val="25"/>
                <w:szCs w:val="25"/>
                <w:color w:val="auto"/>
                <w:vertAlign w:val="superscript"/>
              </w:rPr>
              <w:t>(3)</w:t>
            </w:r>
          </w:p>
        </w:tc>
        <w:tc>
          <w:tcPr>
            <w:tcW w:w="3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Preferred shares, Series B-4</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7/12/2023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499,998</w:t>
            </w:r>
          </w:p>
        </w:tc>
        <w:tc>
          <w:tcPr>
            <w:tcW w:w="100" w:type="dxa"/>
            <w:vAlign w:val="bottom"/>
          </w:tcPr>
          <w:p>
            <w:pPr>
              <w:spacing w:after="0"/>
              <w:rPr>
                <w:sz w:val="19"/>
                <w:szCs w:val="19"/>
                <w:color w:val="auto"/>
              </w:rPr>
            </w:pPr>
          </w:p>
        </w:tc>
      </w:tr>
      <w:tr>
        <w:trPr>
          <w:trHeight w:val="188"/>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Stake Trade, Inc. (d/b/a Prophet Exchange)</w:t>
            </w:r>
          </w:p>
        </w:tc>
        <w:tc>
          <w:tcPr>
            <w:tcW w:w="3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Simple Agreement for Future Equity (SAFE)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7/26/2023</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shd w:val="clear" w:color="auto" w:fill="CCEEFF"/>
          </w:tcPr>
          <w:p>
            <w:pPr>
              <w:spacing w:after="0"/>
              <w:rPr>
                <w:sz w:val="16"/>
                <w:szCs w:val="16"/>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Xgroup Holdings Limited (d/b/a Xpoint)</w:t>
            </w:r>
          </w:p>
        </w:tc>
        <w:tc>
          <w:tcPr>
            <w:tcW w:w="3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Convertible Note 6%, Due 8/17/2024</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10/26/2023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325,000</w:t>
            </w:r>
          </w:p>
        </w:tc>
        <w:tc>
          <w:tcPr>
            <w:tcW w:w="100" w:type="dxa"/>
            <w:vAlign w:val="bottom"/>
          </w:tcPr>
          <w:p>
            <w:pPr>
              <w:spacing w:after="0"/>
              <w:rPr>
                <w:sz w:val="16"/>
                <w:szCs w:val="16"/>
                <w:color w:val="auto"/>
              </w:rPr>
            </w:pPr>
          </w:p>
        </w:tc>
      </w:tr>
      <w:tr>
        <w:trPr>
          <w:trHeight w:val="22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Colombier Sponsor II LLC</w:t>
            </w:r>
          </w:p>
        </w:tc>
        <w:tc>
          <w:tcPr>
            <w:tcW w:w="3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Class B Units and Class W Units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11/20/2023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1,600,000</w:t>
            </w:r>
          </w:p>
        </w:tc>
        <w:tc>
          <w:tcPr>
            <w:tcW w:w="100" w:type="dxa"/>
            <w:vAlign w:val="bottom"/>
            <w:shd w:val="clear" w:color="auto" w:fill="CCEEFF"/>
          </w:tcPr>
          <w:p>
            <w:pPr>
              <w:spacing w:after="0"/>
              <w:rPr>
                <w:sz w:val="19"/>
                <w:szCs w:val="19"/>
                <w:color w:val="auto"/>
              </w:rPr>
            </w:pPr>
          </w:p>
        </w:tc>
      </w:tr>
      <w:tr>
        <w:trPr>
          <w:trHeight w:val="183"/>
        </w:trPr>
        <w:tc>
          <w:tcPr>
            <w:tcW w:w="384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3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25,766,162</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9133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jc w:val="both"/>
        <w:ind w:left="566" w:right="20" w:hanging="566"/>
        <w:spacing w:after="0" w:line="252" w:lineRule="auto"/>
        <w:tabs>
          <w:tab w:leader="none" w:pos="56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13, 2023, we invested $2.0 million in Orchard Technologies, Inc.’s Series 1 Senior Preferred financing round. As part of the transaction, we exchanged a portion of our existing Series D Preferred shares investment for Series 1 Senior Preferred shares, Series 2 Senior Preferred shares, and Common shares. Additionally, our previous investment in the Simple Agreement for Future Equity of Orchard Technologies, Inc. was converted into additional Series 1 Senior Preferred shares.</w:t>
      </w:r>
    </w:p>
    <w:p>
      <w:pPr>
        <w:ind w:left="566" w:hanging="566"/>
        <w:spacing w:after="0" w:line="245" w:lineRule="auto"/>
        <w:tabs>
          <w:tab w:leader="none" w:pos="56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31, 2023, the previously unfunded capital commitment of $1.3 million was deemed fully contributed in lieu of cash distributions. On March 31, 2023, the full $2.0 million capital commitment to True Global Ventures 4 Plus Fund LP had been called and funded.</w:t>
      </w:r>
    </w:p>
    <w:p>
      <w:pPr>
        <w:jc w:val="both"/>
        <w:ind w:left="566" w:hanging="566"/>
        <w:spacing w:after="0" w:line="247" w:lineRule="auto"/>
        <w:tabs>
          <w:tab w:leader="none" w:pos="56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12, 2023, we invested $0.5 million in Shogun Enterprises, Inc. (d/b/a Hearth)’s Series B-4 Preferred financing round. As part of the transaction, our previous investment in the Convertible Note of Shogun Enterprises, Inc. (d/b/a Hearth) was converted into Series B-3 Preferred shares. Additionally, we received Common Warrants as part of the transaction.</w:t>
      </w:r>
    </w:p>
    <w:p>
      <w:pPr>
        <w:spacing w:after="0" w:line="169"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6"/>
          <w:szCs w:val="16"/>
          <w:color w:val="auto"/>
        </w:rPr>
        <w:t>During the year ended December 31, 2023, we capitalized fees of $49,269.</w:t>
      </w:r>
    </w:p>
    <w:p>
      <w:pPr>
        <w:spacing w:after="0" w:line="192" w:lineRule="exact"/>
        <w:rPr>
          <w:sz w:val="20"/>
          <w:szCs w:val="20"/>
          <w:color w:val="auto"/>
        </w:rPr>
      </w:pPr>
    </w:p>
    <w:p>
      <w:pPr>
        <w:ind w:left="6" w:right="20" w:firstLine="282"/>
        <w:spacing w:after="0" w:line="270" w:lineRule="auto"/>
        <w:rPr>
          <w:sz w:val="20"/>
          <w:szCs w:val="20"/>
          <w:color w:val="auto"/>
        </w:rPr>
      </w:pPr>
      <w:r>
        <w:rPr>
          <w:rFonts w:ascii="Times New Roman" w:cs="Times New Roman" w:eastAsia="Times New Roman" w:hAnsi="Times New Roman"/>
          <w:sz w:val="16"/>
          <w:szCs w:val="16"/>
          <w:color w:val="auto"/>
        </w:rPr>
        <w:t>During the year ended December 31, 2023, we exited or received proceeds from investments in the amount of $17,338,100, net of transaction costs, and realized a net loss on investments of $11,947,504 (including adjustments to amounts held in escrow receivable) as shown in following table:</w:t>
      </w:r>
    </w:p>
    <w:p>
      <w:pPr>
        <w:spacing w:after="0" w:line="148" w:lineRule="exact"/>
        <w:rPr>
          <w:sz w:val="20"/>
          <w:szCs w:val="20"/>
          <w:color w:val="auto"/>
        </w:rPr>
      </w:pPr>
    </w:p>
    <w:tbl>
      <w:tblPr>
        <w:tblLayout w:type="fixed"/>
        <w:tblInd w:w="6"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Average Net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8"/>
              </w:rPr>
              <w:t>Realized</w:t>
            </w:r>
          </w:p>
        </w:tc>
      </w:tr>
      <w:tr>
        <w:trPr>
          <w:trHeight w:val="242"/>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4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Transaction Date</w:t>
            </w:r>
          </w:p>
        </w:tc>
        <w:tc>
          <w:tcPr>
            <w:tcW w:w="2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2"/>
              <w:spacing w:after="0" w:line="238" w:lineRule="exact"/>
              <w:rPr>
                <w:sz w:val="20"/>
                <w:szCs w:val="20"/>
                <w:color w:val="auto"/>
              </w:rPr>
            </w:pPr>
            <w:r>
              <w:rPr>
                <w:rFonts w:ascii="Times New Roman" w:cs="Times New Roman" w:eastAsia="Times New Roman" w:hAnsi="Times New Roman"/>
                <w:sz w:val="16"/>
                <w:szCs w:val="16"/>
                <w:b w:val="1"/>
                <w:bCs w:val="1"/>
                <w:color w:val="auto"/>
                <w:w w:val="92"/>
              </w:rPr>
              <w:t>Share Price</w:t>
            </w:r>
            <w:r>
              <w:rPr>
                <w:rFonts w:ascii="Times New Roman" w:cs="Times New Roman" w:eastAsia="Times New Roman" w:hAnsi="Times New Roman"/>
                <w:sz w:val="26"/>
                <w:szCs w:val="26"/>
                <w:b w:val="1"/>
                <w:bCs w:val="1"/>
                <w:color w:val="auto"/>
                <w:w w:val="92"/>
                <w:vertAlign w:val="superscript"/>
              </w:rPr>
              <w:t>(1)</w:t>
            </w:r>
          </w:p>
        </w:tc>
        <w:tc>
          <w:tcPr>
            <w:tcW w:w="3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8"/>
              </w:rPr>
              <w:t>Net Proceeds</w:t>
            </w:r>
          </w:p>
        </w:tc>
        <w:tc>
          <w:tcPr>
            <w:tcW w:w="3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
              <w:spacing w:after="0" w:line="238" w:lineRule="exact"/>
              <w:rPr>
                <w:sz w:val="20"/>
                <w:szCs w:val="20"/>
                <w:color w:val="auto"/>
              </w:rPr>
            </w:pPr>
            <w:r>
              <w:rPr>
                <w:rFonts w:ascii="Times New Roman" w:cs="Times New Roman" w:eastAsia="Times New Roman" w:hAnsi="Times New Roman"/>
                <w:sz w:val="16"/>
                <w:szCs w:val="16"/>
                <w:b w:val="1"/>
                <w:bCs w:val="1"/>
                <w:color w:val="auto"/>
                <w:w w:val="93"/>
              </w:rPr>
              <w:t>Gain/(Loss)</w:t>
            </w:r>
            <w:r>
              <w:rPr>
                <w:rFonts w:ascii="Times New Roman" w:cs="Times New Roman" w:eastAsia="Times New Roman" w:hAnsi="Times New Roman"/>
                <w:sz w:val="26"/>
                <w:szCs w:val="26"/>
                <w:b w:val="1"/>
                <w:bCs w:val="1"/>
                <w:color w:val="auto"/>
                <w:w w:val="93"/>
                <w:vertAlign w:val="superscript"/>
              </w:rPr>
              <w:t>(2)</w:t>
            </w:r>
          </w:p>
        </w:tc>
        <w:tc>
          <w:tcPr>
            <w:tcW w:w="120" w:type="dxa"/>
            <w:vAlign w:val="bottom"/>
            <w:tcBorders>
              <w:bottom w:val="single" w:sz="8" w:color="CCEEFF"/>
            </w:tcBorders>
          </w:tcPr>
          <w:p>
            <w:pPr>
              <w:spacing w:after="0"/>
              <w:rPr>
                <w:sz w:val="21"/>
                <w:szCs w:val="21"/>
                <w:color w:val="auto"/>
              </w:rPr>
            </w:pPr>
          </w:p>
        </w:tc>
      </w:tr>
      <w:tr>
        <w:trPr>
          <w:trHeight w:val="223"/>
        </w:trPr>
        <w:tc>
          <w:tcPr>
            <w:tcW w:w="31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Kahoot! ASA</w:t>
            </w:r>
            <w:r>
              <w:rPr>
                <w:rFonts w:ascii="Times New Roman" w:cs="Times New Roman" w:eastAsia="Times New Roman" w:hAnsi="Times New Roman"/>
                <w:sz w:val="25"/>
                <w:szCs w:val="25"/>
                <w:color w:val="auto"/>
                <w:vertAlign w:val="superscript"/>
              </w:rPr>
              <w:t>(3)</w:t>
            </w:r>
          </w:p>
        </w:tc>
        <w:tc>
          <w:tcPr>
            <w:tcW w:w="24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4"/>
              </w:rPr>
              <w:t>Various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38,305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75,601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(100,466)</w:t>
            </w:r>
          </w:p>
        </w:tc>
      </w:tr>
      <w:tr>
        <w:trPr>
          <w:trHeight w:val="175"/>
        </w:trPr>
        <w:tc>
          <w:tcPr>
            <w:tcW w:w="34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NewLake Capital Partners, Inc. (f/k/a</w:t>
            </w:r>
          </w:p>
        </w:tc>
        <w:tc>
          <w:tcPr>
            <w:tcW w:w="2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6"/>
        </w:trPr>
        <w:tc>
          <w:tcPr>
            <w:tcW w:w="3400" w:type="dxa"/>
            <w:vAlign w:val="bottom"/>
            <w:gridSpan w:val="2"/>
          </w:tcPr>
          <w:p>
            <w:pPr>
              <w:spacing w:after="0" w:line="236" w:lineRule="exact"/>
              <w:rPr>
                <w:sz w:val="20"/>
                <w:szCs w:val="20"/>
                <w:color w:val="auto"/>
              </w:rPr>
            </w:pPr>
            <w:r>
              <w:rPr>
                <w:rFonts w:ascii="Times New Roman" w:cs="Times New Roman" w:eastAsia="Times New Roman" w:hAnsi="Times New Roman"/>
                <w:sz w:val="16"/>
                <w:szCs w:val="16"/>
                <w:color w:val="auto"/>
              </w:rPr>
              <w:t>GreenAcreage Real Estate Corp.)</w:t>
            </w:r>
            <w:r>
              <w:rPr>
                <w:rFonts w:ascii="Times New Roman" w:cs="Times New Roman" w:eastAsia="Times New Roman" w:hAnsi="Times New Roman"/>
                <w:sz w:val="26"/>
                <w:szCs w:val="26"/>
                <w:color w:val="auto"/>
                <w:vertAlign w:val="superscript"/>
              </w:rPr>
              <w:t>(4)</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4"/>
              </w:rPr>
              <w:t>Various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229,758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3,776,638</w:t>
            </w: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(903,070)</w:t>
            </w:r>
          </w:p>
        </w:tc>
      </w:tr>
      <w:tr>
        <w:trPr>
          <w:trHeight w:val="223"/>
        </w:trPr>
        <w:tc>
          <w:tcPr>
            <w:tcW w:w="34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Nextdoor Holdings, Inc.</w:t>
            </w:r>
            <w:r>
              <w:rPr>
                <w:rFonts w:ascii="Times New Roman" w:cs="Times New Roman" w:eastAsia="Times New Roman" w:hAnsi="Times New Roman"/>
                <w:sz w:val="25"/>
                <w:szCs w:val="25"/>
                <w:color w:val="auto"/>
                <w:vertAlign w:val="superscript"/>
              </w:rPr>
              <w:t>(5)</w:t>
            </w:r>
          </w:p>
        </w:tc>
        <w:tc>
          <w:tcPr>
            <w:tcW w:w="22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4"/>
              </w:rPr>
              <w:t>Various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1,689,996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5,011,707</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(4,364,489)</w:t>
            </w:r>
          </w:p>
        </w:tc>
      </w:tr>
      <w:tr>
        <w:trPr>
          <w:trHeight w:val="223"/>
        </w:trPr>
        <w:tc>
          <w:tcPr>
            <w:tcW w:w="3400" w:type="dxa"/>
            <w:vAlign w:val="bottom"/>
            <w:gridSpan w:val="2"/>
          </w:tcPr>
          <w:p>
            <w:pPr>
              <w:spacing w:after="0" w:line="223" w:lineRule="exact"/>
              <w:rPr>
                <w:sz w:val="20"/>
                <w:szCs w:val="20"/>
                <w:color w:val="auto"/>
              </w:rPr>
            </w:pPr>
            <w:r>
              <w:rPr>
                <w:rFonts w:ascii="Times New Roman" w:cs="Times New Roman" w:eastAsia="Times New Roman" w:hAnsi="Times New Roman"/>
                <w:sz w:val="15"/>
                <w:szCs w:val="15"/>
                <w:color w:val="auto"/>
              </w:rPr>
              <w:t>Rent the Runway, Inc.</w:t>
            </w:r>
            <w:r>
              <w:rPr>
                <w:rFonts w:ascii="Times New Roman" w:cs="Times New Roman" w:eastAsia="Times New Roman" w:hAnsi="Times New Roman"/>
                <w:sz w:val="25"/>
                <w:szCs w:val="25"/>
                <w:color w:val="auto"/>
                <w:vertAlign w:val="superscript"/>
              </w:rPr>
              <w:t>(6)</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1/4/2023</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79,191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241,456</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(961,837)</w:t>
            </w:r>
          </w:p>
        </w:tc>
      </w:tr>
      <w:tr>
        <w:trPr>
          <w:trHeight w:val="175"/>
        </w:trPr>
        <w:tc>
          <w:tcPr>
            <w:tcW w:w="34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Residential Homes for Rent, LLC (d/b/a Second</w:t>
            </w:r>
          </w:p>
        </w:tc>
        <w:tc>
          <w:tcPr>
            <w:tcW w:w="2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6"/>
        </w:trPr>
        <w:tc>
          <w:tcPr>
            <w:tcW w:w="340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6"/>
                <w:szCs w:val="16"/>
                <w:color w:val="auto"/>
              </w:rPr>
              <w:t>Avenue)</w:t>
            </w:r>
            <w:r>
              <w:rPr>
                <w:rFonts w:ascii="Times New Roman" w:cs="Times New Roman" w:eastAsia="Times New Roman" w:hAnsi="Times New Roman"/>
                <w:sz w:val="26"/>
                <w:szCs w:val="26"/>
                <w:color w:val="auto"/>
                <w:vertAlign w:val="superscript"/>
              </w:rPr>
              <w:t>(7)</w:t>
            </w:r>
          </w:p>
        </w:tc>
        <w:tc>
          <w:tcPr>
            <w:tcW w:w="22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4"/>
              </w:rPr>
              <w:t>Various</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400" w:type="dxa"/>
            <w:vAlign w:val="bottom"/>
            <w:gridSpan w:val="2"/>
          </w:tcPr>
          <w:p>
            <w:pPr>
              <w:spacing w:after="0" w:line="223" w:lineRule="exact"/>
              <w:rPr>
                <w:sz w:val="20"/>
                <w:szCs w:val="20"/>
                <w:color w:val="auto"/>
              </w:rPr>
            </w:pPr>
            <w:r>
              <w:rPr>
                <w:rFonts w:ascii="Times New Roman" w:cs="Times New Roman" w:eastAsia="Times New Roman" w:hAnsi="Times New Roman"/>
                <w:sz w:val="15"/>
                <w:szCs w:val="15"/>
                <w:color w:val="auto"/>
              </w:rPr>
              <w:t>True Global Ventures 4 Plus Pte Ltd</w:t>
            </w:r>
            <w:r>
              <w:rPr>
                <w:rFonts w:ascii="Times New Roman" w:cs="Times New Roman" w:eastAsia="Times New Roman" w:hAnsi="Times New Roman"/>
                <w:sz w:val="25"/>
                <w:szCs w:val="25"/>
                <w:color w:val="auto"/>
                <w:vertAlign w:val="superscript"/>
              </w:rPr>
              <w:t>(8)</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4"/>
              </w:rPr>
              <w:t>Various</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1,699,222</w:t>
            </w:r>
          </w:p>
        </w:tc>
        <w:tc>
          <w:tcPr>
            <w:tcW w:w="80" w:type="dxa"/>
            <w:vAlign w:val="bottom"/>
          </w:tcPr>
          <w:p>
            <w:pPr>
              <w:spacing w:after="0"/>
              <w:rPr>
                <w:sz w:val="19"/>
                <w:szCs w:val="19"/>
                <w:color w:val="auto"/>
              </w:rPr>
            </w:pPr>
          </w:p>
        </w:tc>
        <w:tc>
          <w:tcPr>
            <w:tcW w:w="11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1,330,000</w:t>
            </w:r>
          </w:p>
        </w:tc>
      </w:tr>
      <w:tr>
        <w:trPr>
          <w:trHeight w:val="247"/>
        </w:trPr>
        <w:tc>
          <w:tcPr>
            <w:tcW w:w="3400" w:type="dxa"/>
            <w:vAlign w:val="bottom"/>
            <w:gridSpan w:val="2"/>
            <w:shd w:val="clear" w:color="auto" w:fill="CCEEFF"/>
          </w:tcPr>
          <w:p>
            <w:pPr>
              <w:spacing w:after="0" w:line="247" w:lineRule="exact"/>
              <w:rPr>
                <w:sz w:val="20"/>
                <w:szCs w:val="20"/>
                <w:color w:val="auto"/>
              </w:rPr>
            </w:pPr>
            <w:r>
              <w:rPr>
                <w:rFonts w:ascii="Times New Roman" w:cs="Times New Roman" w:eastAsia="Times New Roman" w:hAnsi="Times New Roman"/>
                <w:sz w:val="16"/>
                <w:szCs w:val="16"/>
                <w:color w:val="auto"/>
              </w:rPr>
              <w:t>Ozy Media, Inc.</w:t>
            </w:r>
            <w:r>
              <w:rPr>
                <w:rFonts w:ascii="Times New Roman" w:cs="Times New Roman" w:eastAsia="Times New Roman" w:hAnsi="Times New Roman"/>
                <w:sz w:val="26"/>
                <w:szCs w:val="26"/>
                <w:color w:val="auto"/>
                <w:vertAlign w:val="superscript"/>
              </w:rPr>
              <w:t>(9)</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5/4/2023</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3,492,465</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(10,945,024)</w:t>
            </w:r>
          </w:p>
        </w:tc>
      </w:tr>
      <w:tr>
        <w:trPr>
          <w:trHeight w:val="175"/>
        </w:trPr>
        <w:tc>
          <w:tcPr>
            <w:tcW w:w="34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 xml:space="preserve">PSQ Holdings, Inc. (d/b/a PublicSquare) </w:t>
            </w:r>
            <w:r>
              <w:rPr>
                <w:rFonts w:ascii="Times New Roman" w:cs="Times New Roman" w:eastAsia="Times New Roman" w:hAnsi="Times New Roman"/>
                <w:sz w:val="16"/>
                <w:szCs w:val="16"/>
                <w:i w:val="1"/>
                <w:iCs w:val="1"/>
                <w:color w:val="auto"/>
              </w:rPr>
              <w:t>-</w:t>
            </w:r>
          </w:p>
        </w:tc>
        <w:tc>
          <w:tcPr>
            <w:tcW w:w="2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0"/>
        </w:trPr>
        <w:tc>
          <w:tcPr>
            <w:tcW w:w="3400" w:type="dxa"/>
            <w:vAlign w:val="bottom"/>
            <w:gridSpan w:val="2"/>
          </w:tcPr>
          <w:p>
            <w:pPr>
              <w:spacing w:after="0" w:line="260" w:lineRule="exact"/>
              <w:rPr>
                <w:sz w:val="20"/>
                <w:szCs w:val="20"/>
                <w:color w:val="auto"/>
              </w:rPr>
            </w:pPr>
            <w:r>
              <w:rPr>
                <w:rFonts w:ascii="Times New Roman" w:cs="Times New Roman" w:eastAsia="Times New Roman" w:hAnsi="Times New Roman"/>
                <w:sz w:val="16"/>
                <w:szCs w:val="16"/>
                <w:i w:val="1"/>
                <w:iCs w:val="1"/>
                <w:color w:val="auto"/>
              </w:rPr>
              <w:t xml:space="preserve">Warrants </w:t>
            </w:r>
            <w:r>
              <w:rPr>
                <w:rFonts w:ascii="Times New Roman" w:cs="Times New Roman" w:eastAsia="Times New Roman" w:hAnsi="Times New Roman"/>
                <w:sz w:val="26"/>
                <w:szCs w:val="26"/>
                <w:color w:val="auto"/>
                <w:vertAlign w:val="superscript"/>
              </w:rPr>
              <w:t>(10)</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4"/>
              </w:rPr>
              <w:t>Various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303,963</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2"/>
                <w:szCs w:val="22"/>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318,369</w:t>
            </w:r>
          </w:p>
        </w:tc>
        <w:tc>
          <w:tcPr>
            <w:tcW w:w="80" w:type="dxa"/>
            <w:vAlign w:val="bottom"/>
          </w:tcPr>
          <w:p>
            <w:pPr>
              <w:spacing w:after="0"/>
              <w:rPr>
                <w:sz w:val="22"/>
                <w:szCs w:val="22"/>
                <w:color w:val="auto"/>
              </w:rPr>
            </w:pPr>
          </w:p>
        </w:tc>
        <w:tc>
          <w:tcPr>
            <w:tcW w:w="11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187,873</w:t>
            </w:r>
          </w:p>
        </w:tc>
      </w:tr>
      <w:tr>
        <w:trPr>
          <w:trHeight w:val="247"/>
        </w:trPr>
        <w:tc>
          <w:tcPr>
            <w:tcW w:w="3400" w:type="dxa"/>
            <w:vAlign w:val="bottom"/>
            <w:gridSpan w:val="2"/>
            <w:shd w:val="clear" w:color="auto" w:fill="CCEEFF"/>
          </w:tcPr>
          <w:p>
            <w:pPr>
              <w:spacing w:after="0" w:line="247" w:lineRule="exact"/>
              <w:rPr>
                <w:sz w:val="20"/>
                <w:szCs w:val="20"/>
                <w:color w:val="auto"/>
              </w:rPr>
            </w:pPr>
            <w:r>
              <w:rPr>
                <w:rFonts w:ascii="Times New Roman" w:cs="Times New Roman" w:eastAsia="Times New Roman" w:hAnsi="Times New Roman"/>
                <w:sz w:val="16"/>
                <w:szCs w:val="16"/>
                <w:color w:val="auto"/>
              </w:rPr>
              <w:t>Forge Global, Inc.</w:t>
            </w:r>
            <w:r>
              <w:rPr>
                <w:rFonts w:ascii="Times New Roman" w:cs="Times New Roman" w:eastAsia="Times New Roman" w:hAnsi="Times New Roman"/>
                <w:sz w:val="26"/>
                <w:szCs w:val="26"/>
                <w:color w:val="auto"/>
                <w:vertAlign w:val="superscript"/>
              </w:rPr>
              <w:t>(11)</w:t>
            </w:r>
          </w:p>
        </w:tc>
        <w:tc>
          <w:tcPr>
            <w:tcW w:w="22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4"/>
              </w:rPr>
              <w:t>Various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1,465,994</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5,215,107</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3,865,611</w:t>
            </w:r>
          </w:p>
        </w:tc>
      </w:tr>
      <w:tr>
        <w:trPr>
          <w:trHeight w:val="203"/>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Churchill Sponsor VI LLC</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12/4/2023</w:t>
            </w:r>
          </w:p>
        </w:tc>
        <w:tc>
          <w:tcPr>
            <w:tcW w:w="240" w:type="dxa"/>
            <w:vAlign w:val="bottom"/>
          </w:tcPr>
          <w:p>
            <w:pPr>
              <w:spacing w:after="0"/>
              <w:rPr>
                <w:sz w:val="17"/>
                <w:szCs w:val="17"/>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(200,000)</w:t>
            </w:r>
          </w:p>
        </w:tc>
      </w:tr>
      <w:tr>
        <w:trPr>
          <w:trHeight w:val="200"/>
        </w:trPr>
        <w:tc>
          <w:tcPr>
            <w:tcW w:w="34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17,338,100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(12,091,402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9133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ind w:left="566" w:hanging="566"/>
        <w:spacing w:after="0"/>
        <w:tabs>
          <w:tab w:leader="none" w:pos="56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19"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gain/(loss) does not include adjustments to amounts held in escrow receivable.</w:t>
      </w:r>
    </w:p>
    <w:p>
      <w:pPr>
        <w:spacing w:after="0" w:line="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8, 2023, we had sold our remaining Kahoot! ASA public common shares.</w:t>
      </w:r>
    </w:p>
    <w:p>
      <w:pPr>
        <w:spacing w:after="0" w:line="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15, 2023, we had sold our remaining NewLake Capital Partners, Inc. public common shares.</w:t>
      </w:r>
    </w:p>
    <w:p>
      <w:pPr>
        <w:spacing w:after="0" w:line="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we held 112,420 remaining Nextdoor Holdings, Inc. public common shares.</w:t>
      </w:r>
    </w:p>
    <w:p>
      <w:pPr>
        <w:spacing w:after="0" w:line="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January 4, 2023, we had sold our remaining Rent the Runway, Inc. public common shares.</w:t>
      </w:r>
    </w:p>
    <w:p>
      <w:pPr>
        <w:spacing w:after="0" w:line="17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59" w:name="page60"/>
    <w:bookmarkEnd w:id="59"/>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left="566" w:hanging="566"/>
        <w:spacing w:after="0" w:line="250" w:lineRule="auto"/>
        <w:tabs>
          <w:tab w:leader="none" w:pos="56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26, 2023, a final payment was received from Residential Homes For Rent, LLC (d/b/a Second Avenue) related to the 15% term loan due December 23, 2023. During the year ended December 31, 2023, approximately $1.1 million was received from Residential Homes for Rent, LLC (d/b/a Second Avenue) related to the 15% term loan due December 23, 2023. Of the proceeds received, approximately $1.0 million repaid a portion of the outstanding principal and the remaining was attributed to interest.</w:t>
      </w:r>
    </w:p>
    <w:p>
      <w:pPr>
        <w:spacing w:after="0" w:line="1" w:lineRule="exact"/>
        <w:rPr>
          <w:rFonts w:ascii="Times New Roman" w:cs="Times New Roman" w:eastAsia="Times New Roman" w:hAnsi="Times New Roman"/>
          <w:sz w:val="16"/>
          <w:szCs w:val="16"/>
          <w:color w:val="auto"/>
        </w:rPr>
      </w:pPr>
    </w:p>
    <w:p>
      <w:pPr>
        <w:ind w:left="566" w:hanging="566"/>
        <w:spacing w:after="0" w:line="245" w:lineRule="auto"/>
        <w:tabs>
          <w:tab w:leader="none" w:pos="56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31, 2023, the previously unfunded capital commitment of $1.3 million to True Global Ventures 4 Plus Pte Ltd was deemed fully contributed in lieu of cash distributions.</w:t>
      </w:r>
    </w:p>
    <w:p>
      <w:pPr>
        <w:ind w:left="566" w:hanging="566"/>
        <w:spacing w:after="0"/>
        <w:tabs>
          <w:tab w:leader="none" w:pos="56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4, 2023, we abandoned our investment in Ozy Media, Inc.</w:t>
      </w:r>
    </w:p>
    <w:p>
      <w:pPr>
        <w:spacing w:after="0" w:line="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we held 2,396,037 remaining PSQ Holdings, Inc. (d/b/a PublicSquare) warrants.</w:t>
      </w:r>
    </w:p>
    <w:p>
      <w:pPr>
        <w:spacing w:after="0" w:line="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we held 1,145,875 remaining Forge Global, Inc. public common shares.</w:t>
      </w:r>
    </w:p>
    <w:p>
      <w:pPr>
        <w:spacing w:after="0" w:line="177"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5"/>
          <w:szCs w:val="15"/>
          <w:color w:val="auto"/>
        </w:rPr>
        <w:t>During the year ended December 31, 2023, our OneValley, Inc. (f/k/a NestGSV, Inc.) Series B preferred warrants with a strike price of $2.31 expired on December 31, 2023.</w:t>
      </w:r>
    </w:p>
    <w:p>
      <w:pPr>
        <w:spacing w:after="0" w:line="20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2022</w:t>
      </w:r>
    </w:p>
    <w:p>
      <w:pPr>
        <w:spacing w:after="0" w:line="196" w:lineRule="exact"/>
        <w:rPr>
          <w:sz w:val="20"/>
          <w:szCs w:val="20"/>
          <w:color w:val="auto"/>
        </w:rPr>
      </w:pPr>
    </w:p>
    <w:p>
      <w:pPr>
        <w:jc w:val="both"/>
        <w:ind w:left="6" w:firstLine="282"/>
        <w:spacing w:after="0" w:line="258" w:lineRule="auto"/>
        <w:rPr>
          <w:sz w:val="20"/>
          <w:szCs w:val="20"/>
          <w:color w:val="auto"/>
        </w:rPr>
      </w:pPr>
      <w:r>
        <w:rPr>
          <w:rFonts w:ascii="Times New Roman" w:cs="Times New Roman" w:eastAsia="Times New Roman" w:hAnsi="Times New Roman"/>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December 31, 2022, of all of our portfolio investments, excluding U.S. Treasury bills, was $157,188,578.</w:t>
      </w:r>
    </w:p>
    <w:p>
      <w:pPr>
        <w:spacing w:after="0" w:line="159" w:lineRule="exact"/>
        <w:rPr>
          <w:sz w:val="20"/>
          <w:szCs w:val="20"/>
          <w:color w:val="auto"/>
        </w:rPr>
      </w:pPr>
    </w:p>
    <w:p>
      <w:pPr>
        <w:jc w:val="both"/>
        <w:ind w:left="6" w:firstLine="282"/>
        <w:spacing w:after="0" w:line="270" w:lineRule="auto"/>
        <w:rPr>
          <w:sz w:val="20"/>
          <w:szCs w:val="20"/>
          <w:color w:val="auto"/>
        </w:rPr>
      </w:pPr>
      <w:r>
        <w:rPr>
          <w:rFonts w:ascii="Times New Roman" w:cs="Times New Roman" w:eastAsia="Times New Roman" w:hAnsi="Times New Roman"/>
          <w:sz w:val="16"/>
          <w:szCs w:val="16"/>
          <w:color w:val="auto"/>
        </w:rPr>
        <w:t>During the year ended December 31, 2022, we funded investments in an aggregate amount of $23,665,080 (not including capitalized transaction costs or investments in short-term U.S. Treasury investments) as shown in the following table:</w:t>
      </w:r>
    </w:p>
    <w:p>
      <w:pPr>
        <w:spacing w:after="0" w:line="160"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3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Investment</w:t>
            </w:r>
          </w:p>
        </w:tc>
        <w:tc>
          <w:tcPr>
            <w:tcW w:w="180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Gross Payments</w:t>
            </w:r>
          </w:p>
        </w:tc>
      </w:tr>
      <w:tr>
        <w:trPr>
          <w:trHeight w:val="188"/>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Shogun Enterprises, Inc. (d/b/a Hearth)</w:t>
            </w:r>
          </w:p>
        </w:tc>
        <w:tc>
          <w:tcPr>
            <w:tcW w:w="24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Convertible Note 0.5%, Due 4/18/2024</w:t>
            </w:r>
          </w:p>
        </w:tc>
        <w:tc>
          <w:tcPr>
            <w:tcW w:w="22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5/2/2022</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EDGE Markets, Inc.</w:t>
            </w:r>
          </w:p>
        </w:tc>
        <w:tc>
          <w:tcPr>
            <w:tcW w:w="3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Preferred shares, Series Seed</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5/18/2022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r>
      <w:tr>
        <w:trPr>
          <w:trHeight w:val="188"/>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Whoop, Inc.</w:t>
            </w:r>
          </w:p>
        </w:tc>
        <w:tc>
          <w:tcPr>
            <w:tcW w:w="3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Preferred shares, Series C</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6/30/2022</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10,000,000</w:t>
            </w:r>
          </w:p>
        </w:tc>
      </w:tr>
      <w:tr>
        <w:trPr>
          <w:trHeight w:val="188"/>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Xgroup Holdings Limited (d/b/a Xpoint)</w:t>
            </w:r>
          </w:p>
        </w:tc>
        <w:tc>
          <w:tcPr>
            <w:tcW w:w="3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Convertible Note 6%, Due 8/17/2023</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8/17/2022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1,000,000</w:t>
            </w:r>
          </w:p>
        </w:tc>
      </w:tr>
      <w:tr>
        <w:trPr>
          <w:trHeight w:val="188"/>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Orchard Technologies, Inc.</w:t>
            </w:r>
          </w:p>
        </w:tc>
        <w:tc>
          <w:tcPr>
            <w:tcW w:w="3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Simple Agreement for Future Equity (SAFE)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9/2/2022</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r>
      <w:tr>
        <w:trPr>
          <w:trHeight w:val="223"/>
        </w:trPr>
        <w:tc>
          <w:tcPr>
            <w:tcW w:w="3840" w:type="dxa"/>
            <w:vAlign w:val="bottom"/>
            <w:gridSpan w:val="2"/>
          </w:tcPr>
          <w:p>
            <w:pPr>
              <w:spacing w:after="0" w:line="223" w:lineRule="exact"/>
              <w:rPr>
                <w:sz w:val="20"/>
                <w:szCs w:val="20"/>
                <w:color w:val="auto"/>
              </w:rPr>
            </w:pPr>
            <w:r>
              <w:rPr>
                <w:rFonts w:ascii="Times New Roman" w:cs="Times New Roman" w:eastAsia="Times New Roman" w:hAnsi="Times New Roman"/>
                <w:sz w:val="15"/>
                <w:szCs w:val="15"/>
                <w:color w:val="auto"/>
              </w:rPr>
              <w:t>Forge Global, Inc.</w:t>
            </w:r>
            <w:r>
              <w:rPr>
                <w:rFonts w:ascii="Times New Roman" w:cs="Times New Roman" w:eastAsia="Times New Roman" w:hAnsi="Times New Roman"/>
                <w:sz w:val="25"/>
                <w:szCs w:val="25"/>
                <w:color w:val="auto"/>
                <w:vertAlign w:val="superscript"/>
              </w:rPr>
              <w:t>(1)</w:t>
            </w:r>
          </w:p>
        </w:tc>
        <w:tc>
          <w:tcPr>
            <w:tcW w:w="3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Common shares</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9/30/2022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915,076</w:t>
            </w:r>
          </w:p>
        </w:tc>
      </w:tr>
      <w:tr>
        <w:trPr>
          <w:trHeight w:val="188"/>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YouBet Technology, Inc. (d/b/a FanPower)</w:t>
            </w:r>
          </w:p>
        </w:tc>
        <w:tc>
          <w:tcPr>
            <w:tcW w:w="3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Preferred shares, Series Seed-2</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11/17/2022</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249,999</w:t>
            </w:r>
          </w:p>
        </w:tc>
      </w:tr>
      <w:tr>
        <w:trPr>
          <w:trHeight w:val="20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Locus Robotics Corp.</w:t>
            </w:r>
          </w:p>
        </w:tc>
        <w:tc>
          <w:tcPr>
            <w:tcW w:w="3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Preferred shares, Series F</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11/30/2022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10,000,005</w:t>
            </w:r>
          </w:p>
        </w:tc>
      </w:tr>
      <w:tr>
        <w:trPr>
          <w:trHeight w:val="200"/>
        </w:trPr>
        <w:tc>
          <w:tcPr>
            <w:tcW w:w="38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3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23,665,080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9133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jc w:val="both"/>
        <w:ind w:left="566" w:right="20" w:hanging="566"/>
        <w:spacing w:after="0" w:line="258" w:lineRule="auto"/>
        <w:tabs>
          <w:tab w:leader="none" w:pos="56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and effective August 5, 2022, we notified Forge Global, Inc. of our intent to net exercise via cashless settlement our 230,144 common warrants in Forge Global, Inc. into 53,283 shares of Forge Global Inc.’s public common stock, pursuant to the net exercise formula in the warrant agreement. The exercise was effectuated on September 30, 2022.</w:t>
      </w:r>
    </w:p>
    <w:p>
      <w:pPr>
        <w:spacing w:after="0" w:line="159"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6"/>
          <w:szCs w:val="16"/>
          <w:color w:val="auto"/>
        </w:rPr>
        <w:t>During the year ended December 31, 2022, we capitalized fees of $33,384.</w:t>
      </w:r>
    </w:p>
    <w:p>
      <w:pPr>
        <w:spacing w:after="0" w:line="192" w:lineRule="exact"/>
        <w:rPr>
          <w:sz w:val="20"/>
          <w:szCs w:val="20"/>
          <w:color w:val="auto"/>
        </w:rPr>
      </w:pPr>
    </w:p>
    <w:p>
      <w:pPr>
        <w:ind w:left="6" w:right="20" w:firstLine="282"/>
        <w:spacing w:after="0" w:line="270" w:lineRule="auto"/>
        <w:rPr>
          <w:sz w:val="20"/>
          <w:szCs w:val="20"/>
          <w:color w:val="auto"/>
        </w:rPr>
      </w:pPr>
      <w:r>
        <w:rPr>
          <w:rFonts w:ascii="Times New Roman" w:cs="Times New Roman" w:eastAsia="Times New Roman" w:hAnsi="Times New Roman"/>
          <w:sz w:val="16"/>
          <w:szCs w:val="16"/>
          <w:color w:val="auto"/>
        </w:rPr>
        <w:t>During the year ended December 31, 2022, we exited or received proceeds from investments in the amount of $9,063,919, net of transaction costs, and realized a net loss on investments of $5,905,453 (including adjustments to amounts held in escrow receivable) as shown in following table:</w:t>
      </w:r>
    </w:p>
    <w:p>
      <w:pPr>
        <w:spacing w:after="0" w:line="148" w:lineRule="exact"/>
        <w:rPr>
          <w:sz w:val="20"/>
          <w:szCs w:val="20"/>
          <w:color w:val="auto"/>
        </w:rPr>
      </w:pPr>
    </w:p>
    <w:tbl>
      <w:tblPr>
        <w:tblLayout w:type="fixed"/>
        <w:tblInd w:w="6"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6"/>
              </w:rPr>
              <w:t>Average Net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Realized</w:t>
            </w:r>
          </w:p>
        </w:tc>
      </w:tr>
      <w:tr>
        <w:trPr>
          <w:trHeight w:val="242"/>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Transaction Date</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21"/>
                <w:szCs w:val="21"/>
                <w:color w:val="auto"/>
              </w:rPr>
            </w:pPr>
          </w:p>
        </w:tc>
        <w:tc>
          <w:tcPr>
            <w:tcW w:w="1440" w:type="dxa"/>
            <w:vAlign w:val="bottom"/>
            <w:gridSpan w:val="3"/>
          </w:tcPr>
          <w:p>
            <w:pPr>
              <w:jc w:val="center"/>
              <w:ind w:right="320"/>
              <w:spacing w:after="0" w:line="238" w:lineRule="exact"/>
              <w:rPr>
                <w:sz w:val="20"/>
                <w:szCs w:val="20"/>
                <w:color w:val="auto"/>
              </w:rPr>
            </w:pPr>
            <w:r>
              <w:rPr>
                <w:rFonts w:ascii="Times New Roman" w:cs="Times New Roman" w:eastAsia="Times New Roman" w:hAnsi="Times New Roman"/>
                <w:sz w:val="16"/>
                <w:szCs w:val="16"/>
                <w:b w:val="1"/>
                <w:bCs w:val="1"/>
                <w:color w:val="auto"/>
                <w:w w:val="92"/>
              </w:rPr>
              <w:t xml:space="preserve">Share Price </w:t>
            </w:r>
            <w:r>
              <w:rPr>
                <w:rFonts w:ascii="Times New Roman" w:cs="Times New Roman" w:eastAsia="Times New Roman" w:hAnsi="Times New Roman"/>
                <w:sz w:val="26"/>
                <w:szCs w:val="26"/>
                <w:b w:val="1"/>
                <w:bCs w:val="1"/>
                <w:color w:val="auto"/>
                <w:w w:val="92"/>
                <w:vertAlign w:val="superscript"/>
              </w:rPr>
              <w:t>(1)</w:t>
            </w:r>
          </w:p>
        </w:tc>
        <w:tc>
          <w:tcPr>
            <w:tcW w:w="100" w:type="dxa"/>
            <w:vAlign w:val="bottom"/>
          </w:tcPr>
          <w:p>
            <w:pPr>
              <w:spacing w:after="0"/>
              <w:rPr>
                <w:sz w:val="21"/>
                <w:szCs w:val="21"/>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w w:val="98"/>
              </w:rPr>
              <w:t>Net Proceeds</w:t>
            </w:r>
          </w:p>
        </w:tc>
        <w:tc>
          <w:tcPr>
            <w:tcW w:w="80" w:type="dxa"/>
            <w:vAlign w:val="bottom"/>
          </w:tcPr>
          <w:p>
            <w:pPr>
              <w:spacing w:after="0"/>
              <w:rPr>
                <w:sz w:val="21"/>
                <w:szCs w:val="21"/>
                <w:color w:val="auto"/>
              </w:rPr>
            </w:pPr>
          </w:p>
        </w:tc>
        <w:tc>
          <w:tcPr>
            <w:tcW w:w="1140" w:type="dxa"/>
            <w:vAlign w:val="bottom"/>
            <w:gridSpan w:val="2"/>
          </w:tcPr>
          <w:p>
            <w:pPr>
              <w:jc w:val="right"/>
              <w:ind w:right="122"/>
              <w:spacing w:after="0" w:line="238" w:lineRule="exact"/>
              <w:rPr>
                <w:sz w:val="20"/>
                <w:szCs w:val="20"/>
                <w:color w:val="auto"/>
              </w:rPr>
            </w:pPr>
            <w:r>
              <w:rPr>
                <w:rFonts w:ascii="Times New Roman" w:cs="Times New Roman" w:eastAsia="Times New Roman" w:hAnsi="Times New Roman"/>
                <w:sz w:val="16"/>
                <w:szCs w:val="16"/>
                <w:b w:val="1"/>
                <w:bCs w:val="1"/>
                <w:color w:val="auto"/>
                <w:w w:val="91"/>
              </w:rPr>
              <w:t>Gain/(Loss)</w:t>
            </w:r>
            <w:r>
              <w:rPr>
                <w:rFonts w:ascii="Times New Roman" w:cs="Times New Roman" w:eastAsia="Times New Roman" w:hAnsi="Times New Roman"/>
                <w:sz w:val="26"/>
                <w:szCs w:val="26"/>
                <w:b w:val="1"/>
                <w:bCs w:val="1"/>
                <w:color w:val="auto"/>
                <w:w w:val="91"/>
                <w:vertAlign w:val="superscript"/>
              </w:rPr>
              <w:t>(2)</w:t>
            </w:r>
          </w:p>
        </w:tc>
      </w:tr>
      <w:tr>
        <w:trPr>
          <w:trHeight w:val="175"/>
        </w:trPr>
        <w:tc>
          <w:tcPr>
            <w:tcW w:w="316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NewLake Capital Partners, Inc. (f/k/a</w:t>
            </w:r>
          </w:p>
        </w:tc>
        <w:tc>
          <w:tcPr>
            <w:tcW w:w="24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6"/>
        </w:trPr>
        <w:tc>
          <w:tcPr>
            <w:tcW w:w="340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6"/>
                <w:szCs w:val="16"/>
                <w:color w:val="auto"/>
              </w:rPr>
              <w:t>GreenAcreage Real Estate Corp.)</w:t>
            </w:r>
            <w:r>
              <w:rPr>
                <w:rFonts w:ascii="Times New Roman" w:cs="Times New Roman" w:eastAsia="Times New Roman" w:hAnsi="Times New Roman"/>
                <w:sz w:val="26"/>
                <w:szCs w:val="26"/>
                <w:color w:val="auto"/>
                <w:vertAlign w:val="superscript"/>
              </w:rPr>
              <w:t>(3)</w:t>
            </w:r>
          </w:p>
        </w:tc>
        <w:tc>
          <w:tcPr>
            <w:tcW w:w="22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4"/>
              </w:rPr>
              <w:t>Various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48,713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1,144,774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170,103</w:t>
            </w:r>
          </w:p>
        </w:tc>
      </w:tr>
      <w:tr>
        <w:trPr>
          <w:trHeight w:val="223"/>
        </w:trPr>
        <w:tc>
          <w:tcPr>
            <w:tcW w:w="3400" w:type="dxa"/>
            <w:vAlign w:val="bottom"/>
            <w:gridSpan w:val="2"/>
          </w:tcPr>
          <w:p>
            <w:pPr>
              <w:spacing w:after="0" w:line="223" w:lineRule="exact"/>
              <w:rPr>
                <w:sz w:val="20"/>
                <w:szCs w:val="20"/>
                <w:color w:val="auto"/>
              </w:rPr>
            </w:pPr>
            <w:r>
              <w:rPr>
                <w:rFonts w:ascii="Times New Roman" w:cs="Times New Roman" w:eastAsia="Times New Roman" w:hAnsi="Times New Roman"/>
                <w:sz w:val="15"/>
                <w:szCs w:val="15"/>
                <w:color w:val="auto"/>
              </w:rPr>
              <w:t>Rover Group, Inc.</w:t>
            </w:r>
            <w:r>
              <w:rPr>
                <w:rFonts w:ascii="Times New Roman" w:cs="Times New Roman" w:eastAsia="Times New Roman" w:hAnsi="Times New Roman"/>
                <w:sz w:val="25"/>
                <w:szCs w:val="25"/>
                <w:color w:val="auto"/>
                <w:vertAlign w:val="superscript"/>
              </w:rPr>
              <w:t>(4)</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4"/>
              </w:rPr>
              <w:t>Various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838,381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4,131,112</w:t>
            </w:r>
          </w:p>
        </w:tc>
        <w:tc>
          <w:tcPr>
            <w:tcW w:w="80" w:type="dxa"/>
            <w:vAlign w:val="bottom"/>
          </w:tcPr>
          <w:p>
            <w:pPr>
              <w:spacing w:after="0"/>
              <w:rPr>
                <w:sz w:val="19"/>
                <w:szCs w:val="19"/>
                <w:color w:val="auto"/>
              </w:rPr>
            </w:pPr>
          </w:p>
        </w:tc>
        <w:tc>
          <w:tcPr>
            <w:tcW w:w="11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1,624,993</w:t>
            </w:r>
          </w:p>
        </w:tc>
      </w:tr>
      <w:tr>
        <w:trPr>
          <w:trHeight w:val="223"/>
        </w:trPr>
        <w:tc>
          <w:tcPr>
            <w:tcW w:w="34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Rent the Runway, Inc.</w:t>
            </w:r>
            <w:r>
              <w:rPr>
                <w:rFonts w:ascii="Times New Roman" w:cs="Times New Roman" w:eastAsia="Times New Roman" w:hAnsi="Times New Roman"/>
                <w:sz w:val="25"/>
                <w:szCs w:val="25"/>
                <w:color w:val="auto"/>
                <w:vertAlign w:val="superscript"/>
              </w:rPr>
              <w:t>(5)</w:t>
            </w:r>
          </w:p>
        </w:tc>
        <w:tc>
          <w:tcPr>
            <w:tcW w:w="22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4"/>
              </w:rPr>
              <w:t>Various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260,000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925,289</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(3,025,364)</w:t>
            </w:r>
          </w:p>
        </w:tc>
      </w:tr>
      <w:tr>
        <w:trPr>
          <w:trHeight w:val="175"/>
        </w:trPr>
        <w:tc>
          <w:tcPr>
            <w:tcW w:w="34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Residential Homes for Rent, LLC (d/b/a Second</w:t>
            </w:r>
          </w:p>
        </w:tc>
        <w:tc>
          <w:tcPr>
            <w:tcW w:w="2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6"/>
        </w:trPr>
        <w:tc>
          <w:tcPr>
            <w:tcW w:w="3400" w:type="dxa"/>
            <w:vAlign w:val="bottom"/>
            <w:gridSpan w:val="2"/>
          </w:tcPr>
          <w:p>
            <w:pPr>
              <w:spacing w:after="0" w:line="236" w:lineRule="exact"/>
              <w:rPr>
                <w:sz w:val="20"/>
                <w:szCs w:val="20"/>
                <w:color w:val="auto"/>
              </w:rPr>
            </w:pPr>
            <w:r>
              <w:rPr>
                <w:rFonts w:ascii="Times New Roman" w:cs="Times New Roman" w:eastAsia="Times New Roman" w:hAnsi="Times New Roman"/>
                <w:sz w:val="16"/>
                <w:szCs w:val="16"/>
                <w:color w:val="auto"/>
              </w:rPr>
              <w:t>Avenue)</w:t>
            </w:r>
            <w:r>
              <w:rPr>
                <w:rFonts w:ascii="Times New Roman" w:cs="Times New Roman" w:eastAsia="Times New Roman" w:hAnsi="Times New Roman"/>
                <w:sz w:val="26"/>
                <w:szCs w:val="26"/>
                <w:color w:val="auto"/>
                <w:vertAlign w:val="superscript"/>
              </w:rPr>
              <w:t>(6)</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4"/>
              </w:rPr>
              <w:t>Various</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1,000,000</w:t>
            </w:r>
          </w:p>
        </w:tc>
        <w:tc>
          <w:tcPr>
            <w:tcW w:w="80" w:type="dxa"/>
            <w:vAlign w:val="bottom"/>
          </w:tcPr>
          <w:p>
            <w:pPr>
              <w:spacing w:after="0"/>
              <w:rPr>
                <w:sz w:val="20"/>
                <w:szCs w:val="20"/>
                <w:color w:val="auto"/>
              </w:rPr>
            </w:pPr>
          </w:p>
        </w:tc>
        <w:tc>
          <w:tcPr>
            <w:tcW w:w="11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4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True Global Ventures 4 Plus Pte Ltd</w:t>
            </w:r>
            <w:r>
              <w:rPr>
                <w:rFonts w:ascii="Times New Roman" w:cs="Times New Roman" w:eastAsia="Times New Roman" w:hAnsi="Times New Roman"/>
                <w:sz w:val="25"/>
                <w:szCs w:val="25"/>
                <w:color w:val="auto"/>
                <w:vertAlign w:val="superscript"/>
              </w:rPr>
              <w:t>(7)</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5/31/2022</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874,470</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160,965</w:t>
            </w:r>
          </w:p>
        </w:tc>
      </w:tr>
      <w:tr>
        <w:trPr>
          <w:trHeight w:val="223"/>
        </w:trPr>
        <w:tc>
          <w:tcPr>
            <w:tcW w:w="3400" w:type="dxa"/>
            <w:vAlign w:val="bottom"/>
            <w:gridSpan w:val="2"/>
          </w:tcPr>
          <w:p>
            <w:pPr>
              <w:spacing w:after="0" w:line="223" w:lineRule="exact"/>
              <w:rPr>
                <w:sz w:val="20"/>
                <w:szCs w:val="20"/>
                <w:color w:val="auto"/>
              </w:rPr>
            </w:pPr>
            <w:r>
              <w:rPr>
                <w:rFonts w:ascii="Times New Roman" w:cs="Times New Roman" w:eastAsia="Times New Roman" w:hAnsi="Times New Roman"/>
                <w:sz w:val="15"/>
                <w:szCs w:val="15"/>
                <w:color w:val="auto"/>
              </w:rPr>
              <w:t>Palantir Lending Trust SPV I</w:t>
            </w:r>
            <w:r>
              <w:rPr>
                <w:rFonts w:ascii="Times New Roman" w:cs="Times New Roman" w:eastAsia="Times New Roman" w:hAnsi="Times New Roman"/>
                <w:sz w:val="25"/>
                <w:szCs w:val="25"/>
                <w:color w:val="auto"/>
                <w:vertAlign w:val="superscript"/>
              </w:rPr>
              <w:t>(8)</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7/14/2022</w:t>
            </w:r>
          </w:p>
        </w:tc>
        <w:tc>
          <w:tcPr>
            <w:tcW w:w="24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611,930</w:t>
            </w:r>
          </w:p>
        </w:tc>
        <w:tc>
          <w:tcPr>
            <w:tcW w:w="80" w:type="dxa"/>
            <w:vAlign w:val="bottom"/>
          </w:tcPr>
          <w:p>
            <w:pPr>
              <w:spacing w:after="0"/>
              <w:rPr>
                <w:sz w:val="19"/>
                <w:szCs w:val="19"/>
                <w:color w:val="auto"/>
              </w:rPr>
            </w:pPr>
          </w:p>
        </w:tc>
        <w:tc>
          <w:tcPr>
            <w:tcW w:w="114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610,790</w:t>
            </w:r>
          </w:p>
        </w:tc>
      </w:tr>
      <w:tr>
        <w:trPr>
          <w:trHeight w:val="223"/>
        </w:trPr>
        <w:tc>
          <w:tcPr>
            <w:tcW w:w="34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Enjoy Technology, Inc.</w:t>
            </w:r>
            <w:r>
              <w:rPr>
                <w:rFonts w:ascii="Times New Roman" w:cs="Times New Roman" w:eastAsia="Times New Roman" w:hAnsi="Times New Roman"/>
                <w:sz w:val="25"/>
                <w:szCs w:val="25"/>
                <w:color w:val="auto"/>
                <w:vertAlign w:val="superscript"/>
              </w:rPr>
              <w:t>(9)</w:t>
            </w:r>
          </w:p>
        </w:tc>
        <w:tc>
          <w:tcPr>
            <w:tcW w:w="22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color w:val="auto"/>
                <w:w w:val="94"/>
              </w:rPr>
              <w:t>Various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947,297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246,134</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(5,280,642)</w:t>
            </w:r>
          </w:p>
        </w:tc>
      </w:tr>
      <w:tr>
        <w:trPr>
          <w:trHeight w:val="239"/>
        </w:trPr>
        <w:tc>
          <w:tcPr>
            <w:tcW w:w="3400" w:type="dxa"/>
            <w:vAlign w:val="bottom"/>
            <w:gridSpan w:val="2"/>
          </w:tcPr>
          <w:p>
            <w:pPr>
              <w:spacing w:after="0" w:line="235" w:lineRule="exact"/>
              <w:rPr>
                <w:sz w:val="20"/>
                <w:szCs w:val="20"/>
                <w:color w:val="auto"/>
              </w:rPr>
            </w:pPr>
            <w:r>
              <w:rPr>
                <w:rFonts w:ascii="Times New Roman" w:cs="Times New Roman" w:eastAsia="Times New Roman" w:hAnsi="Times New Roman"/>
                <w:sz w:val="16"/>
                <w:szCs w:val="16"/>
                <w:color w:val="auto"/>
              </w:rPr>
              <w:t>Kahoot! ASA</w:t>
            </w:r>
            <w:r>
              <w:rPr>
                <w:rFonts w:ascii="Times New Roman" w:cs="Times New Roman" w:eastAsia="Times New Roman" w:hAnsi="Times New Roman"/>
                <w:sz w:val="26"/>
                <w:szCs w:val="26"/>
                <w:color w:val="auto"/>
                <w:vertAlign w:val="superscript"/>
              </w:rPr>
              <w:t>(10)</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10/19/2022</w:t>
            </w:r>
          </w:p>
        </w:tc>
        <w:tc>
          <w:tcPr>
            <w:tcW w:w="2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61,367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130,210</w:t>
            </w: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(151,861)</w:t>
            </w:r>
          </w:p>
        </w:tc>
      </w:tr>
      <w:tr>
        <w:trPr>
          <w:trHeight w:val="200"/>
        </w:trPr>
        <w:tc>
          <w:tcPr>
            <w:tcW w:w="34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9,063,919</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(5,891,016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9133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ind w:left="566" w:hanging="566"/>
        <w:spacing w:after="0"/>
        <w:tabs>
          <w:tab w:leader="none" w:pos="56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19"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gain/(loss) does not include adjustments to amounts held in escrow receivable.</w:t>
      </w:r>
    </w:p>
    <w:p>
      <w:pPr>
        <w:spacing w:after="0" w:line="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2022, we held 229,758 remaining NewLake Capital Partners, Inc. public common shares.</w:t>
      </w:r>
    </w:p>
    <w:p>
      <w:pPr>
        <w:spacing w:after="0" w:line="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October 11, 2022, we had sold all our public common shares of Rover Group, Inc.</w:t>
      </w:r>
    </w:p>
    <w:p>
      <w:pPr>
        <w:spacing w:after="0" w:line="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2022, we held 79,191 remaining Rent the Runway, Inc. public common shares.</w:t>
      </w:r>
    </w:p>
    <w:p>
      <w:pPr>
        <w:spacing w:after="0" w:line="4" w:lineRule="exact"/>
        <w:rPr>
          <w:rFonts w:ascii="Times New Roman" w:cs="Times New Roman" w:eastAsia="Times New Roman" w:hAnsi="Times New Roman"/>
          <w:sz w:val="16"/>
          <w:szCs w:val="16"/>
          <w:color w:val="auto"/>
        </w:rPr>
      </w:pPr>
    </w:p>
    <w:p>
      <w:pPr>
        <w:jc w:val="both"/>
        <w:ind w:left="566" w:hanging="566"/>
        <w:spacing w:after="0" w:line="245" w:lineRule="auto"/>
        <w:tabs>
          <w:tab w:leader="none" w:pos="56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2022, approximately $1.2 million has been received from Residential Homes for Rent, LLC (d/b/a Second Avenue) related to the 15% term loan due December 23, 2023. Of the proceeds received, approximately $1.0 million repaid a portion of the outstanding principal and the remaining was attributed to interest.</w:t>
      </w:r>
    </w:p>
    <w:p>
      <w:pPr>
        <w:ind w:left="566" w:hanging="566"/>
        <w:spacing w:after="0"/>
        <w:tabs>
          <w:tab w:leader="none" w:pos="56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31, 2022, we received an $874,470 cash distribution from True Global Ventures 4 Plus Pte Ltd.</w:t>
      </w:r>
    </w:p>
    <w:p>
      <w:pPr>
        <w:spacing w:after="0" w:line="4" w:lineRule="exact"/>
        <w:rPr>
          <w:rFonts w:ascii="Times New Roman" w:cs="Times New Roman" w:eastAsia="Times New Roman" w:hAnsi="Times New Roman"/>
          <w:sz w:val="16"/>
          <w:szCs w:val="16"/>
          <w:color w:val="auto"/>
        </w:rPr>
      </w:pPr>
    </w:p>
    <w:p>
      <w:pPr>
        <w:jc w:val="both"/>
        <w:ind w:left="566" w:hanging="566"/>
        <w:spacing w:after="0" w:line="247" w:lineRule="auto"/>
        <w:tabs>
          <w:tab w:leader="none" w:pos="566"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14, 2022, a final payment was received for the remaining 512,290 Class A common shares of Palantir Technologies, Inc. that comprised the beneficial equity interest in underlying shares. The realized gain from our investment in Palantir Lending Trust SPV I is generated by the proceeds from the sale of shares collateralizing the repaid promissory note to Palantir Lending Trust SPV I and attributable to the Equity Participation in Underlying Collateral.</w:t>
      </w:r>
    </w:p>
    <w:p>
      <w:pPr>
        <w:sectPr>
          <w:pgSz w:w="11900" w:h="16838" w:orient="portrait"/>
          <w:cols w:equalWidth="0" w:num="1">
            <w:col w:w="11266"/>
          </w:cols>
          <w:pgMar w:left="314" w:top="217" w:right="319" w:bottom="1440" w:gutter="0" w:footer="0" w:header="0"/>
        </w:sectPr>
      </w:pPr>
    </w:p>
    <w:p>
      <w:pPr>
        <w:spacing w:after="0" w:line="169"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type w:val="continuous"/>
        </w:sectPr>
      </w:pPr>
    </w:p>
    <w:bookmarkStart w:id="60" w:name="page61"/>
    <w:bookmarkEnd w:id="60"/>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ind w:left="566" w:hanging="566"/>
        <w:spacing w:after="0"/>
        <w:tabs>
          <w:tab w:leader="none" w:pos="56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August 12, 2022, we had sold all its public common shares of Enjoy Technology, Inc.</w:t>
      </w:r>
    </w:p>
    <w:p>
      <w:pPr>
        <w:spacing w:after="0" w:line="19"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2022, we held 38,305 remaining Kahoot! ASA public common shares.</w:t>
      </w:r>
    </w:p>
    <w:p>
      <w:pPr>
        <w:spacing w:after="0" w:line="177" w:lineRule="exact"/>
        <w:rPr>
          <w:sz w:val="20"/>
          <w:szCs w:val="20"/>
          <w:color w:val="auto"/>
        </w:rPr>
      </w:pPr>
    </w:p>
    <w:p>
      <w:pPr>
        <w:ind w:left="6" w:right="20" w:firstLine="282"/>
        <w:spacing w:after="0" w:line="270" w:lineRule="auto"/>
        <w:rPr>
          <w:sz w:val="20"/>
          <w:szCs w:val="20"/>
          <w:color w:val="auto"/>
        </w:rPr>
      </w:pPr>
      <w:r>
        <w:rPr>
          <w:rFonts w:ascii="Times New Roman" w:cs="Times New Roman" w:eastAsia="Times New Roman" w:hAnsi="Times New Roman"/>
          <w:sz w:val="16"/>
          <w:szCs w:val="16"/>
          <w:color w:val="auto"/>
        </w:rPr>
        <w:t>During the year ended December 31, 2022, we did not write-off any investments and our OneValley, Inc. (f/k/a NestGSV, Inc.) Series B preferred warrants with a strike price of $2.31 expired on May 29, 2022.</w:t>
      </w:r>
    </w:p>
    <w:p>
      <w:pPr>
        <w:spacing w:after="0" w:line="1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 Ended December 31, 2023, 2022, and 2021</w:t>
      </w:r>
    </w:p>
    <w:p>
      <w:pPr>
        <w:spacing w:after="0" w:line="19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6"/>
          <w:szCs w:val="16"/>
          <w:color w:val="auto"/>
        </w:rPr>
        <w:t>Operating results for the years ended December 31, 2023, 2022, and 2021 are as follows:</w:t>
      </w:r>
    </w:p>
    <w:p>
      <w:pPr>
        <w:spacing w:after="0" w:line="202"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8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r>
      <w:tr>
        <w:trPr>
          <w:trHeight w:val="18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6,596,780</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3,456,193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1,470,842</w:t>
            </w:r>
          </w:p>
        </w:tc>
        <w:tc>
          <w:tcPr>
            <w:tcW w:w="120" w:type="dxa"/>
            <w:vAlign w:val="bottom"/>
            <w:shd w:val="clear" w:color="auto" w:fill="CCEEFF"/>
          </w:tcPr>
          <w:p>
            <w:pPr>
              <w:spacing w:after="0"/>
              <w:rPr>
                <w:sz w:val="16"/>
                <w:szCs w:val="16"/>
                <w:color w:val="auto"/>
              </w:rPr>
            </w:pPr>
          </w:p>
        </w:tc>
      </w:tr>
      <w:tr>
        <w:trPr>
          <w:trHeight w:val="188"/>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5,885,470</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2,914,954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897,772</w:t>
            </w:r>
          </w:p>
        </w:tc>
      </w:tr>
      <w:tr>
        <w:trPr>
          <w:trHeight w:val="18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income</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711,310</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541,239</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573,070</w:t>
            </w:r>
          </w:p>
        </w:tc>
      </w:tr>
      <w:tr>
        <w:trPr>
          <w:trHeight w:val="188"/>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20,036,389</w:t>
            </w:r>
          </w:p>
        </w:tc>
        <w:tc>
          <w:tcPr>
            <w:tcW w:w="5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18,164,201</w:t>
            </w:r>
          </w:p>
        </w:tc>
        <w:tc>
          <w:tcPr>
            <w:tcW w:w="52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11,401,661</w:t>
            </w:r>
          </w:p>
        </w:tc>
      </w:tr>
      <w:tr>
        <w:trPr>
          <w:trHeight w:val="18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9,482,867</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7,566,452</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6,162,716</w:t>
            </w:r>
          </w:p>
        </w:tc>
      </w:tr>
      <w:tr>
        <w:trPr>
          <w:trHeight w:val="188"/>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Directors’ fees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645,548</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675,716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752,442</w:t>
            </w:r>
          </w:p>
        </w:tc>
      </w:tr>
      <w:tr>
        <w:trPr>
          <w:trHeight w:val="18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2,602,894</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3,395,260</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2,665,689</w:t>
            </w:r>
          </w:p>
        </w:tc>
      </w:tr>
      <w:tr>
        <w:trPr>
          <w:trHeight w:val="188"/>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4,858,049</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4,845,549</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693,526</w:t>
            </w:r>
          </w:p>
        </w:tc>
      </w:tr>
      <w:tr>
        <w:trPr>
          <w:trHeight w:val="18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624,049</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82,238</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9,347</w:t>
            </w:r>
          </w:p>
        </w:tc>
      </w:tr>
      <w:tr>
        <w:trPr>
          <w:trHeight w:val="188"/>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1,822,982</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1,598,986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1,117,941</w:t>
            </w:r>
          </w:p>
        </w:tc>
      </w:tr>
      <w:tr>
        <w:trPr>
          <w:trHeight w:val="18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Investment Loss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(13,439,609)</w:t>
            </w:r>
          </w:p>
        </w:tc>
        <w:tc>
          <w:tcPr>
            <w:tcW w:w="5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(14,708,008)</w:t>
            </w:r>
          </w:p>
        </w:tc>
        <w:tc>
          <w:tcPr>
            <w:tcW w:w="52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(9,930,819)</w:t>
            </w:r>
          </w:p>
        </w:tc>
      </w:tr>
      <w:tr>
        <w:trPr>
          <w:trHeight w:val="188"/>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(11,947,504)</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(5,905,453)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218,735,504</w:t>
            </w:r>
          </w:p>
        </w:tc>
      </w:tr>
      <w:tr>
        <w:trPr>
          <w:trHeight w:val="18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30,453,935</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(111,563,592)</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(61,732,964)</w:t>
            </w:r>
          </w:p>
        </w:tc>
      </w:tr>
      <w:tr>
        <w:trPr>
          <w:trHeight w:val="206"/>
        </w:trPr>
        <w:tc>
          <w:tcPr>
            <w:tcW w:w="4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5,066,822</w:t>
            </w:r>
          </w:p>
        </w:tc>
        <w:tc>
          <w:tcPr>
            <w:tcW w:w="5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(132,177,053)</w:t>
            </w:r>
          </w:p>
        </w:tc>
        <w:tc>
          <w:tcPr>
            <w:tcW w:w="52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147,071,721</w:t>
            </w:r>
          </w:p>
        </w:tc>
      </w:tr>
      <w:tr>
        <w:trPr>
          <w:trHeight w:val="362"/>
        </w:trPr>
        <w:tc>
          <w:tcPr>
            <w:tcW w:w="4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342"/>
              <w:spacing w:after="0"/>
              <w:rPr>
                <w:sz w:val="20"/>
                <w:szCs w:val="20"/>
                <w:color w:val="auto"/>
              </w:rPr>
            </w:pPr>
            <w:r>
              <w:rPr>
                <w:rFonts w:ascii="Times New Roman" w:cs="Times New Roman" w:eastAsia="Times New Roman" w:hAnsi="Times New Roman"/>
                <w:sz w:val="16"/>
                <w:szCs w:val="16"/>
                <w:color w:val="auto"/>
                <w:w w:val="99"/>
              </w:rPr>
              <w:t>58</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6"/>
          </w:cols>
          <w:pgMar w:left="314" w:top="217"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the year ended December 31, 2023 as compared to the year ended December 31, 2022</w:t>
      </w:r>
    </w:p>
    <w:p>
      <w:pPr>
        <w:spacing w:after="0" w:line="194"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6"/>
          <w:szCs w:val="16"/>
          <w:color w:val="auto"/>
        </w:rPr>
        <w:t>Investment income increased to $6,596,780 for the year ended December 31, 2023 from $3,456,193 for the year ended December 31, 2022. The net increase between periods was due to increases in interest income from U.S. Treasury Bills and interest on idle cash, plus an increase in dividend income from SPBRX, INC. (f/k/a GSV Sustainability Partners, Inc.). The increase was offset by a decrease in interest income from Architect Capital PayJoy SPV, LLC, Residential Homes for Rent, LLC (d/b/a Second Avenue), and a decrease in dividend income from NewLake Capital Partners, Inc. (f/k/a GreenAcreage Real Estate Corp.) during the year ended December 31, 2023, relative to the year ended December 31,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the year ended December 31, 2022 as compared to the year ended December 31, 2021</w:t>
      </w:r>
    </w:p>
    <w:p>
      <w:pPr>
        <w:spacing w:after="0" w:line="194"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6"/>
          <w:szCs w:val="16"/>
          <w:color w:val="auto"/>
        </w:rPr>
        <w:t>Investment income increased to $3,456,193 for the year ended December 31, 2022 from $1,470,842 for the year ended December 31, 2021. The net increase between periods was due to increases in interest income from U.S. Treasury Bills, Xgroup Holdings Limited (d/b/a Xpoint), Architect Capital PayJoy SPV, LLC, and Shogun Enterprises, Inc. (d/b/a Hearth) plus an increase in dividend income from NewLake Capital Partners, Inc. (f/k/a GreenAcreage Real Estate Corp.) and interest on idle cash. The increase was offset by a decrease in interest income from Residential Homes for Rent, LLC (d/b/a Second Avenue) and Neutron Holdings, Inc. (d/b/a/ Lime), plus a cessation in dividend income from Treehouse Real Estate Investment Trust, Inc. during the year ended December 31, 2022, relative to the year ended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the year ended December 31, 2023 as compared to the year ended December 31, 2022</w:t>
      </w:r>
    </w:p>
    <w:p>
      <w:pPr>
        <w:spacing w:after="0" w:line="194" w:lineRule="exact"/>
        <w:rPr>
          <w:sz w:val="20"/>
          <w:szCs w:val="20"/>
          <w:color w:val="auto"/>
        </w:rPr>
      </w:pPr>
    </w:p>
    <w:p>
      <w:pPr>
        <w:jc w:val="both"/>
        <w:ind w:right="20" w:firstLine="317"/>
        <w:spacing w:after="0" w:line="258" w:lineRule="auto"/>
        <w:rPr>
          <w:sz w:val="20"/>
          <w:szCs w:val="20"/>
          <w:color w:val="auto"/>
        </w:rPr>
      </w:pPr>
      <w:r>
        <w:rPr>
          <w:rFonts w:ascii="Times New Roman" w:cs="Times New Roman" w:eastAsia="Times New Roman" w:hAnsi="Times New Roman"/>
          <w:sz w:val="16"/>
          <w:szCs w:val="16"/>
          <w:color w:val="auto"/>
        </w:rPr>
        <w:t>Total operating expenses increased to $20,036,389 for the year ended December 31, 2023 from $18,164,201 for the year ended December 31, 2022. The increase in operating expense was primarily due to an increase in compensation expense associated with an increased headcount and stock-based compensation expense, and income tax expense related to blocker corporations, offset by a decrease in professional fees during the year ended December 31, 2023, relative to the year ended December 31,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the year ended December 31, 2022 as compared to the year ended December 31, 2021</w:t>
      </w:r>
    </w:p>
    <w:p>
      <w:pPr>
        <w:spacing w:after="0" w:line="194" w:lineRule="exact"/>
        <w:rPr>
          <w:sz w:val="20"/>
          <w:szCs w:val="20"/>
          <w:color w:val="auto"/>
        </w:rPr>
      </w:pPr>
    </w:p>
    <w:p>
      <w:pPr>
        <w:jc w:val="both"/>
        <w:ind w:right="20" w:firstLine="317"/>
        <w:spacing w:after="0" w:line="258" w:lineRule="auto"/>
        <w:rPr>
          <w:sz w:val="20"/>
          <w:szCs w:val="20"/>
          <w:color w:val="auto"/>
        </w:rPr>
      </w:pPr>
      <w:r>
        <w:rPr>
          <w:rFonts w:ascii="Times New Roman" w:cs="Times New Roman" w:eastAsia="Times New Roman" w:hAnsi="Times New Roman"/>
          <w:sz w:val="16"/>
          <w:szCs w:val="16"/>
          <w:color w:val="auto"/>
        </w:rPr>
        <w:t>Total operating expenses increased to $18,164,201 for the year ended December 31, 2022 from $11,401,661 for the year ended December 31, 2021. The increase in operating expense was primarily due to an increase in interest expense, compensation expense, and professional fees during the year ended December 31, 2022, relative to the year ended December 31,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Investment Loss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the year ended December 31, 2023 as compared to the year ended December 31, 2022</w:t>
      </w:r>
    </w:p>
    <w:p>
      <w:pPr>
        <w:spacing w:after="0" w:line="194" w:lineRule="exact"/>
        <w:rPr>
          <w:sz w:val="20"/>
          <w:szCs w:val="20"/>
          <w:color w:val="auto"/>
        </w:rPr>
      </w:pPr>
    </w:p>
    <w:p>
      <w:pPr>
        <w:jc w:val="both"/>
        <w:ind w:firstLine="317"/>
        <w:spacing w:after="0" w:line="258" w:lineRule="auto"/>
        <w:rPr>
          <w:sz w:val="20"/>
          <w:szCs w:val="20"/>
          <w:color w:val="auto"/>
        </w:rPr>
      </w:pPr>
      <w:r>
        <w:rPr>
          <w:rFonts w:ascii="Times New Roman" w:cs="Times New Roman" w:eastAsia="Times New Roman" w:hAnsi="Times New Roman"/>
          <w:sz w:val="16"/>
          <w:szCs w:val="16"/>
          <w:color w:val="auto"/>
        </w:rPr>
        <w:t>For the year ended December 31, 2023, we recognized a net investment loss of $13,439,609, compared to a net investment loss of $14,708,008 for the year ended December 31, 2022. The change between periods resulted from an increase in total investment income, offset by an increase in operating expenses during the year ended December 31, 2023, relative to the year ended December 31, 2022.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the year ended December 31, 2022 as compared to the year ended December 31, 2021</w:t>
      </w:r>
    </w:p>
    <w:p>
      <w:pPr>
        <w:spacing w:after="0" w:line="194" w:lineRule="exact"/>
        <w:rPr>
          <w:sz w:val="20"/>
          <w:szCs w:val="20"/>
          <w:color w:val="auto"/>
        </w:rPr>
      </w:pPr>
    </w:p>
    <w:p>
      <w:pPr>
        <w:jc w:val="both"/>
        <w:ind w:right="20" w:firstLine="317"/>
        <w:spacing w:after="0" w:line="258" w:lineRule="auto"/>
        <w:rPr>
          <w:sz w:val="20"/>
          <w:szCs w:val="20"/>
          <w:color w:val="auto"/>
        </w:rPr>
      </w:pPr>
      <w:r>
        <w:rPr>
          <w:rFonts w:ascii="Times New Roman" w:cs="Times New Roman" w:eastAsia="Times New Roman" w:hAnsi="Times New Roman"/>
          <w:sz w:val="16"/>
          <w:szCs w:val="16"/>
          <w:color w:val="auto"/>
        </w:rPr>
        <w:t>For the year ended December 31, 2022, we recognized a net investment loss of $14,708,008, compared to a net investment loss of $9,930,819 for the year ended December 31, 2021. The change between periods resulted from the increase in operating expenses offset by an increase in total investment income between periods during the year ended December 31, 2022, relative to the year ended December 31,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Realized Loss on Investments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the year ended December 31, 2023 as compared to the year ended December 31, 2022</w:t>
      </w:r>
    </w:p>
    <w:p>
      <w:pPr>
        <w:spacing w:after="0" w:line="194" w:lineRule="exact"/>
        <w:rPr>
          <w:sz w:val="20"/>
          <w:szCs w:val="20"/>
          <w:color w:val="auto"/>
        </w:rPr>
      </w:pPr>
    </w:p>
    <w:p>
      <w:pPr>
        <w:jc w:val="both"/>
        <w:ind w:firstLine="317"/>
        <w:spacing w:after="0" w:line="258" w:lineRule="auto"/>
        <w:rPr>
          <w:sz w:val="20"/>
          <w:szCs w:val="20"/>
          <w:color w:val="auto"/>
        </w:rPr>
      </w:pPr>
      <w:r>
        <w:rPr>
          <w:rFonts w:ascii="Times New Roman" w:cs="Times New Roman" w:eastAsia="Times New Roman" w:hAnsi="Times New Roman"/>
          <w:sz w:val="16"/>
          <w:szCs w:val="16"/>
          <w:color w:val="auto"/>
        </w:rPr>
        <w:t>For the year ended December 31, 2023, we recognized a net realized loss on our investments of $11,947,504, compared to a net realized loss of $5,905,453 for the year ended December 31, 2022. The components of our net realized losses on portfolio investments for the year ended December 31, 2023 and 2022, excluding short-term U.S. Treasury bills and fluctuations in escrow receivables estimates, are reflected in the tables above, under “—Portfolio and Investment Activity.”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the year ended December 31, 2022 as compared to the year ended December 31, 2021</w:t>
      </w:r>
    </w:p>
    <w:p>
      <w:pPr>
        <w:spacing w:after="0" w:line="194" w:lineRule="exact"/>
        <w:rPr>
          <w:sz w:val="20"/>
          <w:szCs w:val="20"/>
          <w:color w:val="auto"/>
        </w:rPr>
      </w:pPr>
    </w:p>
    <w:p>
      <w:pPr>
        <w:jc w:val="both"/>
        <w:ind w:firstLine="317"/>
        <w:spacing w:after="0" w:line="258" w:lineRule="auto"/>
        <w:rPr>
          <w:sz w:val="20"/>
          <w:szCs w:val="20"/>
          <w:color w:val="auto"/>
        </w:rPr>
      </w:pPr>
      <w:r>
        <w:rPr>
          <w:rFonts w:ascii="Times New Roman" w:cs="Times New Roman" w:eastAsia="Times New Roman" w:hAnsi="Times New Roman"/>
          <w:sz w:val="16"/>
          <w:szCs w:val="16"/>
          <w:color w:val="auto"/>
        </w:rPr>
        <w:t>For the year ended December 31, 2022, we recognized a net realized loss on our investments of $5,905,453, compared to a net realized gain of $218,735,504 for the year ended December 31, 2021. The components of our net realized gains and losses on portfolio investments for the year ended December 31, 2022 and 2021, excluding U.S. Treasury investments and fluctuations in escrow receivables estimates, are reflected in the tables above, under “—Portfolio and Investment Activity.”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62" w:name="page63"/>
    <w:bookmarkEnd w:id="62"/>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Net Change in Unrealized Appreciation/(Depreciation) of Investments</w:t>
      </w:r>
    </w:p>
    <w:p>
      <w:pPr>
        <w:spacing w:after="0" w:line="196" w:lineRule="exact"/>
        <w:rPr>
          <w:sz w:val="20"/>
          <w:szCs w:val="20"/>
          <w:color w:val="auto"/>
        </w:rPr>
      </w:pPr>
    </w:p>
    <w:p>
      <w:pPr>
        <w:jc w:val="both"/>
        <w:ind w:left="6" w:firstLine="282"/>
        <w:spacing w:after="0" w:line="253" w:lineRule="auto"/>
        <w:rPr>
          <w:sz w:val="20"/>
          <w:szCs w:val="20"/>
          <w:color w:val="auto"/>
        </w:rPr>
      </w:pPr>
      <w:r>
        <w:rPr>
          <w:rFonts w:ascii="Times New Roman" w:cs="Times New Roman" w:eastAsia="Times New Roman" w:hAnsi="Times New Roman"/>
          <w:sz w:val="16"/>
          <w:szCs w:val="16"/>
          <w:color w:val="auto"/>
        </w:rPr>
        <w:t>For the year ended December 31, 2023, we had a net change in unrealized appreciation/(depreciation) of $30,453,935. For the year ended December 31, 2022, we had a net change in unrealized appreciation/(depreciation) of $(111,563,592). For the year ended December 31, 2021, we had a net change in unrealized appreciation/depreciation of $(61,732,964). The following tables summarize, by portfolio company, the significant changes in unrealized appreciation/(depreciation) of our investment portfolio for the year ended December 31, 2023, 2022, and 2021.</w:t>
      </w:r>
    </w:p>
    <w:p>
      <w:pPr>
        <w:spacing w:after="0" w:line="162" w:lineRule="exact"/>
        <w:rPr>
          <w:sz w:val="20"/>
          <w:szCs w:val="20"/>
          <w:color w:val="auto"/>
        </w:rPr>
      </w:pPr>
    </w:p>
    <w:tbl>
      <w:tblPr>
        <w:tblLayout w:type="fixed"/>
        <w:tblInd w:w="1406" w:type="dxa"/>
        <w:tblCellMar>
          <w:top w:w="0" w:type="dxa"/>
          <w:left w:w="0" w:type="dxa"/>
          <w:bottom w:w="0" w:type="dxa"/>
          <w:right w:w="0" w:type="dxa"/>
        </w:tblCellMar>
      </w:tblP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Net Change in</w:t>
            </w: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Appreciation</w:t>
            </w: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/(Depreciation)</w:t>
            </w: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For the Year Ended</w:t>
            </w:r>
          </w:p>
        </w:tc>
      </w:tr>
      <w:tr>
        <w:trPr>
          <w:trHeight w:val="210"/>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80" w:type="dxa"/>
            <w:vAlign w:val="bottom"/>
            <w:tcBorders>
              <w:bottom w:val="single" w:sz="8" w:color="CCEEFF"/>
            </w:tcBorders>
            <w:gridSpan w:val="2"/>
          </w:tcPr>
          <w:p>
            <w:pPr>
              <w:spacing w:after="0"/>
              <w:rPr>
                <w:sz w:val="18"/>
                <w:szCs w:val="18"/>
                <w:color w:val="auto"/>
              </w:rPr>
            </w:pPr>
          </w:p>
        </w:tc>
      </w:tr>
      <w:tr>
        <w:trPr>
          <w:trHeight w:val="223"/>
        </w:trPr>
        <w:tc>
          <w:tcPr>
            <w:tcW w:w="60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Ozy Media, Inc.</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10,945,024</w:t>
            </w:r>
          </w:p>
        </w:tc>
        <w:tc>
          <w:tcPr>
            <w:tcW w:w="60" w:type="dxa"/>
            <w:vAlign w:val="bottom"/>
            <w:shd w:val="clear" w:color="auto" w:fill="CCEEFF"/>
          </w:tcPr>
          <w:p>
            <w:pPr>
              <w:spacing w:after="0"/>
              <w:rPr>
                <w:sz w:val="19"/>
                <w:szCs w:val="19"/>
                <w:color w:val="auto"/>
              </w:rPr>
            </w:pPr>
          </w:p>
        </w:tc>
      </w:tr>
      <w:tr>
        <w:trPr>
          <w:trHeight w:val="223"/>
        </w:trPr>
        <w:tc>
          <w:tcPr>
            <w:tcW w:w="6260" w:type="dxa"/>
            <w:vAlign w:val="bottom"/>
            <w:gridSpan w:val="2"/>
          </w:tcPr>
          <w:p>
            <w:pPr>
              <w:spacing w:after="0" w:line="223" w:lineRule="exact"/>
              <w:rPr>
                <w:sz w:val="20"/>
                <w:szCs w:val="20"/>
                <w:color w:val="auto"/>
              </w:rPr>
            </w:pPr>
            <w:r>
              <w:rPr>
                <w:rFonts w:ascii="Times New Roman" w:cs="Times New Roman" w:eastAsia="Times New Roman" w:hAnsi="Times New Roman"/>
                <w:sz w:val="15"/>
                <w:szCs w:val="15"/>
                <w:color w:val="auto"/>
              </w:rPr>
              <w:t>PSQ Holdings, Inc. (d/b/a PublicSquare)</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7,925,790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2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Nextdoor Holdings, Inc.</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5,875,694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188"/>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Learneo, Inc. (f/k/a Course Hero, Inc.)</w:t>
            </w:r>
          </w:p>
        </w:tc>
        <w:tc>
          <w:tcPr>
            <w:tcW w:w="2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5,441,177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Neutron Holdings, Inc. (d/b/a/ Lime)</w:t>
            </w:r>
          </w:p>
        </w:tc>
        <w:tc>
          <w:tcPr>
            <w:tcW w:w="24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3,991,353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Whoop, Inc.</w:t>
            </w:r>
          </w:p>
        </w:tc>
        <w:tc>
          <w:tcPr>
            <w:tcW w:w="2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3,528,846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Shogun Enterprises, Inc. (d/b/a Hearth)</w:t>
            </w:r>
          </w:p>
        </w:tc>
        <w:tc>
          <w:tcPr>
            <w:tcW w:w="24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3,240,026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StormWind, LLC</w:t>
            </w:r>
          </w:p>
        </w:tc>
        <w:tc>
          <w:tcPr>
            <w:tcW w:w="2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2,585,041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ServiceTitan, Inc.</w:t>
            </w:r>
          </w:p>
        </w:tc>
        <w:tc>
          <w:tcPr>
            <w:tcW w:w="24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1,952,742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Varo Money, Inc.</w:t>
            </w:r>
          </w:p>
        </w:tc>
        <w:tc>
          <w:tcPr>
            <w:tcW w:w="2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1,029,807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FourKites, Inc.</w:t>
            </w:r>
          </w:p>
        </w:tc>
        <w:tc>
          <w:tcPr>
            <w:tcW w:w="240" w:type="dxa"/>
            <w:vAlign w:val="bottom"/>
            <w:shd w:val="clear" w:color="auto" w:fill="CCEEFF"/>
          </w:tcPr>
          <w:p>
            <w:pPr>
              <w:spacing w:after="0"/>
              <w:rPr>
                <w:sz w:val="16"/>
                <w:szCs w:val="16"/>
                <w:color w:val="auto"/>
              </w:rPr>
            </w:pPr>
          </w:p>
        </w:tc>
        <w:tc>
          <w:tcPr>
            <w:tcW w:w="1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(1,604,213)</w:t>
            </w:r>
          </w:p>
        </w:tc>
      </w:tr>
      <w:tr>
        <w:trPr>
          <w:trHeight w:val="188"/>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Trax, Ltd.</w:t>
            </w:r>
          </w:p>
        </w:tc>
        <w:tc>
          <w:tcPr>
            <w:tcW w:w="240" w:type="dxa"/>
            <w:vAlign w:val="bottom"/>
          </w:tcPr>
          <w:p>
            <w:pPr>
              <w:spacing w:after="0"/>
              <w:rPr>
                <w:sz w:val="16"/>
                <w:szCs w:val="16"/>
                <w:color w:val="auto"/>
              </w:rPr>
            </w:pPr>
          </w:p>
        </w:tc>
        <w:tc>
          <w:tcPr>
            <w:tcW w:w="1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(2,927,814)</w:t>
            </w:r>
          </w:p>
        </w:tc>
      </w:tr>
      <w:tr>
        <w:trPr>
          <w:trHeight w:val="188"/>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Aspiration Partners, Inc.</w:t>
            </w:r>
          </w:p>
        </w:tc>
        <w:tc>
          <w:tcPr>
            <w:tcW w:w="240" w:type="dxa"/>
            <w:vAlign w:val="bottom"/>
            <w:shd w:val="clear" w:color="auto" w:fill="CCEEFF"/>
          </w:tcPr>
          <w:p>
            <w:pPr>
              <w:spacing w:after="0"/>
              <w:rPr>
                <w:sz w:val="16"/>
                <w:szCs w:val="16"/>
                <w:color w:val="auto"/>
              </w:rPr>
            </w:pPr>
          </w:p>
        </w:tc>
        <w:tc>
          <w:tcPr>
            <w:tcW w:w="1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(6,541,511)</w:t>
            </w:r>
          </w:p>
        </w:tc>
      </w:tr>
      <w:tr>
        <w:trPr>
          <w:trHeight w:val="188"/>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Orchard Technologies, Inc.</w:t>
            </w:r>
          </w:p>
        </w:tc>
        <w:tc>
          <w:tcPr>
            <w:tcW w:w="240" w:type="dxa"/>
            <w:vAlign w:val="bottom"/>
          </w:tcPr>
          <w:p>
            <w:pPr>
              <w:spacing w:after="0"/>
              <w:rPr>
                <w:sz w:val="16"/>
                <w:szCs w:val="16"/>
                <w:color w:val="auto"/>
              </w:rPr>
            </w:pPr>
          </w:p>
        </w:tc>
        <w:tc>
          <w:tcPr>
            <w:tcW w:w="1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(7,649,609)</w:t>
            </w:r>
          </w:p>
        </w:tc>
      </w:tr>
      <w:tr>
        <w:trPr>
          <w:trHeight w:val="255"/>
        </w:trPr>
        <w:tc>
          <w:tcPr>
            <w:tcW w:w="6260" w:type="dxa"/>
            <w:vAlign w:val="bottom"/>
            <w:tcBorders>
              <w:bottom w:val="single" w:sz="8" w:color="CCEEFF"/>
            </w:tcBorders>
            <w:gridSpan w:val="2"/>
            <w:shd w:val="clear" w:color="auto" w:fill="CCEEFF"/>
          </w:tcPr>
          <w:p>
            <w:pPr>
              <w:spacing w:after="0" w:line="23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24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2,661,582</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183"/>
        </w:trPr>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30,453,935</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9133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ind w:left="566" w:right="20" w:hanging="566"/>
        <w:spacing w:after="0" w:line="255" w:lineRule="auto"/>
        <w:tabs>
          <w:tab w:leader="none" w:pos="56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ind w:left="566" w:hanging="566"/>
        <w:spacing w:after="0"/>
        <w:tabs>
          <w:tab w:leader="none" w:pos="566" w:val="left"/>
        </w:tabs>
        <w:numPr>
          <w:ilvl w:val="0"/>
          <w:numId w:val="3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color w:val="auto"/>
        </w:rPr>
        <w:t>“Other” represents investments for which individual changes in unrealized appreciation/(depreciation) was less than $1.0 million for the year ended December 31, 2023.</w:t>
      </w:r>
    </w:p>
    <w:p>
      <w:pPr>
        <w:spacing w:after="0" w:line="18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63" w:name="page64"/>
    <w:bookmarkEnd w:id="63"/>
    <w:tbl>
      <w:tblPr>
        <w:tblLayout w:type="fixed"/>
        <w:tblInd w:w="6" w:type="dxa"/>
        <w:tblCellMar>
          <w:top w:w="0" w:type="dxa"/>
          <w:left w:w="0" w:type="dxa"/>
          <w:bottom w:w="0" w:type="dxa"/>
          <w:right w:w="0" w:type="dxa"/>
        </w:tblCellMar>
      </w:tblPr>
      <w:tr>
        <w:trPr>
          <w:trHeight w:val="184"/>
        </w:trPr>
        <w:tc>
          <w:tcPr>
            <w:tcW w:w="362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3"/>
        </w:trPr>
        <w:tc>
          <w:tcPr>
            <w:tcW w:w="158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w w:val="98"/>
              </w:rPr>
              <w:t>Net Change in</w:t>
            </w:r>
          </w:p>
        </w:tc>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Net Change in</w:t>
            </w:r>
          </w:p>
        </w:tc>
      </w:tr>
      <w:tr>
        <w:trPr>
          <w:trHeight w:val="188"/>
        </w:trPr>
        <w:tc>
          <w:tcPr>
            <w:tcW w:w="1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w w:val="96"/>
              </w:rPr>
              <w:t>Unrealized</w:t>
            </w:r>
          </w:p>
        </w:tc>
        <w:tc>
          <w:tcPr>
            <w:tcW w:w="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Unrealized</w:t>
            </w:r>
          </w:p>
        </w:tc>
      </w:tr>
      <w:tr>
        <w:trPr>
          <w:trHeight w:val="188"/>
        </w:trPr>
        <w:tc>
          <w:tcPr>
            <w:tcW w:w="1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w w:val="97"/>
              </w:rPr>
              <w:t>Appreciation/</w:t>
            </w:r>
          </w:p>
        </w:tc>
        <w:tc>
          <w:tcPr>
            <w:tcW w:w="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Appreciation/</w:t>
            </w:r>
          </w:p>
        </w:tc>
      </w:tr>
      <w:tr>
        <w:trPr>
          <w:trHeight w:val="188"/>
        </w:trPr>
        <w:tc>
          <w:tcPr>
            <w:tcW w:w="1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w w:val="97"/>
              </w:rPr>
              <w:t>(Depreciation)</w:t>
            </w:r>
          </w:p>
        </w:tc>
        <w:tc>
          <w:tcPr>
            <w:tcW w:w="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(Depreciation)</w:t>
            </w:r>
          </w:p>
        </w:tc>
      </w:tr>
      <w:tr>
        <w:trPr>
          <w:trHeight w:val="188"/>
        </w:trPr>
        <w:tc>
          <w:tcPr>
            <w:tcW w:w="1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w w:val="96"/>
              </w:rPr>
              <w:t>For the Year Ended</w:t>
            </w:r>
          </w:p>
        </w:tc>
        <w:tc>
          <w:tcPr>
            <w:tcW w:w="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For the Year Ended</w:t>
            </w:r>
          </w:p>
        </w:tc>
      </w:tr>
      <w:tr>
        <w:trPr>
          <w:trHeight w:val="210"/>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December 31, 2021</w:t>
            </w:r>
          </w:p>
        </w:tc>
        <w:tc>
          <w:tcPr>
            <w:tcW w:w="120" w:type="dxa"/>
            <w:vAlign w:val="bottom"/>
            <w:tcBorders>
              <w:bottom w:val="single" w:sz="8" w:color="CCEEFF"/>
            </w:tcBorders>
            <w:gridSpan w:val="2"/>
          </w:tcPr>
          <w:p>
            <w:pPr>
              <w:spacing w:after="0"/>
              <w:rPr>
                <w:sz w:val="18"/>
                <w:szCs w:val="18"/>
                <w:color w:val="auto"/>
              </w:rPr>
            </w:pPr>
          </w:p>
        </w:tc>
      </w:tr>
      <w:tr>
        <w:trPr>
          <w:trHeight w:val="223"/>
        </w:trPr>
        <w:tc>
          <w:tcPr>
            <w:tcW w:w="338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True Global Ventures 4 Plus Pte Ltd</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3,106,863</w:t>
            </w:r>
          </w:p>
        </w:tc>
        <w:tc>
          <w:tcPr>
            <w:tcW w:w="3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Course Hero, Inc.</w:t>
            </w: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42,752,699</w:t>
            </w:r>
          </w:p>
        </w:tc>
        <w:tc>
          <w:tcPr>
            <w:tcW w:w="100" w:type="dxa"/>
            <w:vAlign w:val="bottom"/>
            <w:shd w:val="clear" w:color="auto" w:fill="CCEEFF"/>
          </w:tcPr>
          <w:p>
            <w:pPr>
              <w:spacing w:after="0"/>
              <w:rPr>
                <w:sz w:val="19"/>
                <w:szCs w:val="19"/>
                <w:color w:val="auto"/>
              </w:rPr>
            </w:pPr>
          </w:p>
        </w:tc>
      </w:tr>
      <w:tr>
        <w:trPr>
          <w:trHeight w:val="223"/>
        </w:trPr>
        <w:tc>
          <w:tcPr>
            <w:tcW w:w="3620" w:type="dxa"/>
            <w:vAlign w:val="bottom"/>
            <w:gridSpan w:val="3"/>
          </w:tcPr>
          <w:p>
            <w:pPr>
              <w:spacing w:after="0" w:line="223" w:lineRule="exact"/>
              <w:rPr>
                <w:sz w:val="20"/>
                <w:szCs w:val="20"/>
                <w:color w:val="auto"/>
              </w:rPr>
            </w:pPr>
            <w:r>
              <w:rPr>
                <w:rFonts w:ascii="Times New Roman" w:cs="Times New Roman" w:eastAsia="Times New Roman" w:hAnsi="Times New Roman"/>
                <w:sz w:val="15"/>
                <w:szCs w:val="15"/>
                <w:color w:val="auto"/>
              </w:rPr>
              <w:t>Rent the Runway</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9"/>
                <w:szCs w:val="19"/>
                <w:color w:val="auto"/>
              </w:rPr>
            </w:pPr>
          </w:p>
        </w:tc>
        <w:tc>
          <w:tcPr>
            <w:tcW w:w="184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1,773,329</w:t>
            </w:r>
          </w:p>
        </w:tc>
        <w:tc>
          <w:tcPr>
            <w:tcW w:w="37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Forge Global, Inc.</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10,976,202</w:t>
            </w:r>
          </w:p>
        </w:tc>
        <w:tc>
          <w:tcPr>
            <w:tcW w:w="100" w:type="dxa"/>
            <w:vAlign w:val="bottom"/>
          </w:tcPr>
          <w:p>
            <w:pPr>
              <w:spacing w:after="0"/>
              <w:rPr>
                <w:sz w:val="19"/>
                <w:szCs w:val="19"/>
                <w:color w:val="auto"/>
              </w:rPr>
            </w:pPr>
          </w:p>
        </w:tc>
      </w:tr>
      <w:tr>
        <w:trPr>
          <w:trHeight w:val="188"/>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StormWind, LLC</w:t>
            </w:r>
          </w:p>
        </w:tc>
        <w:tc>
          <w:tcPr>
            <w:tcW w:w="1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(1,879,887)</w:t>
            </w:r>
          </w:p>
        </w:tc>
        <w:tc>
          <w:tcPr>
            <w:tcW w:w="3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Aspiration Partners, Inc.</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center"/>
              <w:ind w:left="902"/>
              <w:spacing w:after="0"/>
              <w:rPr>
                <w:sz w:val="20"/>
                <w:szCs w:val="20"/>
                <w:color w:val="auto"/>
              </w:rPr>
            </w:pPr>
            <w:r>
              <w:rPr>
                <w:rFonts w:ascii="Times New Roman" w:cs="Times New Roman" w:eastAsia="Times New Roman" w:hAnsi="Times New Roman"/>
                <w:sz w:val="16"/>
                <w:szCs w:val="16"/>
                <w:color w:val="auto"/>
                <w:w w:val="96"/>
              </w:rPr>
              <w:t>7,597,596</w:t>
            </w:r>
          </w:p>
        </w:tc>
        <w:tc>
          <w:tcPr>
            <w:tcW w:w="100" w:type="dxa"/>
            <w:vAlign w:val="bottom"/>
            <w:shd w:val="clear" w:color="auto" w:fill="CCEEFF"/>
          </w:tcPr>
          <w:p>
            <w:pPr>
              <w:spacing w:after="0"/>
              <w:rPr>
                <w:sz w:val="16"/>
                <w:szCs w:val="16"/>
                <w:color w:val="auto"/>
              </w:rPr>
            </w:pPr>
          </w:p>
        </w:tc>
      </w:tr>
      <w:tr>
        <w:trPr>
          <w:trHeight w:val="175"/>
        </w:trPr>
        <w:tc>
          <w:tcPr>
            <w:tcW w:w="36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NewLake Capital Partners, Inc. (f/k/a GreenAcreage</w:t>
            </w: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3620" w:type="dxa"/>
            <w:vAlign w:val="bottom"/>
            <w:gridSpan w:val="3"/>
          </w:tcPr>
          <w:p>
            <w:pPr>
              <w:spacing w:after="0" w:line="236" w:lineRule="exact"/>
              <w:rPr>
                <w:sz w:val="20"/>
                <w:szCs w:val="20"/>
                <w:color w:val="auto"/>
              </w:rPr>
            </w:pPr>
            <w:r>
              <w:rPr>
                <w:rFonts w:ascii="Times New Roman" w:cs="Times New Roman" w:eastAsia="Times New Roman" w:hAnsi="Times New Roman"/>
                <w:sz w:val="16"/>
                <w:szCs w:val="16"/>
                <w:color w:val="auto"/>
              </w:rPr>
              <w:t>Real Estate Corp.)</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0"/>
                <w:szCs w:val="20"/>
                <w:color w:val="auto"/>
              </w:rPr>
            </w:pPr>
          </w:p>
        </w:tc>
        <w:tc>
          <w:tcPr>
            <w:tcW w:w="18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(3,331,136)</w:t>
            </w:r>
          </w:p>
        </w:tc>
        <w:tc>
          <w:tcPr>
            <w:tcW w:w="37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Rover Group, Inc.</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center"/>
              <w:ind w:left="902"/>
              <w:spacing w:after="0"/>
              <w:rPr>
                <w:sz w:val="20"/>
                <w:szCs w:val="20"/>
                <w:color w:val="auto"/>
              </w:rPr>
            </w:pPr>
            <w:r>
              <w:rPr>
                <w:rFonts w:ascii="Times New Roman" w:cs="Times New Roman" w:eastAsia="Times New Roman" w:hAnsi="Times New Roman"/>
                <w:sz w:val="16"/>
                <w:szCs w:val="16"/>
                <w:color w:val="auto"/>
                <w:w w:val="96"/>
              </w:rPr>
              <w:t>6,290,626</w:t>
            </w:r>
          </w:p>
        </w:tc>
        <w:tc>
          <w:tcPr>
            <w:tcW w:w="100" w:type="dxa"/>
            <w:vAlign w:val="bottom"/>
          </w:tcPr>
          <w:p>
            <w:pPr>
              <w:spacing w:after="0"/>
              <w:rPr>
                <w:sz w:val="20"/>
                <w:szCs w:val="20"/>
                <w:color w:val="auto"/>
              </w:rPr>
            </w:pPr>
          </w:p>
        </w:tc>
      </w:tr>
      <w:tr>
        <w:trPr>
          <w:trHeight w:val="188"/>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Blink Health, Inc.</w:t>
            </w:r>
          </w:p>
        </w:tc>
        <w:tc>
          <w:tcPr>
            <w:tcW w:w="1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(3,365,627)</w:t>
            </w:r>
          </w:p>
        </w:tc>
        <w:tc>
          <w:tcPr>
            <w:tcW w:w="3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StormWind, LLC</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center"/>
              <w:ind w:left="902"/>
              <w:spacing w:after="0"/>
              <w:rPr>
                <w:sz w:val="20"/>
                <w:szCs w:val="20"/>
                <w:color w:val="auto"/>
              </w:rPr>
            </w:pPr>
            <w:r>
              <w:rPr>
                <w:rFonts w:ascii="Times New Roman" w:cs="Times New Roman" w:eastAsia="Times New Roman" w:hAnsi="Times New Roman"/>
                <w:sz w:val="16"/>
                <w:szCs w:val="16"/>
                <w:color w:val="auto"/>
                <w:w w:val="96"/>
              </w:rPr>
              <w:t>3,872,381</w:t>
            </w:r>
          </w:p>
        </w:tc>
        <w:tc>
          <w:tcPr>
            <w:tcW w:w="100" w:type="dxa"/>
            <w:vAlign w:val="bottom"/>
            <w:shd w:val="clear" w:color="auto" w:fill="CCEEFF"/>
          </w:tcPr>
          <w:p>
            <w:pPr>
              <w:spacing w:after="0"/>
              <w:rPr>
                <w:sz w:val="16"/>
                <w:szCs w:val="16"/>
                <w:color w:val="auto"/>
              </w:rPr>
            </w:pPr>
          </w:p>
        </w:tc>
      </w:tr>
      <w:tr>
        <w:trPr>
          <w:trHeight w:val="223"/>
        </w:trPr>
        <w:tc>
          <w:tcPr>
            <w:tcW w:w="3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Whoop, Inc.</w:t>
            </w:r>
          </w:p>
        </w:tc>
        <w:tc>
          <w:tcPr>
            <w:tcW w:w="160" w:type="dxa"/>
            <w:vAlign w:val="bottom"/>
          </w:tcPr>
          <w:p>
            <w:pPr>
              <w:spacing w:after="0"/>
              <w:rPr>
                <w:sz w:val="19"/>
                <w:szCs w:val="19"/>
                <w:color w:val="auto"/>
              </w:rPr>
            </w:pPr>
          </w:p>
        </w:tc>
        <w:tc>
          <w:tcPr>
            <w:tcW w:w="18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(3,927,419)</w:t>
            </w:r>
          </w:p>
        </w:tc>
        <w:tc>
          <w:tcPr>
            <w:tcW w:w="3740" w:type="dxa"/>
            <w:vAlign w:val="bottom"/>
            <w:gridSpan w:val="3"/>
          </w:tcPr>
          <w:p>
            <w:pPr>
              <w:ind w:left="140"/>
              <w:spacing w:after="0" w:line="223" w:lineRule="exact"/>
              <w:rPr>
                <w:sz w:val="20"/>
                <w:szCs w:val="20"/>
                <w:color w:val="auto"/>
              </w:rPr>
            </w:pPr>
            <w:r>
              <w:rPr>
                <w:rFonts w:ascii="Times New Roman" w:cs="Times New Roman" w:eastAsia="Times New Roman" w:hAnsi="Times New Roman"/>
                <w:sz w:val="15"/>
                <w:szCs w:val="15"/>
                <w:color w:val="auto"/>
              </w:rPr>
              <w:t>CUX, Inc. (d/b/a CorpU)</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center"/>
              <w:ind w:left="902"/>
              <w:spacing w:after="0"/>
              <w:rPr>
                <w:sz w:val="20"/>
                <w:szCs w:val="20"/>
                <w:color w:val="auto"/>
              </w:rPr>
            </w:pPr>
            <w:r>
              <w:rPr>
                <w:rFonts w:ascii="Times New Roman" w:cs="Times New Roman" w:eastAsia="Times New Roman" w:hAnsi="Times New Roman"/>
                <w:sz w:val="16"/>
                <w:szCs w:val="16"/>
                <w:color w:val="auto"/>
                <w:w w:val="96"/>
              </w:rPr>
              <w:t>3,654,203</w:t>
            </w:r>
          </w:p>
        </w:tc>
        <w:tc>
          <w:tcPr>
            <w:tcW w:w="100" w:type="dxa"/>
            <w:vAlign w:val="bottom"/>
          </w:tcPr>
          <w:p>
            <w:pPr>
              <w:spacing w:after="0"/>
              <w:rPr>
                <w:sz w:val="19"/>
                <w:szCs w:val="19"/>
                <w:color w:val="auto"/>
              </w:rPr>
            </w:pPr>
          </w:p>
        </w:tc>
      </w:tr>
      <w:tr>
        <w:trPr>
          <w:trHeight w:val="175"/>
        </w:trPr>
        <w:tc>
          <w:tcPr>
            <w:tcW w:w="36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Neutron Holdings, Inc. (d/b/a/ Lime)</w:t>
            </w: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740" w:type="dxa"/>
            <w:vAlign w:val="bottom"/>
            <w:gridSpan w:val="3"/>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NewLake Capital Partners, Inc. (f/k/a GreenAcreage</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6"/>
        </w:trPr>
        <w:tc>
          <w:tcPr>
            <w:tcW w:w="15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(3,991,353)</w:t>
            </w:r>
          </w:p>
        </w:tc>
        <w:tc>
          <w:tcPr>
            <w:tcW w:w="3740" w:type="dxa"/>
            <w:vAlign w:val="bottom"/>
            <w:gridSpan w:val="3"/>
            <w:shd w:val="clear" w:color="auto" w:fill="CCEEFF"/>
          </w:tcPr>
          <w:p>
            <w:pPr>
              <w:ind w:left="140"/>
              <w:spacing w:after="0" w:line="236" w:lineRule="exact"/>
              <w:rPr>
                <w:sz w:val="20"/>
                <w:szCs w:val="20"/>
                <w:color w:val="auto"/>
              </w:rPr>
            </w:pPr>
            <w:r>
              <w:rPr>
                <w:rFonts w:ascii="Times New Roman" w:cs="Times New Roman" w:eastAsia="Times New Roman" w:hAnsi="Times New Roman"/>
                <w:sz w:val="16"/>
                <w:szCs w:val="16"/>
                <w:color w:val="auto"/>
              </w:rPr>
              <w:t>Real Estate Corp.)</w:t>
            </w:r>
            <w:r>
              <w:rPr>
                <w:rFonts w:ascii="Times New Roman" w:cs="Times New Roman" w:eastAsia="Times New Roman" w:hAnsi="Times New Roman"/>
                <w:sz w:val="26"/>
                <w:szCs w:val="26"/>
                <w:color w:val="auto"/>
                <w:vertAlign w:val="superscript"/>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center"/>
              <w:ind w:left="902"/>
              <w:spacing w:after="0"/>
              <w:rPr>
                <w:sz w:val="20"/>
                <w:szCs w:val="20"/>
                <w:color w:val="auto"/>
              </w:rPr>
            </w:pPr>
            <w:r>
              <w:rPr>
                <w:rFonts w:ascii="Times New Roman" w:cs="Times New Roman" w:eastAsia="Times New Roman" w:hAnsi="Times New Roman"/>
                <w:sz w:val="16"/>
                <w:szCs w:val="16"/>
                <w:color w:val="auto"/>
                <w:w w:val="96"/>
              </w:rPr>
              <w:t>1,905,116</w:t>
            </w:r>
          </w:p>
        </w:tc>
        <w:tc>
          <w:tcPr>
            <w:tcW w:w="100" w:type="dxa"/>
            <w:vAlign w:val="bottom"/>
            <w:shd w:val="clear" w:color="auto" w:fill="CCEEFF"/>
          </w:tcPr>
          <w:p>
            <w:pPr>
              <w:spacing w:after="0"/>
              <w:rPr>
                <w:sz w:val="20"/>
                <w:szCs w:val="20"/>
                <w:color w:val="auto"/>
              </w:rPr>
            </w:pPr>
          </w:p>
        </w:tc>
      </w:tr>
      <w:tr>
        <w:trPr>
          <w:trHeight w:val="188"/>
        </w:trPr>
        <w:tc>
          <w:tcPr>
            <w:tcW w:w="3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Shogun Enterprises, Inc. (d/b/a Hearth)</w:t>
            </w:r>
          </w:p>
        </w:tc>
        <w:tc>
          <w:tcPr>
            <w:tcW w:w="160" w:type="dxa"/>
            <w:vAlign w:val="bottom"/>
          </w:tcPr>
          <w:p>
            <w:pPr>
              <w:spacing w:after="0"/>
              <w:rPr>
                <w:sz w:val="16"/>
                <w:szCs w:val="16"/>
                <w:color w:val="auto"/>
              </w:rPr>
            </w:pPr>
          </w:p>
        </w:tc>
        <w:tc>
          <w:tcPr>
            <w:tcW w:w="18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(4,225,397)</w:t>
            </w:r>
          </w:p>
        </w:tc>
        <w:tc>
          <w:tcPr>
            <w:tcW w:w="37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Varo Money, Inc.</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3"/>
          </w:tcPr>
          <w:p>
            <w:pPr>
              <w:jc w:val="center"/>
              <w:ind w:left="802"/>
              <w:spacing w:after="0"/>
              <w:rPr>
                <w:sz w:val="20"/>
                <w:szCs w:val="20"/>
                <w:color w:val="auto"/>
              </w:rPr>
            </w:pPr>
            <w:r>
              <w:rPr>
                <w:rFonts w:ascii="Times New Roman" w:cs="Times New Roman" w:eastAsia="Times New Roman" w:hAnsi="Times New Roman"/>
                <w:sz w:val="16"/>
                <w:szCs w:val="16"/>
                <w:color w:val="auto"/>
                <w:w w:val="99"/>
              </w:rPr>
              <w:t>(1,463,873)</w:t>
            </w:r>
          </w:p>
        </w:tc>
      </w:tr>
      <w:tr>
        <w:trPr>
          <w:trHeight w:val="188"/>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Aspiration Partners, Inc.</w:t>
            </w:r>
          </w:p>
        </w:tc>
        <w:tc>
          <w:tcPr>
            <w:tcW w:w="1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(4,514,232)</w:t>
            </w:r>
          </w:p>
        </w:tc>
        <w:tc>
          <w:tcPr>
            <w:tcW w:w="3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Palantir Lending Trust SPV I</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jc w:val="center"/>
              <w:ind w:left="802"/>
              <w:spacing w:after="0"/>
              <w:rPr>
                <w:sz w:val="20"/>
                <w:szCs w:val="20"/>
                <w:color w:val="auto"/>
              </w:rPr>
            </w:pPr>
            <w:r>
              <w:rPr>
                <w:rFonts w:ascii="Times New Roman" w:cs="Times New Roman" w:eastAsia="Times New Roman" w:hAnsi="Times New Roman"/>
                <w:sz w:val="16"/>
                <w:szCs w:val="16"/>
                <w:color w:val="auto"/>
                <w:w w:val="99"/>
              </w:rPr>
              <w:t>(1,620,240)</w:t>
            </w:r>
          </w:p>
        </w:tc>
      </w:tr>
      <w:tr>
        <w:trPr>
          <w:trHeight w:val="223"/>
        </w:trPr>
        <w:tc>
          <w:tcPr>
            <w:tcW w:w="3620" w:type="dxa"/>
            <w:vAlign w:val="bottom"/>
            <w:gridSpan w:val="3"/>
          </w:tcPr>
          <w:p>
            <w:pPr>
              <w:spacing w:after="0" w:line="223" w:lineRule="exact"/>
              <w:rPr>
                <w:sz w:val="20"/>
                <w:szCs w:val="20"/>
                <w:color w:val="auto"/>
              </w:rPr>
            </w:pPr>
            <w:r>
              <w:rPr>
                <w:rFonts w:ascii="Times New Roman" w:cs="Times New Roman" w:eastAsia="Times New Roman" w:hAnsi="Times New Roman"/>
                <w:sz w:val="15"/>
                <w:szCs w:val="15"/>
                <w:color w:val="auto"/>
              </w:rPr>
              <w:t>Rover Group, Inc.</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9"/>
                <w:szCs w:val="19"/>
                <w:color w:val="auto"/>
              </w:rPr>
            </w:pPr>
          </w:p>
        </w:tc>
        <w:tc>
          <w:tcPr>
            <w:tcW w:w="18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(5,259,385)</w:t>
            </w:r>
          </w:p>
        </w:tc>
        <w:tc>
          <w:tcPr>
            <w:tcW w:w="37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Enjoy Technology, Inc.</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3"/>
          </w:tcPr>
          <w:p>
            <w:pPr>
              <w:jc w:val="center"/>
              <w:ind w:left="802"/>
              <w:spacing w:after="0"/>
              <w:rPr>
                <w:sz w:val="20"/>
                <w:szCs w:val="20"/>
                <w:color w:val="auto"/>
              </w:rPr>
            </w:pPr>
            <w:r>
              <w:rPr>
                <w:rFonts w:ascii="Times New Roman" w:cs="Times New Roman" w:eastAsia="Times New Roman" w:hAnsi="Times New Roman"/>
                <w:sz w:val="16"/>
                <w:szCs w:val="16"/>
                <w:color w:val="auto"/>
                <w:w w:val="99"/>
              </w:rPr>
              <w:t>(2,514,243)</w:t>
            </w:r>
          </w:p>
        </w:tc>
      </w:tr>
      <w:tr>
        <w:trPr>
          <w:trHeight w:val="188"/>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Varo Money, Inc.</w:t>
            </w:r>
          </w:p>
        </w:tc>
        <w:tc>
          <w:tcPr>
            <w:tcW w:w="1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(7,254,893)</w:t>
            </w:r>
          </w:p>
        </w:tc>
        <w:tc>
          <w:tcPr>
            <w:tcW w:w="3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Rent the Runway, Inc.</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jc w:val="center"/>
              <w:ind w:left="802"/>
              <w:spacing w:after="0"/>
              <w:rPr>
                <w:sz w:val="20"/>
                <w:szCs w:val="20"/>
                <w:color w:val="auto"/>
              </w:rPr>
            </w:pPr>
            <w:r>
              <w:rPr>
                <w:rFonts w:ascii="Times New Roman" w:cs="Times New Roman" w:eastAsia="Times New Roman" w:hAnsi="Times New Roman"/>
                <w:sz w:val="16"/>
                <w:szCs w:val="16"/>
                <w:color w:val="auto"/>
                <w:w w:val="99"/>
              </w:rPr>
              <w:t>(2,581,146)</w:t>
            </w:r>
          </w:p>
        </w:tc>
      </w:tr>
      <w:tr>
        <w:trPr>
          <w:trHeight w:val="188"/>
        </w:trPr>
        <w:tc>
          <w:tcPr>
            <w:tcW w:w="3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Trax Ltd.</w:t>
            </w:r>
          </w:p>
        </w:tc>
        <w:tc>
          <w:tcPr>
            <w:tcW w:w="160" w:type="dxa"/>
            <w:vAlign w:val="bottom"/>
          </w:tcPr>
          <w:p>
            <w:pPr>
              <w:spacing w:after="0"/>
              <w:rPr>
                <w:sz w:val="16"/>
                <w:szCs w:val="16"/>
                <w:color w:val="auto"/>
              </w:rPr>
            </w:pPr>
          </w:p>
        </w:tc>
        <w:tc>
          <w:tcPr>
            <w:tcW w:w="18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(7,442,485)</w:t>
            </w:r>
          </w:p>
        </w:tc>
        <w:tc>
          <w:tcPr>
            <w:tcW w:w="37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Ozy Media, Inc.</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(10,098,381)</w:t>
            </w:r>
          </w:p>
        </w:tc>
      </w:tr>
      <w:tr>
        <w:trPr>
          <w:trHeight w:val="223"/>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Skillsoft Corp.</w:t>
            </w: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(7,707,467)</w:t>
            </w:r>
          </w:p>
        </w:tc>
        <w:tc>
          <w:tcPr>
            <w:tcW w:w="3740" w:type="dxa"/>
            <w:vAlign w:val="bottom"/>
            <w:gridSpan w:val="3"/>
            <w:shd w:val="clear" w:color="auto" w:fill="CCEEFF"/>
          </w:tcPr>
          <w:p>
            <w:pPr>
              <w:ind w:left="140"/>
              <w:spacing w:after="0" w:line="223" w:lineRule="exact"/>
              <w:rPr>
                <w:sz w:val="20"/>
                <w:szCs w:val="20"/>
                <w:color w:val="auto"/>
              </w:rPr>
            </w:pPr>
            <w:r>
              <w:rPr>
                <w:rFonts w:ascii="Times New Roman" w:cs="Times New Roman" w:eastAsia="Times New Roman" w:hAnsi="Times New Roman"/>
                <w:sz w:val="15"/>
                <w:szCs w:val="15"/>
                <w:color w:val="auto"/>
              </w:rPr>
              <w:t>Coursera, Inc.</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(35,822,601)</w:t>
            </w:r>
          </w:p>
        </w:tc>
      </w:tr>
      <w:tr>
        <w:trPr>
          <w:trHeight w:val="223"/>
        </w:trPr>
        <w:tc>
          <w:tcPr>
            <w:tcW w:w="3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Nextdoor Holdings, Inc.</w:t>
            </w:r>
          </w:p>
        </w:tc>
        <w:tc>
          <w:tcPr>
            <w:tcW w:w="160" w:type="dxa"/>
            <w:vAlign w:val="bottom"/>
          </w:tcPr>
          <w:p>
            <w:pPr>
              <w:spacing w:after="0"/>
              <w:rPr>
                <w:sz w:val="19"/>
                <w:szCs w:val="19"/>
                <w:color w:val="auto"/>
              </w:rPr>
            </w:pPr>
          </w:p>
        </w:tc>
        <w:tc>
          <w:tcPr>
            <w:tcW w:w="18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(8,726,545)</w:t>
            </w:r>
          </w:p>
        </w:tc>
        <w:tc>
          <w:tcPr>
            <w:tcW w:w="3740" w:type="dxa"/>
            <w:vAlign w:val="bottom"/>
            <w:gridSpan w:val="3"/>
          </w:tcPr>
          <w:p>
            <w:pPr>
              <w:ind w:left="140"/>
              <w:spacing w:after="0" w:line="223" w:lineRule="exact"/>
              <w:rPr>
                <w:sz w:val="20"/>
                <w:szCs w:val="20"/>
                <w:color w:val="auto"/>
              </w:rPr>
            </w:pPr>
            <w:r>
              <w:rPr>
                <w:rFonts w:ascii="Times New Roman" w:cs="Times New Roman" w:eastAsia="Times New Roman" w:hAnsi="Times New Roman"/>
                <w:sz w:val="15"/>
                <w:szCs w:val="15"/>
                <w:color w:val="auto"/>
              </w:rPr>
              <w:t>Palantir Technologies, Inc.</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(81,760,272)</w:t>
            </w:r>
          </w:p>
        </w:tc>
      </w:tr>
      <w:tr>
        <w:trPr>
          <w:trHeight w:val="223"/>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Forge Global, Inc.</w:t>
            </w: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(17,594,073)</w:t>
            </w:r>
          </w:p>
        </w:tc>
        <w:tc>
          <w:tcPr>
            <w:tcW w:w="3740" w:type="dxa"/>
            <w:vAlign w:val="bottom"/>
            <w:gridSpan w:val="3"/>
            <w:shd w:val="clear" w:color="auto" w:fill="CCEEFF"/>
          </w:tcPr>
          <w:p>
            <w:pPr>
              <w:ind w:left="140"/>
              <w:spacing w:after="0" w:line="223"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center"/>
              <w:ind w:left="802"/>
              <w:spacing w:after="0"/>
              <w:rPr>
                <w:sz w:val="20"/>
                <w:szCs w:val="20"/>
                <w:color w:val="auto"/>
              </w:rPr>
            </w:pPr>
            <w:r>
              <w:rPr>
                <w:rFonts w:ascii="Times New Roman" w:cs="Times New Roman" w:eastAsia="Times New Roman" w:hAnsi="Times New Roman"/>
                <w:sz w:val="16"/>
                <w:szCs w:val="16"/>
                <w:color w:val="auto"/>
                <w:w w:val="99"/>
              </w:rPr>
              <w:t>(2,921,031)</w:t>
            </w:r>
          </w:p>
        </w:tc>
      </w:tr>
      <w:tr>
        <w:trPr>
          <w:trHeight w:val="188"/>
        </w:trPr>
        <w:tc>
          <w:tcPr>
            <w:tcW w:w="3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Learneo, Inc. (f/k/a Course Hero, Inc.)</w:t>
            </w:r>
          </w:p>
        </w:tc>
        <w:tc>
          <w:tcPr>
            <w:tcW w:w="160" w:type="dxa"/>
            <w:vAlign w:val="bottom"/>
          </w:tcPr>
          <w:p>
            <w:pPr>
              <w:spacing w:after="0"/>
              <w:rPr>
                <w:sz w:val="16"/>
                <w:szCs w:val="16"/>
                <w:color w:val="auto"/>
              </w:rPr>
            </w:pPr>
          </w:p>
        </w:tc>
        <w:tc>
          <w:tcPr>
            <w:tcW w:w="18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(37,290,369)</w:t>
            </w:r>
          </w:p>
        </w:tc>
        <w:tc>
          <w:tcPr>
            <w:tcW w:w="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5"/>
        </w:trPr>
        <w:tc>
          <w:tcPr>
            <w:tcW w:w="3620" w:type="dxa"/>
            <w:vAlign w:val="bottom"/>
            <w:gridSpan w:val="3"/>
            <w:shd w:val="clear" w:color="auto" w:fill="CCEEFF"/>
          </w:tcPr>
          <w:p>
            <w:pPr>
              <w:spacing w:after="0" w:line="235"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16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66,484</w:t>
            </w:r>
          </w:p>
        </w:tc>
        <w:tc>
          <w:tcPr>
            <w:tcW w:w="140" w:type="dxa"/>
            <w:vAlign w:val="bottom"/>
            <w:shd w:val="clear" w:color="auto" w:fill="CCEEFF"/>
          </w:tcPr>
          <w:p>
            <w:pPr>
              <w:spacing w:after="0"/>
              <w:rPr>
                <w:sz w:val="22"/>
                <w:szCs w:val="22"/>
                <w:color w:val="auto"/>
              </w:rPr>
            </w:pPr>
          </w:p>
        </w:tc>
        <w:tc>
          <w:tcPr>
            <w:tcW w:w="3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183"/>
        </w:trPr>
        <w:tc>
          <w:tcPr>
            <w:tcW w:w="362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(111,563,592</w:t>
            </w:r>
          </w:p>
        </w:tc>
        <w:tc>
          <w:tcPr>
            <w:tcW w:w="200" w:type="dxa"/>
            <w:vAlign w:val="bottom"/>
            <w:tcBorders>
              <w:top w:val="single" w:sz="8" w:color="CCEEFF"/>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740" w:type="dxa"/>
            <w:vAlign w:val="bottom"/>
            <w:tcBorders>
              <w:top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(61,732,964</w:t>
            </w:r>
          </w:p>
        </w:tc>
        <w:tc>
          <w:tcPr>
            <w:tcW w:w="1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1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9133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ind w:left="566" w:right="20" w:hanging="566"/>
        <w:spacing w:after="0" w:line="255" w:lineRule="auto"/>
        <w:tabs>
          <w:tab w:leader="none" w:pos="56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ind w:left="566" w:hanging="566"/>
        <w:spacing w:after="0" w:line="250" w:lineRule="auto"/>
        <w:tabs>
          <w:tab w:leader="none" w:pos="56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represents investments (including U.S. Treasury bills) for which individual change in unrealized appreciation/(depreciation) was less than $1.0 million for the year ended December 31, 2022 and 2021.</w:t>
      </w:r>
    </w:p>
    <w:p>
      <w:pPr>
        <w:spacing w:after="0" w:line="16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Portfolio Activity</w:t>
      </w:r>
    </w:p>
    <w:p>
      <w:pPr>
        <w:spacing w:after="0" w:line="196" w:lineRule="exact"/>
        <w:rPr>
          <w:sz w:val="20"/>
          <w:szCs w:val="20"/>
          <w:color w:val="auto"/>
        </w:rPr>
      </w:pPr>
    </w:p>
    <w:p>
      <w:pPr>
        <w:jc w:val="both"/>
        <w:ind w:left="6" w:firstLine="317"/>
        <w:spacing w:after="0" w:line="270" w:lineRule="auto"/>
        <w:rPr>
          <w:sz w:val="20"/>
          <w:szCs w:val="20"/>
          <w:color w:val="auto"/>
        </w:rPr>
      </w:pPr>
      <w:r>
        <w:rPr>
          <w:rFonts w:ascii="Times New Roman" w:cs="Times New Roman" w:eastAsia="Times New Roman" w:hAnsi="Times New Roman"/>
          <w:sz w:val="16"/>
          <w:szCs w:val="16"/>
          <w:color w:val="auto"/>
        </w:rPr>
        <w:t>Please refer to “Note 12—Subsequent Events” to our Consolidated Financial Statements as of December 31, 2023 for details regarding activity in our investment portfolio from January 1, 2024 through March 13, 2024.</w:t>
      </w:r>
    </w:p>
    <w:p>
      <w:pPr>
        <w:spacing w:after="0" w:line="150" w:lineRule="exact"/>
        <w:rPr>
          <w:sz w:val="20"/>
          <w:szCs w:val="20"/>
          <w:color w:val="auto"/>
        </w:rPr>
      </w:pPr>
    </w:p>
    <w:p>
      <w:pPr>
        <w:jc w:val="both"/>
        <w:ind w:left="6" w:firstLine="317"/>
        <w:spacing w:after="0" w:line="276" w:lineRule="auto"/>
        <w:rPr>
          <w:sz w:val="20"/>
          <w:szCs w:val="20"/>
          <w:color w:val="auto"/>
        </w:rPr>
      </w:pPr>
      <w:r>
        <w:rPr>
          <w:rFonts w:ascii="Times New Roman" w:cs="Times New Roman" w:eastAsia="Times New Roman" w:hAnsi="Times New Roman"/>
          <w:sz w:val="15"/>
          <w:szCs w:val="15"/>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4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Modified Dutch Auction Tender Offer</w:t>
      </w:r>
    </w:p>
    <w:p>
      <w:pPr>
        <w:spacing w:after="0" w:line="196" w:lineRule="exact"/>
        <w:rPr>
          <w:sz w:val="20"/>
          <w:szCs w:val="20"/>
          <w:color w:val="auto"/>
        </w:rPr>
      </w:pPr>
    </w:p>
    <w:p>
      <w:pPr>
        <w:jc w:val="both"/>
        <w:ind w:left="6" w:firstLine="317"/>
        <w:spacing w:after="0" w:line="253" w:lineRule="auto"/>
        <w:rPr>
          <w:sz w:val="20"/>
          <w:szCs w:val="20"/>
          <w:color w:val="auto"/>
        </w:rPr>
      </w:pPr>
      <w:r>
        <w:rPr>
          <w:rFonts w:ascii="Times New Roman" w:cs="Times New Roman" w:eastAsia="Times New Roman" w:hAnsi="Times New Roman"/>
          <w:sz w:val="16"/>
          <w:szCs w:val="16"/>
          <w:color w:val="auto"/>
        </w:rPr>
        <w:t>On February 14, 2024, our Board of Directors authorized a modified Dutch Auction tender offer (the “Tender Offer”) to purchase up to 2,000,000 shares of our common stock at a price per share of not less than $4.00 and not greater than $5.00 in $0.10 increments, using available cash. The Tender Offer commenced on February 20, 2024 and will expire at 5:00 P.M. Eastern Time on April 1, 2024, unless extended. If the Tender Offer is fully subscribed, we will purchase 2,000,000 shares, or approximately 7.9%, of our outstanding shares of its common stock. Any shares tendered may be withdrawn prior to expiration of the Tender Offer.</w:t>
      </w:r>
    </w:p>
    <w:p>
      <w:pPr>
        <w:spacing w:after="0" w:line="153" w:lineRule="exact"/>
        <w:rPr>
          <w:sz w:val="20"/>
          <w:szCs w:val="20"/>
          <w:color w:val="auto"/>
        </w:rPr>
      </w:pPr>
    </w:p>
    <w:p>
      <w:pPr>
        <w:jc w:val="both"/>
        <w:ind w:left="6" w:right="20" w:firstLine="317"/>
        <w:spacing w:after="0" w:line="270" w:lineRule="auto"/>
        <w:rPr>
          <w:sz w:val="20"/>
          <w:szCs w:val="20"/>
          <w:color w:val="auto"/>
        </w:rPr>
      </w:pPr>
      <w:r>
        <w:rPr>
          <w:rFonts w:ascii="Times New Roman" w:cs="Times New Roman" w:eastAsia="Times New Roman" w:hAnsi="Times New Roman"/>
          <w:sz w:val="16"/>
          <w:szCs w:val="16"/>
          <w:color w:val="auto"/>
        </w:rPr>
        <w:t>Based on the number of shares tendered and the prices specified by the tendering stockholders, we will determine the lowest per-share price that will enable us to acquire up to 2,000,000 shares of our common stock. All shares accepted in the Tender Offer will be purchase at the same price even if tendered at a lower price.</w:t>
      </w:r>
    </w:p>
    <w:p>
      <w:pPr>
        <w:spacing w:after="0" w:line="1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94" w:lineRule="exact"/>
        <w:rPr>
          <w:sz w:val="20"/>
          <w:szCs w:val="20"/>
          <w:color w:val="auto"/>
        </w:rPr>
      </w:pPr>
    </w:p>
    <w:p>
      <w:pPr>
        <w:jc w:val="both"/>
        <w:ind w:left="6" w:firstLine="317"/>
        <w:spacing w:after="0" w:line="253" w:lineRule="auto"/>
        <w:rPr>
          <w:sz w:val="20"/>
          <w:szCs w:val="20"/>
          <w:color w:val="auto"/>
        </w:rPr>
      </w:pPr>
      <w:r>
        <w:rPr>
          <w:rFonts w:ascii="Times New Roman" w:cs="Times New Roman" w:eastAsia="Times New Roman" w:hAnsi="Times New Roman"/>
          <w:sz w:val="16"/>
          <w:szCs w:val="16"/>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“Equity Issuances and Debt Capital Activities — At-the-Market Offering”. In addition, on December 17, 2021, we issued $75.0 million aggregate principal amount of 6.00% Notes due 2026, all of which remain outstanding. For additional information, see below and “Note 10—Debt Capital Activities” to our Consolidated Financial Statements as of December 31, 2023.</w:t>
      </w:r>
    </w:p>
    <w:p>
      <w:pPr>
        <w:spacing w:after="0" w:line="164" w:lineRule="exact"/>
        <w:rPr>
          <w:sz w:val="20"/>
          <w:szCs w:val="20"/>
          <w:color w:val="auto"/>
        </w:rPr>
      </w:pPr>
    </w:p>
    <w:p>
      <w:pPr>
        <w:jc w:val="both"/>
        <w:ind w:left="6" w:right="20" w:firstLine="317"/>
        <w:spacing w:after="0" w:line="270" w:lineRule="auto"/>
        <w:rPr>
          <w:sz w:val="20"/>
          <w:szCs w:val="20"/>
          <w:color w:val="auto"/>
        </w:rPr>
      </w:pPr>
      <w:r>
        <w:rPr>
          <w:rFonts w:ascii="Times New Roman" w:cs="Times New Roman" w:eastAsia="Times New Roman" w:hAnsi="Times New Roman"/>
          <w:sz w:val="16"/>
          <w:szCs w:val="16"/>
          <w:color w:val="auto"/>
        </w:rPr>
        <w:t>Our primary uses of cash are to make investments, pay our operating expenses, and make distributions to our stockholders. For the year ended December 31, 2023 our operating expenses were $20,036,389. For the years ended December 31, 2022 and 2021, our operating expenses were $18,164,201 and $11,401,661, respectively.</w:t>
      </w:r>
    </w:p>
    <w:p>
      <w:pPr>
        <w:spacing w:after="0" w:line="15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02" w:right="319" w:bottom="1440" w:gutter="0" w:footer="0" w:header="0"/>
        </w:sectPr>
      </w:pPr>
    </w:p>
    <w:bookmarkStart w:id="64" w:name="page65"/>
    <w:bookmarkEnd w:id="64"/>
    <w:tbl>
      <w:tblPr>
        <w:tblLayout w:type="fixed"/>
        <w:tblInd w:w="6" w:type="dxa"/>
        <w:tblCellMar>
          <w:top w:w="0" w:type="dxa"/>
          <w:left w:w="0" w:type="dxa"/>
          <w:bottom w:w="0" w:type="dxa"/>
          <w:right w:w="0" w:type="dxa"/>
        </w:tblCellMar>
      </w:tblPr>
      <w:tr>
        <w:trPr>
          <w:trHeight w:val="184"/>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158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r>
      <w:tr>
        <w:trPr>
          <w:trHeight w:val="407"/>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Reserves and Liquid Securities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88"/>
        </w:trPr>
        <w:tc>
          <w:tcPr>
            <w:tcW w:w="5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28,178,352</w:t>
            </w: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40,117,598</w:t>
            </w: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198,437,078</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88"/>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180" w:type="dxa"/>
            <w:vAlign w:val="bottom"/>
            <w:gridSpan w:val="2"/>
            <w:shd w:val="clear" w:color="auto" w:fill="CCEEFF"/>
          </w:tcPr>
          <w:p>
            <w:pPr>
              <w:ind w:left="160"/>
              <w:spacing w:after="0" w:line="223" w:lineRule="exact"/>
              <w:rPr>
                <w:sz w:val="20"/>
                <w:szCs w:val="20"/>
                <w:color w:val="auto"/>
              </w:rPr>
            </w:pPr>
            <w:r>
              <w:rPr>
                <w:rFonts w:ascii="Times New Roman" w:cs="Times New Roman" w:eastAsia="Times New Roman" w:hAnsi="Times New Roman"/>
                <w:sz w:val="15"/>
                <w:szCs w:val="15"/>
                <w:color w:val="auto"/>
              </w:rPr>
              <w:t>U.S. Treasury bills</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63,810,855</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85,056,817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180" w:type="dxa"/>
            <w:vAlign w:val="bottom"/>
            <w:gridSpan w:val="2"/>
            <w:shd w:val="clear" w:color="auto" w:fill="CCEEFF"/>
          </w:tcPr>
          <w:p>
            <w:pPr>
              <w:ind w:left="160"/>
              <w:spacing w:after="0" w:line="223" w:lineRule="exact"/>
              <w:rPr>
                <w:sz w:val="20"/>
                <w:szCs w:val="20"/>
                <w:color w:val="auto"/>
              </w:rPr>
            </w:pPr>
            <w:r>
              <w:rPr>
                <w:rFonts w:ascii="Times New Roman" w:cs="Times New Roman" w:eastAsia="Times New Roman" w:hAnsi="Times New Roman"/>
                <w:sz w:val="15"/>
                <w:szCs w:val="15"/>
                <w:color w:val="auto"/>
              </w:rPr>
              <w:t>Unrestricted securities</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6,970,612</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13,298,992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16,970,411</w:t>
            </w:r>
          </w:p>
        </w:tc>
      </w:tr>
      <w:tr>
        <w:trPr>
          <w:trHeight w:val="239"/>
        </w:trPr>
        <w:tc>
          <w:tcPr>
            <w:tcW w:w="5180" w:type="dxa"/>
            <w:vAlign w:val="bottom"/>
            <w:gridSpan w:val="2"/>
          </w:tcPr>
          <w:p>
            <w:pPr>
              <w:ind w:left="160"/>
              <w:spacing w:after="0" w:line="235" w:lineRule="exact"/>
              <w:rPr>
                <w:sz w:val="20"/>
                <w:szCs w:val="20"/>
                <w:color w:val="auto"/>
              </w:rPr>
            </w:pPr>
            <w:r>
              <w:rPr>
                <w:rFonts w:ascii="Times New Roman" w:cs="Times New Roman" w:eastAsia="Times New Roman" w:hAnsi="Times New Roman"/>
                <w:sz w:val="16"/>
                <w:szCs w:val="16"/>
                <w:color w:val="auto"/>
              </w:rPr>
              <w:t>Subject to other sales restrictions</w:t>
            </w:r>
            <w:r>
              <w:rPr>
                <w:rFonts w:ascii="Times New Roman" w:cs="Times New Roman" w:eastAsia="Times New Roman" w:hAnsi="Times New Roman"/>
                <w:sz w:val="26"/>
                <w:szCs w:val="26"/>
                <w:color w:val="auto"/>
                <w:vertAlign w:val="superscript"/>
              </w:rPr>
              <w:t>(3)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8,542,386</w:t>
            </w:r>
          </w:p>
        </w:tc>
        <w:tc>
          <w:tcPr>
            <w:tcW w:w="140" w:type="dxa"/>
            <w:vAlign w:val="bottom"/>
          </w:tcPr>
          <w:p>
            <w:pPr>
              <w:spacing w:after="0"/>
              <w:rPr>
                <w:sz w:val="20"/>
                <w:szCs w:val="20"/>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24,493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27,602,814</w:t>
            </w:r>
          </w:p>
        </w:tc>
        <w:tc>
          <w:tcPr>
            <w:tcW w:w="100" w:type="dxa"/>
            <w:vAlign w:val="bottom"/>
          </w:tcPr>
          <w:p>
            <w:pPr>
              <w:spacing w:after="0"/>
              <w:rPr>
                <w:sz w:val="20"/>
                <w:szCs w:val="20"/>
                <w:color w:val="auto"/>
              </w:rPr>
            </w:pPr>
          </w:p>
        </w:tc>
      </w:tr>
      <w:tr>
        <w:trPr>
          <w:trHeight w:val="208"/>
        </w:trPr>
        <w:tc>
          <w:tcPr>
            <w:tcW w:w="5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15,512,998</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13,323,485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44,573,225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Cash Reserves and Liquid Securities</w:t>
            </w:r>
          </w:p>
        </w:tc>
        <w:tc>
          <w:tcPr>
            <w:tcW w:w="2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107,502,205</w:t>
            </w:r>
          </w:p>
        </w:tc>
        <w:tc>
          <w:tcPr>
            <w:tcW w:w="3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138,497,900</w:t>
            </w: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243,010,303</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9133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ind w:left="566" w:hanging="566"/>
        <w:spacing w:after="0"/>
        <w:tabs>
          <w:tab w:leader="none" w:pos="56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short-term U.S. Treasury bills.</w:t>
      </w:r>
    </w:p>
    <w:p>
      <w:pPr>
        <w:spacing w:after="0" w:line="19" w:lineRule="exact"/>
        <w:rPr>
          <w:rFonts w:ascii="Times New Roman" w:cs="Times New Roman" w:eastAsia="Times New Roman" w:hAnsi="Times New Roman"/>
          <w:sz w:val="16"/>
          <w:szCs w:val="16"/>
          <w:color w:val="auto"/>
        </w:rPr>
      </w:pPr>
    </w:p>
    <w:p>
      <w:pPr>
        <w:ind w:left="566" w:hanging="566"/>
        <w:spacing w:after="0" w:line="245" w:lineRule="auto"/>
        <w:tabs>
          <w:tab w:leader="none" w:pos="56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“Unrestricted securities” represents common stock and warrants of our publicly traded portfolio companies that are not subject to any restrictions upon sale. We may incur losses.</w:t>
      </w:r>
    </w:p>
    <w:p>
      <w:pPr>
        <w:ind w:left="566" w:right="20" w:hanging="566"/>
        <w:spacing w:after="0" w:line="250" w:lineRule="auto"/>
        <w:tabs>
          <w:tab w:leader="none" w:pos="566"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publicly traded portfolio companies “subject to other sales restrictions” represents common stock of our publicly traded portfolio companies that are subject to certain lock-up restrictions.</w:t>
      </w:r>
    </w:p>
    <w:p>
      <w:pPr>
        <w:spacing w:after="0" w:line="165" w:lineRule="exact"/>
        <w:rPr>
          <w:sz w:val="20"/>
          <w:szCs w:val="20"/>
          <w:color w:val="auto"/>
        </w:rPr>
      </w:pPr>
    </w:p>
    <w:p>
      <w:pPr>
        <w:jc w:val="both"/>
        <w:ind w:left="6" w:right="20" w:firstLine="282"/>
        <w:spacing w:after="0" w:line="253" w:lineRule="auto"/>
        <w:rPr>
          <w:sz w:val="20"/>
          <w:szCs w:val="20"/>
          <w:color w:val="auto"/>
        </w:rPr>
      </w:pPr>
      <w:r>
        <w:rPr>
          <w:rFonts w:ascii="Times New Roman" w:cs="Times New Roman" w:eastAsia="Times New Roman" w:hAnsi="Times New Roman"/>
          <w:sz w:val="16"/>
          <w:szCs w:val="16"/>
          <w:color w:val="auto"/>
        </w:rPr>
        <w:t>During the year ended December 31, 2023, cash decreased to $28,178,352 from $40,117,598 at the beginning of the year. The decrease was primarily driven by the purchase of new and follow-on investments, our operating expenses, interest payments on the 6.00% Notes due 2026, and the repurchase of our common stock pursuant to a modified “Dutch Auction” tender offer (the “Modified Dutch Auction Tender Offer”) and Share Repurchase Program. The decrease was offset by portfolio investment exits and investment income received.</w:t>
      </w:r>
    </w:p>
    <w:p>
      <w:pPr>
        <w:spacing w:after="0" w:line="164" w:lineRule="exact"/>
        <w:rPr>
          <w:sz w:val="20"/>
          <w:szCs w:val="20"/>
          <w:color w:val="auto"/>
        </w:rPr>
      </w:pPr>
    </w:p>
    <w:p>
      <w:pPr>
        <w:jc w:val="both"/>
        <w:ind w:left="6" w:firstLine="282"/>
        <w:spacing w:after="0" w:line="270" w:lineRule="auto"/>
        <w:rPr>
          <w:sz w:val="20"/>
          <w:szCs w:val="20"/>
          <w:color w:val="auto"/>
        </w:rPr>
      </w:pPr>
      <w:r>
        <w:rPr>
          <w:rFonts w:ascii="Times New Roman" w:cs="Times New Roman" w:eastAsia="Times New Roman" w:hAnsi="Times New Roman"/>
          <w:sz w:val="16"/>
          <w:szCs w:val="16"/>
          <w:color w:val="auto"/>
        </w:rPr>
        <w:t>Currently, we believe we have ample liquidity to support our near-term capital requirements. Consistent with past and current practices, we will continue to evaluate our overall liquidity position and take proactive steps to maintain the appropriate liquidity position based upon the current circumstances.</w:t>
      </w:r>
    </w:p>
    <w:p>
      <w:pPr>
        <w:spacing w:after="0" w:line="14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Contractual Obligations</w:t>
      </w:r>
    </w:p>
    <w:p>
      <w:pPr>
        <w:spacing w:after="0" w:line="19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6"/>
          <w:szCs w:val="16"/>
          <w:color w:val="auto"/>
        </w:rPr>
        <w:t>A summary of our significant contractual payment obligations as of December 31, 2023 is as follows:</w:t>
      </w:r>
    </w:p>
    <w:p>
      <w:pPr>
        <w:spacing w:after="0" w:line="200" w:lineRule="exact"/>
        <w:rPr>
          <w:sz w:val="20"/>
          <w:szCs w:val="20"/>
          <w:color w:val="auto"/>
        </w:rPr>
      </w:pPr>
    </w:p>
    <w:tbl>
      <w:tblPr>
        <w:tblLayout w:type="fixed"/>
        <w:tblInd w:w="6"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8"/>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 xml:space="preserve">Payments Due By Period </w:t>
            </w:r>
            <w:r>
              <w:rPr>
                <w:rFonts w:ascii="Times New Roman" w:cs="Times New Roman" w:eastAsia="Times New Roman" w:hAnsi="Times New Roman"/>
                <w:sz w:val="16"/>
                <w:szCs w:val="16"/>
                <w:b w:val="1"/>
                <w:bCs w:val="1"/>
                <w:i w:val="1"/>
                <w:iCs w:val="1"/>
                <w:color w:val="auto"/>
              </w:rPr>
              <w:t>(in millions)</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0"/>
        </w:trPr>
        <w:tc>
          <w:tcPr>
            <w:tcW w:w="4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2"/>
              <w:spacing w:after="0" w:line="170" w:lineRule="exact"/>
              <w:rPr>
                <w:sz w:val="20"/>
                <w:szCs w:val="20"/>
                <w:color w:val="auto"/>
              </w:rPr>
            </w:pPr>
            <w:r>
              <w:rPr>
                <w:rFonts w:ascii="Times New Roman" w:cs="Times New Roman" w:eastAsia="Times New Roman" w:hAnsi="Times New Roman"/>
                <w:sz w:val="16"/>
                <w:szCs w:val="16"/>
                <w:b w:val="1"/>
                <w:bCs w:val="1"/>
                <w:color w:val="auto"/>
                <w:w w:val="96"/>
              </w:rPr>
              <w:t>More than</w:t>
            </w:r>
          </w:p>
        </w:tc>
        <w:tc>
          <w:tcPr>
            <w:tcW w:w="120" w:type="dxa"/>
            <w:vAlign w:val="bottom"/>
          </w:tcPr>
          <w:p>
            <w:pPr>
              <w:spacing w:after="0"/>
              <w:rPr>
                <w:sz w:val="14"/>
                <w:szCs w:val="14"/>
                <w:color w:val="auto"/>
              </w:rPr>
            </w:pPr>
          </w:p>
        </w:tc>
      </w:tr>
      <w:tr>
        <w:trPr>
          <w:trHeight w:val="210"/>
        </w:trPr>
        <w:tc>
          <w:tcPr>
            <w:tcW w:w="4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3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4"/>
              </w:rPr>
              <w:t>5 years</w:t>
            </w:r>
          </w:p>
        </w:tc>
        <w:tc>
          <w:tcPr>
            <w:tcW w:w="120" w:type="dxa"/>
            <w:vAlign w:val="bottom"/>
            <w:tcBorders>
              <w:bottom w:val="single" w:sz="8" w:color="CCEEFF"/>
            </w:tcBorders>
          </w:tcPr>
          <w:p>
            <w:pPr>
              <w:spacing w:after="0"/>
              <w:rPr>
                <w:sz w:val="18"/>
                <w:szCs w:val="18"/>
                <w:color w:val="auto"/>
              </w:rPr>
            </w:pPr>
          </w:p>
        </w:tc>
      </w:tr>
      <w:tr>
        <w:trPr>
          <w:trHeight w:val="212"/>
        </w:trPr>
        <w:tc>
          <w:tcPr>
            <w:tcW w:w="418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5"/>
                <w:szCs w:val="15"/>
                <w:color w:val="auto"/>
              </w:rPr>
              <w:t>6.00% Notes due 2026</w:t>
            </w:r>
            <w:r>
              <w:rPr>
                <w:rFonts w:ascii="Times New Roman" w:cs="Times New Roman" w:eastAsia="Times New Roman" w:hAnsi="Times New Roman"/>
                <w:sz w:val="24"/>
                <w:szCs w:val="24"/>
                <w:color w:val="auto"/>
                <w:vertAlign w:val="superscript"/>
              </w:rPr>
              <w:t>(1)</w:t>
            </w:r>
          </w:p>
        </w:tc>
        <w:tc>
          <w:tcPr>
            <w:tcW w:w="80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75.0</w:t>
            </w:r>
          </w:p>
        </w:tc>
        <w:tc>
          <w:tcPr>
            <w:tcW w:w="1080" w:type="dxa"/>
            <w:vAlign w:val="bottom"/>
            <w:gridSpan w:val="2"/>
            <w:shd w:val="clear" w:color="auto" w:fill="CCEEFF"/>
          </w:tcPr>
          <w:p>
            <w:pPr>
              <w:jc w:val="right"/>
              <w:ind w:right="767"/>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75.0</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w:t>
            </w: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7"/>
                <w:szCs w:val="17"/>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0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0" w:type="dxa"/>
            <w:vAlign w:val="bottom"/>
            <w:tcBorders>
              <w:top w:val="single" w:sz="8" w:color="auto"/>
              <w:bottom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9133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ind w:left="566" w:hanging="566"/>
        <w:spacing w:after="0" w:line="270" w:lineRule="auto"/>
        <w:tabs>
          <w:tab w:leader="none" w:pos="566"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principal balance payable to investors for the 6.00% Notes due 2026 as of December 31, 2023. Refer to “Note 10—Debt Capital Activities” in our Consolidated Financial Statements as of December 31, 2023 for more information.</w:t>
      </w:r>
    </w:p>
    <w:p>
      <w:pPr>
        <w:spacing w:after="0" w:line="14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196" w:lineRule="exact"/>
        <w:rPr>
          <w:sz w:val="20"/>
          <w:szCs w:val="20"/>
          <w:color w:val="auto"/>
        </w:rPr>
      </w:pPr>
    </w:p>
    <w:p>
      <w:pPr>
        <w:jc w:val="both"/>
        <w:ind w:left="6" w:firstLine="317"/>
        <w:spacing w:after="0" w:line="251" w:lineRule="auto"/>
        <w:rPr>
          <w:sz w:val="20"/>
          <w:szCs w:val="20"/>
          <w:color w:val="auto"/>
        </w:rPr>
      </w:pPr>
      <w:r>
        <w:rPr>
          <w:rFonts w:ascii="Times New Roman" w:cs="Times New Roman" w:eastAsia="Times New Roman" w:hAnsi="Times New Roman"/>
          <w:sz w:val="16"/>
          <w:szCs w:val="16"/>
          <w:color w:val="auto"/>
        </w:rPr>
        <w:t>During the year ended December 31, 2023, we repurchased 186,493 shares of our common stock under the Share Repurchase Program. During the year ended December 31, 2022, we repurchased 1,008,676 shares of our common stock under the Share Repurchase Program. As of December 31, 2023, the dollar value of shares that remained available to be purchased under the Share Repurchase Program was approximately $20.7 million. On August 7, 2023, our Board of Directors authorized an extension of, and an increase in the amount of shares of our common stock that may be repurchased under, the discretionary Share Repurchase Program until the earlier of (i) October 31, 2024 or (ii) the repurchase of $60.0 million in aggregate amount of our common stock.</w:t>
      </w:r>
    </w:p>
    <w:p>
      <w:pPr>
        <w:spacing w:after="0" w:line="166" w:lineRule="exact"/>
        <w:rPr>
          <w:sz w:val="20"/>
          <w:szCs w:val="20"/>
          <w:color w:val="auto"/>
        </w:rPr>
      </w:pPr>
    </w:p>
    <w:p>
      <w:pPr>
        <w:jc w:val="both"/>
        <w:ind w:left="6" w:firstLine="282"/>
        <w:spacing w:after="0" w:line="253" w:lineRule="auto"/>
        <w:rPr>
          <w:sz w:val="20"/>
          <w:szCs w:val="20"/>
          <w:color w:val="auto"/>
        </w:rPr>
      </w:pPr>
      <w:r>
        <w:rPr>
          <w:rFonts w:ascii="Times New Roman" w:cs="Times New Roman" w:eastAsia="Times New Roman" w:hAnsi="Times New Roman"/>
          <w:sz w:val="16"/>
          <w:szCs w:val="16"/>
          <w:color w:val="auto"/>
        </w:rPr>
        <w:t>Under the Share Repurchase Program, we may repurchase our outstanding common stock in the open market provided that we comply with the prohibitions under our insider trading policies and procedures and the applicable provisions of the 1940 Act and the Exchange Act and the rules promulgated thereunder. For more information on the Share Repurchase Program, see “Item 5. Market for Registrant’s Common Equity, Related Stockholder Matters and Issuances of Equity Securities -- Issuer Purchases of Equity Securities” and “Note 5—Common Stock” to our Consolidated Financial Statements as of December 31, 2023.</w:t>
      </w:r>
    </w:p>
    <w:p>
      <w:pPr>
        <w:spacing w:after="0" w:line="16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02"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Modified Dutch Auction Tender Offer</w:t>
      </w:r>
    </w:p>
    <w:p>
      <w:pPr>
        <w:spacing w:after="0" w:line="19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On March 17, 2023, we commenced a Modified Dutch Auction Tender Offer to purchase up to 3,000,000 shares of our common stock from our stockholders, which expired on April 17, 2023. In accordance with the terms of the Modified Dutch Auction Tender Offer, we selected the lowest price per share of not less than $3.00 per share and not greater than $4.50 per share.</w:t>
      </w:r>
    </w:p>
    <w:p>
      <w:pPr>
        <w:spacing w:after="0" w:line="159"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Pursuant to the Modified Dutch Auction Tender Offer, we repurchased 3,000,000 shares, representing 10.6% of our outstanding shares, on or about April 21, 2023 at a price of $4.50 per share. We used available cash to fund the purchase of our shares of common stock in the Modified Dutch Auction Tender Offer and to pay for all related fees and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196"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6"/>
          <w:szCs w:val="16"/>
          <w:color w:val="auto"/>
        </w:rPr>
        <w:t>As of December 31, 2023, we had no off-balance sheet arrangements, including any risk management of commodity pricing or other hedging practices. However, we may employ hedging and other risk management techniques in the future.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Issuances and Debt Capital Activities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At-the-Market Offering</w:t>
      </w:r>
    </w:p>
    <w:p>
      <w:pPr>
        <w:spacing w:after="0" w:line="19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On July 29, 2020, we entered into an At-the-Market Sales Agreement, dated July 29, 2020 (as amended, the “Sales Agreement”), with BTIG, LLC, JMP Securities LLC, and Ladenburg Thalmann &amp; Co., Inc. (collectively, the “Agents”). Under the Initial Sales Agreement, we may, but have no obligation to, issue and sell up to $150.0 million in aggregate amount of shares of our common stock (the “Shares”) from time to time through the Agents or to them as principal for their own account (the “ATM Program”). We intend to use the net proceeds from the ATM Program to make investments in portfolio companies in accordance with our investment objective and strategy and for general corporate purposes.</w:t>
      </w:r>
    </w:p>
    <w:p>
      <w:pPr>
        <w:spacing w:after="0" w:line="16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During the year ended December 31, 2023, we did not issue or sell Shares under the ATM program. As of December 31, 2023, up to approximately $98.8 million in aggregate amount of the Shares remain available for sale under the ATM Program.</w:t>
      </w:r>
    </w:p>
    <w:p>
      <w:pPr>
        <w:spacing w:after="0" w:line="150"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During the year ended December 31, 2022, we issued and sold 17,807 Shares under the ATM Program at a weighted-average price of $13.01 per Share, for gross proceeds of $231,677 and net proceeds of $229,896, after deducting commissions to the Agents on Shares sold. As of December 31, 2022, up to approximately $98.8 million in aggregate amount of the Shares remain available for sale under the ATM Program.</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Refer to “Note 5—Common Stock” to our Consolidated Financial Statements as of December 31, 2023 for more information regarding the ATM Program.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6.00% Notes due 2026</w:t>
      </w:r>
    </w:p>
    <w:p>
      <w:pPr>
        <w:spacing w:after="0" w:line="19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On December 17, 2021, we issued $70.0 million aggregate principal amount of 6.00% Notes due 2026, which bear interest at a fixed rate of 6.00% per year, payable quarterly in arrears on March 31,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Refer to “Note 10—Debt Capital Activities” to our Consolidated Financial Statements as of December 31, 2023 for more information regarding the 6.00% Notes due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19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The timing and amount of our distributions, if any, will be determined by our Board of Directors and will be declared out of assets legally available for distribution. See “Market for Registrant’s Common Equity, Related Stockholder Matters and Issuer Purchases of Equity Securities” in Part II, Item 5 of this Form 10-K for a list of our past distributions, including dividends and returns of capital, if any, per share that we have declared since our formation through December 31,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 and Policies</w:t>
      </w:r>
    </w:p>
    <w:p>
      <w:pPr>
        <w:spacing w:after="0" w:line="19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Consolidated Financial Statements as of December 31, 2023 for further detail regarding our critical accounting policies and recently issued or adopted accounting pronouncements.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Portfolio Valuation</w:t>
      </w:r>
    </w:p>
    <w:p>
      <w:pPr>
        <w:spacing w:after="0" w:line="196"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The most significant determination inherent in the preparation of our Consolidated Financial Statements is the valuation of our investment portfolio. We consider this determination to be a critical accounting estimate, given the significant judgments and subjective measurements required. As of December 31, 2023 and 2022, our investment portfolio valued at fair value represented 90.52% and 74.84% of our net assets, respectively.</w:t>
      </w:r>
    </w:p>
    <w:p>
      <w:pPr>
        <w:spacing w:after="0" w:line="159"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are required to report our investments at fair value. We follow the provisions of the Financial Accounting Standards Board Accounting Standards Codification (“ASC”) 820, Fair Value Measurements and Disclosures (“ASC 820”). ASC 820 defines fair value, establishes a framework for measuring fair value, establishes a fair value hierarchy based on the quality of inputs used to measure fair value and enhances disclosure requirements for fair value measurements. ASC 820 requires us to assume that the portfolio investment is to be sold in the principal market to independent market participants, which may be a hypothetical market. Market participants are defined as buyers and sellers in the principal market that are independent, knowledgeable and willing and able to transact. See “Note 2 – Significant Accounting Policies – Investments at Fair Value” for more information.</w:t>
      </w:r>
    </w:p>
    <w:p>
      <w:pPr>
        <w:spacing w:after="0" w:line="16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Due to the inherent uncertainty in the valuation process, the determination of fair value for our investment portfolio may differ materially from the values that would have been determined had a ready market for the securities existed. In addition, changes in the market environment, portfolio company performance and other events that may occur over the lives of the investments may cause the gains or losses ultimately realized on these investments to be materially different than the valuations currently assigned. We determine the fair value of each individual investment and record changes in fair value as unrealized appreciation or depreciation.</w:t>
      </w:r>
    </w:p>
    <w:p>
      <w:pPr>
        <w:spacing w:after="0" w:line="16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In 2022, the SEC adopted Rule 2a-5 under the 1940 Act (“Rule 2a-5”), which establishes a framework for determining fair value in good faith for purposes of the 1940 Act. As adopted, Rule 2a-5 permits boards of directors to designate certain parties to perform fair value determinations, subject to board oversight and certain other conditions. The SEC also adopted Rule 31a-4 under the 1940 Act (“Rule 31a-4”), which provides the recordkeeping requirements associated with fair value determinations. While our Board of Directors has not elected to designate a valuation designee, we adopted certain revisions to our valuation policies and procedures to comply with the applicable requirements of Rule 2a-5 and Rule 31a-4.</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2"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While the Board of Directors is ultimately and solely responsible for determining the fair value of our investments, we have engaged independent valuation firms to provide us with valuation assistance with respect to our investments. Our Board of Directors consulted with an independent third-party valuation firm in arriving at its determination of fair value for 100% of our portfolio investments as of December 31, 2023 and 2022, exclusive of new portfolio company investments made during the three months ended December 31, 2023 and 2022,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recognize gains or losses on the sale of investments using the specific identification method. We recognize interest income, adjusted for amortization of premium and accretion of discount, on an accrual basis. We recognize dividend income on the ex-dividend date.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Transaction Costs and Escrow Deposit</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Commissions and other costs associated with an investment transaction, including legal expenses not reimbursed by the portfolio company, are included in the cost basis of purchases and deducted from the proceeds of sales. We make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Consolidated Statement of Assets and Liabilities as escrow deposits. As of December 31, 2023 and December 31, 2022, we had no escrow deposits.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Related-Party Transactions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“Note 3—Related-Party Arrangements” to our Consolidated Financial Statements as of December 31, 2023 for more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Risk</w:t>
      </w:r>
    </w:p>
    <w:p>
      <w:pPr>
        <w:spacing w:after="0" w:line="194"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6"/>
          <w:szCs w:val="16"/>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Valuation Risk</w:t>
      </w:r>
    </w:p>
    <w:p>
      <w:pPr>
        <w:spacing w:after="0" w:line="194"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Our investments may not have a readily available market quotation, as such term is defined in Rule 2a-5 under the 1940 Act,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 Rate Risk</w:t>
      </w:r>
    </w:p>
    <w:p>
      <w:pPr>
        <w:spacing w:after="0" w:line="194" w:lineRule="exact"/>
        <w:rPr>
          <w:sz w:val="20"/>
          <w:szCs w:val="20"/>
          <w:color w:val="auto"/>
        </w:rPr>
      </w:pPr>
    </w:p>
    <w:p>
      <w:pPr>
        <w:jc w:val="both"/>
        <w:ind w:right="20" w:firstLine="282"/>
        <w:spacing w:after="0" w:line="283" w:lineRule="auto"/>
        <w:rPr>
          <w:sz w:val="20"/>
          <w:szCs w:val="20"/>
          <w:color w:val="auto"/>
        </w:rPr>
      </w:pPr>
      <w:r>
        <w:rPr>
          <w:rFonts w:ascii="Times New Roman" w:cs="Times New Roman" w:eastAsia="Times New Roman" w:hAnsi="Times New Roman"/>
          <w:sz w:val="15"/>
          <w:szCs w:val="15"/>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December 31, 2023, all of our debt investments and outstanding borrowings bore fixed rates of interest.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4"/>
        </w:trPr>
        <w:tc>
          <w:tcPr>
            <w:tcW w:w="10680" w:type="dxa"/>
            <w:vAlign w:val="bottom"/>
            <w:gridSpan w:val="9"/>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580" w:type="dxa"/>
            <w:vAlign w:val="bottom"/>
          </w:tcPr>
          <w:p>
            <w:pPr>
              <w:spacing w:after="0"/>
              <w:rPr>
                <w:sz w:val="16"/>
                <w:szCs w:val="16"/>
                <w:color w:val="auto"/>
              </w:rPr>
            </w:pPr>
          </w:p>
        </w:tc>
      </w:tr>
      <w:tr>
        <w:trPr>
          <w:trHeight w:val="20"/>
        </w:trPr>
        <w:tc>
          <w:tcPr>
            <w:tcW w:w="15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90"/>
        </w:trPr>
        <w:tc>
          <w:tcPr>
            <w:tcW w:w="106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tc>
        <w:tc>
          <w:tcPr>
            <w:tcW w:w="580" w:type="dxa"/>
            <w:vAlign w:val="bottom"/>
          </w:tcPr>
          <w:p>
            <w:pPr>
              <w:spacing w:after="0"/>
              <w:rPr>
                <w:sz w:val="24"/>
                <w:szCs w:val="24"/>
                <w:color w:val="auto"/>
              </w:rPr>
            </w:pPr>
          </w:p>
        </w:tc>
      </w:tr>
      <w:tr>
        <w:trPr>
          <w:trHeight w:val="376"/>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8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tc>
        <w:tc>
          <w:tcPr>
            <w:tcW w:w="580" w:type="dxa"/>
            <w:vAlign w:val="bottom"/>
          </w:tcPr>
          <w:p>
            <w:pPr>
              <w:spacing w:after="0"/>
              <w:rPr>
                <w:sz w:val="24"/>
                <w:szCs w:val="24"/>
                <w:color w:val="auto"/>
              </w:rPr>
            </w:pPr>
          </w:p>
        </w:tc>
      </w:tr>
      <w:tr>
        <w:trPr>
          <w:trHeight w:val="381"/>
        </w:trPr>
        <w:tc>
          <w:tcPr>
            <w:tcW w:w="15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40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53"/>
        </w:trPr>
        <w:tc>
          <w:tcPr>
            <w:tcW w:w="10680" w:type="dxa"/>
            <w:vAlign w:val="bottom"/>
            <w:gridSpan w:val="9"/>
            <w:shd w:val="clear" w:color="auto" w:fill="CCEEFF"/>
          </w:tcPr>
          <w:p>
            <w:pPr>
              <w:spacing w:after="0" w:line="153"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688</w:t>
            </w:r>
          </w:p>
        </w:tc>
        <w:tc>
          <w:tcPr>
            <w:tcW w:w="58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6"/>
                <w:szCs w:val="16"/>
                <w:color w:val="auto"/>
              </w:rPr>
              <w:t>67</w:t>
            </w:r>
          </w:p>
        </w:tc>
      </w:tr>
      <w:tr>
        <w:trPr>
          <w:trHeight w:val="35"/>
        </w:trPr>
        <w:tc>
          <w:tcPr>
            <w:tcW w:w="1580" w:type="dxa"/>
            <w:vAlign w:val="bottom"/>
            <w:shd w:val="clear" w:color="auto" w:fill="0000EE"/>
          </w:tcPr>
          <w:p>
            <w:pPr>
              <w:spacing w:after="0"/>
              <w:rPr>
                <w:sz w:val="3"/>
                <w:szCs w:val="3"/>
                <w:color w:val="auto"/>
              </w:rPr>
            </w:pPr>
          </w:p>
        </w:tc>
        <w:tc>
          <w:tcPr>
            <w:tcW w:w="1160" w:type="dxa"/>
            <w:vAlign w:val="bottom"/>
            <w:shd w:val="clear" w:color="auto" w:fill="0000EE"/>
          </w:tcPr>
          <w:p>
            <w:pPr>
              <w:spacing w:after="0"/>
              <w:rPr>
                <w:sz w:val="3"/>
                <w:szCs w:val="3"/>
                <w:color w:val="auto"/>
              </w:rPr>
            </w:pPr>
          </w:p>
        </w:tc>
        <w:tc>
          <w:tcPr>
            <w:tcW w:w="920" w:type="dxa"/>
            <w:vAlign w:val="bottom"/>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40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r>
        <w:trPr>
          <w:trHeight w:val="153"/>
        </w:trPr>
        <w:tc>
          <w:tcPr>
            <w:tcW w:w="5340" w:type="dxa"/>
            <w:vAlign w:val="bottom"/>
            <w:tcBorders>
              <w:bottom w:val="single" w:sz="8" w:color="0000EE"/>
            </w:tcBorders>
            <w:gridSpan w:val="5"/>
          </w:tcPr>
          <w:p>
            <w:pPr>
              <w:spacing w:after="0" w:line="153" w:lineRule="exact"/>
              <w:rPr>
                <w:sz w:val="20"/>
                <w:szCs w:val="20"/>
                <w:color w:val="auto"/>
              </w:rPr>
            </w:pPr>
            <w:r>
              <w:rPr>
                <w:rFonts w:ascii="Times New Roman" w:cs="Times New Roman" w:eastAsia="Times New Roman" w:hAnsi="Times New Roman"/>
                <w:sz w:val="16"/>
                <w:szCs w:val="16"/>
                <w:color w:val="0000EE"/>
                <w:w w:val="97"/>
              </w:rPr>
              <w:t>Consolidated Statements of Assets and Liabilities as of December 31, 2023 and 2022</w:t>
            </w:r>
          </w:p>
        </w:tc>
        <w:tc>
          <w:tcPr>
            <w:tcW w:w="5340" w:type="dxa"/>
            <w:vAlign w:val="bottom"/>
            <w:gridSpan w:val="4"/>
          </w:tcPr>
          <w:p>
            <w:pPr>
              <w:spacing w:after="0"/>
              <w:rPr>
                <w:sz w:val="13"/>
                <w:szCs w:val="13"/>
                <w:color w:val="auto"/>
              </w:rPr>
            </w:pP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68</w:t>
            </w:r>
          </w:p>
        </w:tc>
      </w:tr>
      <w:tr>
        <w:trPr>
          <w:trHeight w:val="183"/>
        </w:trPr>
        <w:tc>
          <w:tcPr>
            <w:tcW w:w="5960" w:type="dxa"/>
            <w:vAlign w:val="bottom"/>
            <w:tcBorders>
              <w:bottom w:val="single" w:sz="8" w:color="0000EE"/>
            </w:tcBorders>
            <w:gridSpan w:val="6"/>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7"/>
              </w:rPr>
              <w:t>Consolidated Statements of Operations for the years ended December 31, 2023, 2022 and 2021</w:t>
            </w:r>
          </w:p>
        </w:tc>
        <w:tc>
          <w:tcPr>
            <w:tcW w:w="4720" w:type="dxa"/>
            <w:vAlign w:val="bottom"/>
            <w:tcBorders>
              <w:bottom w:val="single" w:sz="8" w:color="CCEEFF"/>
            </w:tcBorders>
            <w:gridSpan w:val="3"/>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69</w:t>
            </w:r>
          </w:p>
        </w:tc>
      </w:tr>
      <w:tr>
        <w:trPr>
          <w:trHeight w:val="153"/>
        </w:trPr>
        <w:tc>
          <w:tcPr>
            <w:tcW w:w="10680" w:type="dxa"/>
            <w:vAlign w:val="bottom"/>
            <w:gridSpan w:val="9"/>
          </w:tcPr>
          <w:p>
            <w:pPr>
              <w:spacing w:after="0" w:line="153" w:lineRule="exact"/>
              <w:rPr>
                <w:sz w:val="20"/>
                <w:szCs w:val="20"/>
                <w:color w:val="auto"/>
              </w:rPr>
            </w:pPr>
            <w:r>
              <w:rPr>
                <w:rFonts w:ascii="Times New Roman" w:cs="Times New Roman" w:eastAsia="Times New Roman" w:hAnsi="Times New Roman"/>
                <w:sz w:val="16"/>
                <w:szCs w:val="16"/>
                <w:color w:val="0000EE"/>
              </w:rPr>
              <w:t>Consolidated Statements of Changes in Net Assets for the years ended December 31, 2023, 2022 and 2021</w:t>
            </w:r>
          </w:p>
        </w:tc>
        <w:tc>
          <w:tcPr>
            <w:tcW w:w="58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70</w:t>
            </w:r>
          </w:p>
        </w:tc>
      </w:tr>
      <w:tr>
        <w:trPr>
          <w:trHeight w:val="183"/>
        </w:trPr>
        <w:tc>
          <w:tcPr>
            <w:tcW w:w="6680" w:type="dxa"/>
            <w:vAlign w:val="bottom"/>
            <w:tcBorders>
              <w:top w:val="single" w:sz="8" w:color="0000EE"/>
            </w:tcBorders>
            <w:gridSpan w:val="8"/>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2023, 2022 and 2021</w:t>
            </w:r>
          </w:p>
        </w:tc>
        <w:tc>
          <w:tcPr>
            <w:tcW w:w="4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71</w:t>
            </w:r>
          </w:p>
        </w:tc>
      </w:tr>
      <w:tr>
        <w:trPr>
          <w:trHeight w:val="153"/>
        </w:trPr>
        <w:tc>
          <w:tcPr>
            <w:tcW w:w="6000" w:type="dxa"/>
            <w:vAlign w:val="bottom"/>
            <w:tcBorders>
              <w:top w:val="single" w:sz="8" w:color="0000EE"/>
            </w:tcBorders>
            <w:gridSpan w:val="7"/>
          </w:tcPr>
          <w:p>
            <w:pPr>
              <w:spacing w:after="0" w:line="153" w:lineRule="exact"/>
              <w:rPr>
                <w:sz w:val="20"/>
                <w:szCs w:val="20"/>
                <w:color w:val="auto"/>
              </w:rPr>
            </w:pPr>
            <w:r>
              <w:rPr>
                <w:rFonts w:ascii="Times New Roman" w:cs="Times New Roman" w:eastAsia="Times New Roman" w:hAnsi="Times New Roman"/>
                <w:sz w:val="16"/>
                <w:szCs w:val="16"/>
                <w:color w:val="0000EE"/>
              </w:rPr>
              <w:t>Consolidated Schedule of Investments as of December 31, 2023</w:t>
            </w:r>
          </w:p>
        </w:tc>
        <w:tc>
          <w:tcPr>
            <w:tcW w:w="4680" w:type="dxa"/>
            <w:vAlign w:val="bottom"/>
            <w:tcBorders>
              <w:top w:val="single" w:sz="8" w:color="CCEEFF"/>
            </w:tcBorders>
            <w:gridSpan w:val="2"/>
          </w:tcPr>
          <w:p>
            <w:pPr>
              <w:spacing w:after="0"/>
              <w:rPr>
                <w:sz w:val="13"/>
                <w:szCs w:val="13"/>
                <w:color w:val="auto"/>
              </w:rPr>
            </w:pPr>
          </w:p>
        </w:tc>
        <w:tc>
          <w:tcPr>
            <w:tcW w:w="580" w:type="dxa"/>
            <w:vAlign w:val="bottom"/>
            <w:tcBorders>
              <w:top w:val="single" w:sz="8" w:color="CCEEFF"/>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72</w:t>
            </w:r>
          </w:p>
        </w:tc>
      </w:tr>
      <w:tr>
        <w:trPr>
          <w:trHeight w:val="20"/>
        </w:trPr>
        <w:tc>
          <w:tcPr>
            <w:tcW w:w="15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10680" w:type="dxa"/>
            <w:vAlign w:val="bottom"/>
            <w:gridSpan w:val="9"/>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Consolidated Schedule of Investments as of December 31, 2022</w:t>
            </w:r>
          </w:p>
        </w:tc>
        <w:tc>
          <w:tcPr>
            <w:tcW w:w="5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color w:val="auto"/>
              </w:rPr>
              <w:t>76</w:t>
            </w:r>
          </w:p>
        </w:tc>
      </w:tr>
      <w:tr>
        <w:trPr>
          <w:trHeight w:val="153"/>
        </w:trPr>
        <w:tc>
          <w:tcPr>
            <w:tcW w:w="2740" w:type="dxa"/>
            <w:vAlign w:val="bottom"/>
            <w:tcBorders>
              <w:top w:val="single" w:sz="8" w:color="0000EE"/>
              <w:bottom w:val="single" w:sz="8" w:color="0000EE"/>
            </w:tcBorders>
            <w:gridSpan w:val="2"/>
          </w:tcPr>
          <w:p>
            <w:pPr>
              <w:spacing w:after="0" w:line="153" w:lineRule="exact"/>
              <w:rPr>
                <w:sz w:val="20"/>
                <w:szCs w:val="20"/>
                <w:color w:val="auto"/>
              </w:rPr>
            </w:pPr>
            <w:r>
              <w:rPr>
                <w:rFonts w:ascii="Times New Roman" w:cs="Times New Roman" w:eastAsia="Times New Roman" w:hAnsi="Times New Roman"/>
                <w:sz w:val="16"/>
                <w:szCs w:val="16"/>
                <w:color w:val="0000EE"/>
                <w:w w:val="97"/>
              </w:rPr>
              <w:t>Notes to Consolidated Financial Statements</w:t>
            </w:r>
          </w:p>
        </w:tc>
        <w:tc>
          <w:tcPr>
            <w:tcW w:w="1260" w:type="dxa"/>
            <w:vAlign w:val="bottom"/>
            <w:tcBorders>
              <w:top w:val="single" w:sz="8" w:color="0000EE"/>
            </w:tcBorders>
            <w:gridSpan w:val="2"/>
          </w:tcPr>
          <w:p>
            <w:pPr>
              <w:spacing w:after="0"/>
              <w:rPr>
                <w:sz w:val="13"/>
                <w:szCs w:val="13"/>
                <w:color w:val="auto"/>
              </w:rPr>
            </w:pPr>
          </w:p>
        </w:tc>
        <w:tc>
          <w:tcPr>
            <w:tcW w:w="6680" w:type="dxa"/>
            <w:vAlign w:val="bottom"/>
            <w:tcBorders>
              <w:top w:val="single" w:sz="8" w:color="CCEEFF"/>
            </w:tcBorders>
            <w:gridSpan w:val="5"/>
          </w:tcPr>
          <w:p>
            <w:pPr>
              <w:spacing w:after="0"/>
              <w:rPr>
                <w:sz w:val="13"/>
                <w:szCs w:val="13"/>
                <w:color w:val="auto"/>
              </w:rPr>
            </w:pPr>
          </w:p>
        </w:tc>
        <w:tc>
          <w:tcPr>
            <w:tcW w:w="580" w:type="dxa"/>
            <w:vAlign w:val="bottom"/>
            <w:tcBorders>
              <w:top w:val="single" w:sz="8" w:color="CCEEFF"/>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80</w:t>
            </w:r>
          </w:p>
        </w:tc>
      </w:tr>
      <w:tr>
        <w:trPr>
          <w:trHeight w:val="395"/>
        </w:trPr>
        <w:tc>
          <w:tcPr>
            <w:tcW w:w="5960" w:type="dxa"/>
            <w:vAlign w:val="bottom"/>
            <w:tcBorders>
              <w:bottom w:val="single" w:sz="8" w:color="auto"/>
            </w:tcBorders>
            <w:gridSpan w:val="6"/>
          </w:tcPr>
          <w:p>
            <w:pPr>
              <w:ind w:left="5540"/>
              <w:spacing w:after="0"/>
              <w:rPr>
                <w:sz w:val="20"/>
                <w:szCs w:val="20"/>
                <w:color w:val="auto"/>
              </w:rPr>
            </w:pPr>
            <w:r>
              <w:rPr>
                <w:rFonts w:ascii="Times New Roman" w:cs="Times New Roman" w:eastAsia="Times New Roman" w:hAnsi="Times New Roman"/>
                <w:sz w:val="16"/>
                <w:szCs w:val="16"/>
                <w:color w:val="auto"/>
              </w:rPr>
              <w:t>66</w:t>
            </w: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-1216025</wp:posOffset>
            </wp:positionV>
            <wp:extent cx="679196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91960" cy="7620"/>
                    </a:xfrm>
                    <a:prstGeom prst="rect">
                      <a:avLst/>
                    </a:prstGeom>
                    <a:noFill/>
                  </pic:spPr>
                </pic:pic>
              </a:graphicData>
            </a:graphic>
          </wp:anchor>
        </w:drawing>
      </w:r>
    </w:p>
    <w:p>
      <w:pPr>
        <w:sectPr>
          <w:pgSz w:w="11900" w:h="16838" w:orient="portrait"/>
          <w:cols w:equalWidth="0" w:num="1">
            <w:col w:w="11260"/>
          </w:cols>
          <w:pgMar w:left="320" w:top="202" w:right="319" w:bottom="1440" w:gutter="0" w:footer="0" w:header="0"/>
        </w:sectPr>
      </w:pPr>
    </w:p>
    <w:bookmarkStart w:id="69" w:name="page70"/>
    <w:bookmarkEnd w:id="69"/>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To the Shareholders and Board of Directors of</w:t>
      </w:r>
    </w:p>
    <w:p>
      <w:pPr>
        <w:spacing w:after="0" w:line="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SuRo Capital Corp.</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Opinion on the Consolidated Financial Statements</w:t>
      </w:r>
    </w:p>
    <w:p>
      <w:pPr>
        <w:spacing w:after="0" w:line="194" w:lineRule="exact"/>
        <w:rPr>
          <w:sz w:val="20"/>
          <w:szCs w:val="20"/>
          <w:color w:val="auto"/>
        </w:rPr>
      </w:pPr>
    </w:p>
    <w:p>
      <w:pPr>
        <w:jc w:val="both"/>
        <w:ind w:left="6"/>
        <w:spacing w:after="0" w:line="249" w:lineRule="auto"/>
        <w:rPr>
          <w:sz w:val="20"/>
          <w:szCs w:val="20"/>
          <w:color w:val="auto"/>
        </w:rPr>
      </w:pPr>
      <w:r>
        <w:rPr>
          <w:rFonts w:ascii="Times New Roman" w:cs="Times New Roman" w:eastAsia="Times New Roman" w:hAnsi="Times New Roman"/>
          <w:sz w:val="16"/>
          <w:szCs w:val="16"/>
          <w:color w:val="auto"/>
        </w:rPr>
        <w:t>We have audited the accompanying consolidated statements of assets and liabilities of SuRo Capital Corp. and subsidiaries (the “Company”) including the consolidated schedule of investments as of December 31, 2023 and 2022, the related consolidated statements of operations, cash flows, and changes in net assets for each of the three years in the period ended December 31, 2023, the financial highlights (presented in Note 8) for each of the five years in the period ended December 31, 2023, and the related notes (collectively referred to as the “financial statements”). In our opinion, the financial statements and financial highlights present fairly, in all material respects, the financial position of the Company as of December 31, 2023 and 2022, and the results of its operations, changes in net assets and its cash flows for each of the three years in the period ended December 31, 2023 and the financial highlights for each of the five years in the period ended December 31, 2023, in conformity with accounting principles generally accepted in the United States of America.</w:t>
      </w:r>
    </w:p>
    <w:p>
      <w:pPr>
        <w:spacing w:after="0" w:line="1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4" w:lineRule="exact"/>
        <w:rPr>
          <w:sz w:val="20"/>
          <w:szCs w:val="20"/>
          <w:color w:val="auto"/>
        </w:rPr>
      </w:pPr>
    </w:p>
    <w:p>
      <w:pPr>
        <w:jc w:val="both"/>
        <w:ind w:left="6"/>
        <w:spacing w:after="0" w:line="283"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w:t>
      </w: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5"/>
          <w:szCs w:val="15"/>
          <w:color w:val="auto"/>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ind w:left="6"/>
        <w:spacing w:after="0" w:line="254" w:lineRule="auto"/>
        <w:rPr>
          <w:sz w:val="20"/>
          <w:szCs w:val="20"/>
          <w:color w:val="auto"/>
        </w:rPr>
      </w:pPr>
      <w:r>
        <w:rPr>
          <w:rFonts w:ascii="Times New Roman" w:cs="Times New Roman" w:eastAsia="Times New Roman" w:hAnsi="Times New Roman"/>
          <w:sz w:val="16"/>
          <w:szCs w:val="16"/>
          <w:color w:val="auto"/>
        </w:rPr>
        <w:t>We conducted our audit</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xml:space="preserve"> in accordance with the standards of the PCAOB. Those standards require that we plan and perform the audit</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xml:space="preserve">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ind w:left="6"/>
        <w:spacing w:after="0" w:line="252" w:lineRule="auto"/>
        <w:rPr>
          <w:sz w:val="20"/>
          <w:szCs w:val="20"/>
          <w:color w:val="auto"/>
        </w:rPr>
      </w:pPr>
      <w:r>
        <w:rPr>
          <w:rFonts w:ascii="Times New Roman" w:cs="Times New Roman" w:eastAsia="Times New Roman" w:hAnsi="Times New Roman"/>
          <w:sz w:val="16"/>
          <w:szCs w:val="16"/>
          <w:color w:val="auto"/>
        </w:rPr>
        <w:t>Our audit</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xml:space="preserve">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xml:space="preserve"> also included evaluating the accounting principles used and significant estimates made by management, as well as evaluating the overall presentation of the financial statements. Our procedures included confirmation of investments owned as of December 31, 2023 and 2022, by correspondence with the custodian, loan agents, and borrowers; when replies were not received, we performed other auditing procedures. We believe that our audit</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6"/>
          <w:szCs w:val="16"/>
          <w:color w:val="auto"/>
        </w:rPr>
        <w:t xml:space="preserve"> provide a reasonable basis for our opinion.</w:t>
      </w:r>
    </w:p>
    <w:p>
      <w:pPr>
        <w:spacing w:after="0" w:line="1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94"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Valuation of Investments – Level 3 Investments in Preferred Stock, Common Stock, Debt Investments and Options</w:t>
      </w:r>
    </w:p>
    <w:p>
      <w:pPr>
        <w:spacing w:after="0" w:line="196" w:lineRule="exact"/>
        <w:rPr>
          <w:sz w:val="20"/>
          <w:szCs w:val="20"/>
          <w:color w:val="auto"/>
        </w:rPr>
      </w:pPr>
    </w:p>
    <w:p>
      <w:pPr>
        <w:jc w:val="both"/>
        <w:ind w:left="6" w:right="20"/>
        <w:spacing w:after="0" w:line="253" w:lineRule="auto"/>
        <w:rPr>
          <w:sz w:val="20"/>
          <w:szCs w:val="20"/>
          <w:color w:val="auto"/>
        </w:rPr>
      </w:pPr>
      <w:r>
        <w:rPr>
          <w:rFonts w:ascii="Times New Roman" w:cs="Times New Roman" w:eastAsia="Times New Roman" w:hAnsi="Times New Roman"/>
          <w:sz w:val="16"/>
          <w:szCs w:val="16"/>
          <w:color w:val="auto"/>
        </w:rPr>
        <w:t>As described in Note 4 to the financial statements, approximately 68% of the Company’s $248 million total investments in securities as of December 31, 2023 represents investments in level 3 preferred stock, common stock, debt investments and options issued by private companies whose fair value, as disclosed by management, is determined in good faith by the Board of Directors. Management applied significant judgment in determining the fair value of these level 3 investments, which involved the use of significant unobservable inputs with respect to the revenue and/or other multiples utilized, liquidation value, financing risk, term to expiration and discount rates.</w:t>
      </w:r>
    </w:p>
    <w:p>
      <w:pPr>
        <w:spacing w:after="0" w:line="164"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16"/>
          <w:szCs w:val="16"/>
          <w:color w:val="auto"/>
        </w:rPr>
        <w:t>The principal considerations for our determination that performing procedures relating to the valuation of level 3 investments in preferred stock, common stock, debt investments and options is a critical audit matter are the significant judgment involved by management in determining the fair value of these level 3 investments, including the use of various valuation techniques and significant unobservable inputs, which in turn led to a high degree of auditor judgment, subjectivity, and effort in performing audit procedures and evaluating the audit evidence obtained relating to the valuation techniques and significant unobservable inputs.</w:t>
      </w:r>
    </w:p>
    <w:p>
      <w:pPr>
        <w:spacing w:after="0" w:line="164" w:lineRule="exact"/>
        <w:rPr>
          <w:sz w:val="20"/>
          <w:szCs w:val="20"/>
          <w:color w:val="auto"/>
        </w:rPr>
      </w:pPr>
    </w:p>
    <w:p>
      <w:pPr>
        <w:jc w:val="both"/>
        <w:ind w:left="6" w:right="20"/>
        <w:spacing w:after="0" w:line="270"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financial statements and financial highlights. Our principle audit procedures included, among others:</w:t>
      </w:r>
    </w:p>
    <w:p>
      <w:pPr>
        <w:spacing w:after="0" w:line="150" w:lineRule="exact"/>
        <w:rPr>
          <w:sz w:val="20"/>
          <w:szCs w:val="20"/>
          <w:color w:val="auto"/>
        </w:rPr>
      </w:pPr>
    </w:p>
    <w:p>
      <w:pPr>
        <w:ind w:left="6" w:hanging="6"/>
        <w:spacing w:after="0" w:line="304" w:lineRule="auto"/>
        <w:tabs>
          <w:tab w:leader="none" w:pos="197"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testing the completeness and accuracy of management’s valuations, including evaluating the appropriateness of management’s methodologies, evaluating the reasonableness of assumptions and significant unobservable inputs, including revenue and/or other multiples utilized, liquidation value, financing risk, term to expiration and discount rates; and</w:t>
      </w:r>
    </w:p>
    <w:p>
      <w:pPr>
        <w:spacing w:after="0" w:line="127" w:lineRule="exact"/>
        <w:rPr>
          <w:rFonts w:ascii="Times New Roman" w:cs="Times New Roman" w:eastAsia="Times New Roman" w:hAnsi="Times New Roman"/>
          <w:sz w:val="15"/>
          <w:szCs w:val="15"/>
          <w:color w:val="auto"/>
        </w:rPr>
      </w:pPr>
    </w:p>
    <w:p>
      <w:pPr>
        <w:jc w:val="both"/>
        <w:ind w:left="6" w:right="20" w:hanging="6"/>
        <w:spacing w:after="0" w:line="258" w:lineRule="auto"/>
        <w:tabs>
          <w:tab w:leader="none" w:pos="25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involvement of professionals with specialized skills and knowledge to assist in the assessment of the fair values for a sample of investments, including reviewing the valuation methodologies, assessing the assumptions utilized in developing the estimates, and evaluating the reasonableness of management’s conclusions in deriving the valuations.</w:t>
      </w:r>
    </w:p>
    <w:p>
      <w:pPr>
        <w:spacing w:after="0" w:line="15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Marcum LLP</w:t>
      </w:r>
    </w:p>
    <w:p>
      <w:pPr>
        <w:spacing w:after="0" w:line="1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San Francisco, CA</w:t>
      </w:r>
    </w:p>
    <w:p>
      <w:pPr>
        <w:spacing w:after="0" w:line="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March 14, 2024</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We have served as the Company’s auditor since 2019.</w:t>
      </w:r>
    </w:p>
    <w:p>
      <w:pPr>
        <w:spacing w:after="0" w:line="17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70" w:name="page71"/>
    <w:bookmarkEnd w:id="70"/>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CONSOLIDATED STATEMENTS OF ASSETS AND LIABILITIES</w:t>
      </w:r>
    </w:p>
    <w:p>
      <w:pPr>
        <w:spacing w:after="0" w:line="186"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8"/>
                <w:szCs w:val="18"/>
                <w:color w:val="auto"/>
              </w:rPr>
            </w:pPr>
          </w:p>
        </w:tc>
        <w:tc>
          <w:tcPr>
            <w:tcW w:w="18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188"/>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Non-controlled/non-affiliate investments (cost of $160,994,161 and $155,103,810, respectively)</w:t>
            </w:r>
          </w:p>
        </w:tc>
        <w:tc>
          <w:tcPr>
            <w:tcW w:w="4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147,167,535</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130,901,546</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Non-controlled/affiliate investments (cost of $32,775,940 and $41,140,804, respectively)</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24,931,333</w:t>
            </w: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12,591,162</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Controlled investments (cost of $18,771,097 and $19,883,894, respectively)</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11,982,381</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13,695,870</w:t>
            </w:r>
          </w:p>
        </w:tc>
        <w:tc>
          <w:tcPr>
            <w:tcW w:w="0" w:type="dxa"/>
            <w:vAlign w:val="bottom"/>
          </w:tcPr>
          <w:p>
            <w:pPr>
              <w:spacing w:after="0"/>
              <w:rPr>
                <w:sz w:val="1"/>
                <w:szCs w:val="1"/>
                <w:color w:val="auto"/>
              </w:rPr>
            </w:pPr>
          </w:p>
        </w:tc>
      </w:tr>
      <w:tr>
        <w:trPr>
          <w:trHeight w:val="172"/>
        </w:trPr>
        <w:tc>
          <w:tcPr>
            <w:tcW w:w="6780" w:type="dxa"/>
            <w:vAlign w:val="bottom"/>
            <w:tcBorders>
              <w:top w:val="single" w:sz="8" w:color="CCEEFF"/>
            </w:tcBorders>
          </w:tcPr>
          <w:p>
            <w:pPr>
              <w:ind w:left="160"/>
              <w:spacing w:after="0" w:line="171" w:lineRule="exact"/>
              <w:rPr>
                <w:sz w:val="20"/>
                <w:szCs w:val="20"/>
                <w:color w:val="auto"/>
              </w:rPr>
            </w:pPr>
            <w:r>
              <w:rPr>
                <w:rFonts w:ascii="Times New Roman" w:cs="Times New Roman" w:eastAsia="Times New Roman" w:hAnsi="Times New Roman"/>
                <w:sz w:val="16"/>
                <w:szCs w:val="16"/>
                <w:color w:val="auto"/>
              </w:rPr>
              <w:t>Total Portfolio Investments</w:t>
            </w: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184,081,249</w:t>
            </w:r>
          </w:p>
        </w:tc>
        <w:tc>
          <w:tcPr>
            <w:tcW w:w="3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157,188,578</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U.S. Treasury bills (cost of $63,792,704 and $84,999,598, respectively)</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63,810,855</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85,056,817</w:t>
            </w:r>
          </w:p>
        </w:tc>
        <w:tc>
          <w:tcPr>
            <w:tcW w:w="0" w:type="dxa"/>
            <w:vAlign w:val="bottom"/>
          </w:tcPr>
          <w:p>
            <w:pPr>
              <w:spacing w:after="0"/>
              <w:rPr>
                <w:sz w:val="1"/>
                <w:szCs w:val="1"/>
                <w:color w:val="auto"/>
              </w:rPr>
            </w:pPr>
          </w:p>
        </w:tc>
      </w:tr>
      <w:tr>
        <w:trPr>
          <w:trHeight w:val="172"/>
        </w:trPr>
        <w:tc>
          <w:tcPr>
            <w:tcW w:w="67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Total Investments (cost of $276,333,902 and $301,128,106, respectively)</w:t>
            </w: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247,892,104</w:t>
            </w:r>
          </w:p>
        </w:tc>
        <w:tc>
          <w:tcPr>
            <w:tcW w:w="3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242,245,395</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28,178,352</w:t>
            </w: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40,117,598</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309,293</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628,332</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132,607</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138,766</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594,726</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555,761</w:t>
            </w:r>
          </w:p>
        </w:tc>
        <w:tc>
          <w:tcPr>
            <w:tcW w:w="0" w:type="dxa"/>
            <w:vAlign w:val="bottom"/>
          </w:tcPr>
          <w:p>
            <w:pPr>
              <w:spacing w:after="0"/>
              <w:rPr>
                <w:sz w:val="1"/>
                <w:szCs w:val="1"/>
                <w:color w:val="auto"/>
              </w:rPr>
            </w:pPr>
          </w:p>
        </w:tc>
      </w:tr>
      <w:tr>
        <w:trPr>
          <w:trHeight w:val="255"/>
        </w:trPr>
        <w:tc>
          <w:tcPr>
            <w:tcW w:w="6780" w:type="dxa"/>
            <w:vAlign w:val="bottom"/>
            <w:shd w:val="clear" w:color="auto" w:fill="CCEEFF"/>
          </w:tcPr>
          <w:p>
            <w:pPr>
              <w:spacing w:after="0" w:line="235" w:lineRule="exact"/>
              <w:rPr>
                <w:sz w:val="20"/>
                <w:szCs w:val="20"/>
                <w:color w:val="auto"/>
              </w:rPr>
            </w:pPr>
            <w:r>
              <w:rPr>
                <w:rFonts w:ascii="Times New Roman" w:cs="Times New Roman" w:eastAsia="Times New Roman" w:hAnsi="Times New Roman"/>
                <w:sz w:val="16"/>
                <w:szCs w:val="16"/>
                <w:color w:val="auto"/>
              </w:rPr>
              <w:t>Prepaid expenses and other assets</w:t>
            </w:r>
            <w:r>
              <w:rPr>
                <w:rFonts w:ascii="Times New Roman" w:cs="Times New Roman" w:eastAsia="Times New Roman" w:hAnsi="Times New Roman"/>
                <w:sz w:val="26"/>
                <w:szCs w:val="26"/>
                <w:color w:val="auto"/>
                <w:vertAlign w:val="superscript"/>
              </w:rPr>
              <w:t>(1)</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494,602</w:t>
            </w: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727,006</w:t>
            </w:r>
          </w:p>
        </w:tc>
        <w:tc>
          <w:tcPr>
            <w:tcW w:w="0" w:type="dxa"/>
            <w:vAlign w:val="bottom"/>
          </w:tcPr>
          <w:p>
            <w:pPr>
              <w:spacing w:after="0"/>
              <w:rPr>
                <w:sz w:val="1"/>
                <w:szCs w:val="1"/>
                <w:color w:val="auto"/>
              </w:rPr>
            </w:pPr>
          </w:p>
        </w:tc>
      </w:tr>
      <w:tr>
        <w:trPr>
          <w:trHeight w:val="175"/>
        </w:trPr>
        <w:tc>
          <w:tcPr>
            <w:tcW w:w="6780" w:type="dxa"/>
            <w:vAlign w:val="bottom"/>
            <w:tcBorders>
              <w:top w:val="single" w:sz="8" w:color="CCEEFF"/>
              <w:bottom w:val="single" w:sz="8" w:color="CCEEFF"/>
            </w:tcBorders>
          </w:tcPr>
          <w:p>
            <w:pPr>
              <w:ind w:left="300"/>
              <w:spacing w:after="0" w:line="171"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277,601,684</w:t>
            </w:r>
          </w:p>
        </w:tc>
        <w:tc>
          <w:tcPr>
            <w:tcW w:w="32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284,412,858</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line="223" w:lineRule="exact"/>
              <w:rPr>
                <w:sz w:val="20"/>
                <w:szCs w:val="20"/>
                <w:color w:val="auto"/>
              </w:rPr>
            </w:pPr>
            <w:r>
              <w:rPr>
                <w:rFonts w:ascii="Times New Roman" w:cs="Times New Roman" w:eastAsia="Times New Roman" w:hAnsi="Times New Roman"/>
                <w:sz w:val="15"/>
                <w:szCs w:val="15"/>
                <w:color w:val="auto"/>
              </w:rPr>
              <w:t>Accounts payable and accrued expenses</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346,308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708,827</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payable</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152,523</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296,170</w:t>
            </w:r>
          </w:p>
        </w:tc>
        <w:tc>
          <w:tcPr>
            <w:tcW w:w="0" w:type="dxa"/>
            <w:vAlign w:val="bottom"/>
          </w:tcPr>
          <w:p>
            <w:pPr>
              <w:spacing w:after="0"/>
              <w:rPr>
                <w:sz w:val="1"/>
                <w:szCs w:val="1"/>
                <w:color w:val="auto"/>
              </w:rPr>
            </w:pPr>
          </w:p>
        </w:tc>
      </w:tr>
      <w:tr>
        <w:trPr>
          <w:trHeight w:val="239"/>
        </w:trPr>
        <w:tc>
          <w:tcPr>
            <w:tcW w:w="6780" w:type="dxa"/>
            <w:vAlign w:val="bottom"/>
          </w:tcPr>
          <w:p>
            <w:pPr>
              <w:spacing w:after="0" w:line="235" w:lineRule="exact"/>
              <w:rPr>
                <w:sz w:val="20"/>
                <w:szCs w:val="20"/>
                <w:color w:val="auto"/>
              </w:rPr>
            </w:pPr>
            <w:r>
              <w:rPr>
                <w:rFonts w:ascii="Times New Roman" w:cs="Times New Roman" w:eastAsia="Times New Roman" w:hAnsi="Times New Roman"/>
                <w:sz w:val="16"/>
                <w:szCs w:val="16"/>
                <w:color w:val="auto"/>
              </w:rPr>
              <w:t>6.00% Notes due December 30, 2026</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73,745,207</w:t>
            </w:r>
          </w:p>
        </w:tc>
        <w:tc>
          <w:tcPr>
            <w:tcW w:w="20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73,387,159</w:t>
            </w:r>
          </w:p>
        </w:tc>
        <w:tc>
          <w:tcPr>
            <w:tcW w:w="0" w:type="dxa"/>
            <w:vAlign w:val="bottom"/>
          </w:tcPr>
          <w:p>
            <w:pPr>
              <w:spacing w:after="0"/>
              <w:rPr>
                <w:sz w:val="1"/>
                <w:szCs w:val="1"/>
                <w:color w:val="auto"/>
              </w:rPr>
            </w:pPr>
          </w:p>
        </w:tc>
      </w:tr>
      <w:tr>
        <w:trPr>
          <w:trHeight w:val="188"/>
        </w:trPr>
        <w:tc>
          <w:tcPr>
            <w:tcW w:w="678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74,244,038</w:t>
            </w: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74,392,156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(Notes 7 and 10)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4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203,357,646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210,020,702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80" w:type="dxa"/>
            <w:vAlign w:val="bottom"/>
            <w:shd w:val="clear" w:color="auto" w:fill="CCEEFF"/>
          </w:tcPr>
          <w:p>
            <w:pPr>
              <w:ind w:left="160"/>
              <w:spacing w:after="0" w:line="172" w:lineRule="exact"/>
              <w:rPr>
                <w:sz w:val="20"/>
                <w:szCs w:val="20"/>
                <w:color w:val="auto"/>
              </w:rPr>
            </w:pPr>
            <w:r>
              <w:rPr>
                <w:rFonts w:ascii="Times New Roman" w:cs="Times New Roman" w:eastAsia="Times New Roman" w:hAnsi="Times New Roman"/>
                <w:sz w:val="16"/>
                <w:szCs w:val="16"/>
                <w:color w:val="auto"/>
              </w:rPr>
              <w:t>Common stock, par value $0.01 per share (100,000,000 authorized; 25,445,805 and 28,429,499 issued</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and outstanding, respectively)</w:t>
            </w:r>
          </w:p>
        </w:tc>
        <w:tc>
          <w:tcPr>
            <w:tcW w:w="4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254,458</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284,295</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Paid-in capital in excess of par</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248,454,107</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330,899,254</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net investment loss</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(4,304,111)</w:t>
            </w:r>
          </w:p>
        </w:tc>
        <w:tc>
          <w:tcPr>
            <w:tcW w:w="2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(64,832,605)</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net realized gain/(loss) on investments, net of distributions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(12,348,772)</w:t>
            </w:r>
          </w:p>
        </w:tc>
        <w:tc>
          <w:tcPr>
            <w:tcW w:w="20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2,552,465</w:t>
            </w:r>
          </w:p>
        </w:tc>
        <w:tc>
          <w:tcPr>
            <w:tcW w:w="0" w:type="dxa"/>
            <w:vAlign w:val="bottom"/>
          </w:tcPr>
          <w:p>
            <w:pPr>
              <w:spacing w:after="0"/>
              <w:rPr>
                <w:sz w:val="1"/>
                <w:szCs w:val="1"/>
                <w:color w:val="auto"/>
              </w:rPr>
            </w:pPr>
          </w:p>
        </w:tc>
      </w:tr>
      <w:tr>
        <w:trPr>
          <w:trHeight w:val="22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net unrealized appreciation/(depreciation) of investments</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(28,698,036)</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(58,882,707)</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bottom w:val="single" w:sz="8" w:color="CCEEFF"/>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00" w:type="dxa"/>
            <w:vAlign w:val="bottom"/>
            <w:tcBorders>
              <w:top w:val="single" w:sz="8" w:color="CCEEFF"/>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203,357,646</w:t>
            </w:r>
          </w:p>
        </w:tc>
        <w:tc>
          <w:tcPr>
            <w:tcW w:w="32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210,020,702</w:t>
            </w:r>
          </w:p>
        </w:tc>
        <w:tc>
          <w:tcPr>
            <w:tcW w:w="12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6780" w:type="dxa"/>
            <w:vAlign w:val="bottom"/>
            <w:tcBorders>
              <w:bottom w:val="single" w:sz="8" w:color="CCEEFF"/>
            </w:tcBorders>
            <w:shd w:val="clear" w:color="auto" w:fill="CCEEFF"/>
          </w:tcPr>
          <w:p>
            <w:pPr>
              <w:ind w:left="300"/>
              <w:spacing w:after="0" w:line="164" w:lineRule="exact"/>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7.99</w:t>
            </w:r>
          </w:p>
        </w:tc>
        <w:tc>
          <w:tcPr>
            <w:tcW w:w="3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7.39</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79133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207" w:lineRule="exact"/>
        <w:rPr>
          <w:sz w:val="20"/>
          <w:szCs w:val="20"/>
          <w:color w:val="auto"/>
        </w:rPr>
      </w:pPr>
    </w:p>
    <w:p>
      <w:pPr>
        <w:ind w:left="286" w:hanging="286"/>
        <w:spacing w:after="0" w:line="256" w:lineRule="auto"/>
        <w:tabs>
          <w:tab w:leader="none" w:pos="28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includes a right of use asset and corresponding operating lease liability, respectively. Refer to “Note 7—Commitments and Contingencies—</w:t>
      </w:r>
      <w:r>
        <w:rPr>
          <w:rFonts w:ascii="Times New Roman" w:cs="Times New Roman" w:eastAsia="Times New Roman" w:hAnsi="Times New Roman"/>
          <w:sz w:val="16"/>
          <w:szCs w:val="16"/>
          <w:i w:val="1"/>
          <w:iCs w:val="1"/>
          <w:color w:val="auto"/>
        </w:rPr>
        <w:t>Operating Leases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Related Deposits</w:t>
      </w:r>
      <w:r>
        <w:rPr>
          <w:rFonts w:ascii="Times New Roman" w:cs="Times New Roman" w:eastAsia="Times New Roman" w:hAnsi="Times New Roman"/>
          <w:sz w:val="16"/>
          <w:szCs w:val="16"/>
          <w:color w:val="auto"/>
        </w:rPr>
        <w:t>” for more detail.</w:t>
      </w:r>
    </w:p>
    <w:p>
      <w:pPr>
        <w:spacing w:after="0" w:line="1" w:lineRule="exact"/>
        <w:rPr>
          <w:rFonts w:ascii="Times New Roman" w:cs="Times New Roman" w:eastAsia="Times New Roman" w:hAnsi="Times New Roman"/>
          <w:sz w:val="16"/>
          <w:szCs w:val="16"/>
          <w:color w:val="auto"/>
        </w:rPr>
      </w:pPr>
    </w:p>
    <w:p>
      <w:pPr>
        <w:jc w:val="both"/>
        <w:ind w:left="286" w:right="20" w:hanging="286"/>
        <w:spacing w:after="0" w:line="247" w:lineRule="auto"/>
        <w:tabs>
          <w:tab w:leader="none" w:pos="28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6.00% Notes due December 30, 2026 (the “6.00% Notes due 2026”) (effective interest rate of 6.53%) had a face value $75,000,000. As of December 31, 2022, the 6.00% Notes due 2026 (effective interest rate of 6.53%) had a face value $75,000,000. Refer to “Note 10—Debt Capital Activities” for a reconciliation of the carrying value to the face value.</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71" w:name="page72"/>
    <w:bookmarkEnd w:id="71"/>
    <w:tbl>
      <w:tblPr>
        <w:tblLayout w:type="fixed"/>
        <w:tblInd w:w="6" w:type="dxa"/>
        <w:tblCellMar>
          <w:top w:w="0" w:type="dxa"/>
          <w:left w:w="0" w:type="dxa"/>
          <w:bottom w:w="0" w:type="dxa"/>
          <w:right w:w="0" w:type="dxa"/>
        </w:tblCellMar>
      </w:tblPr>
      <w:tr>
        <w:trPr>
          <w:trHeight w:val="184"/>
        </w:trPr>
        <w:tc>
          <w:tcPr>
            <w:tcW w:w="524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1440" w:type="dxa"/>
            <w:vAlign w:val="bottom"/>
            <w:tcBorders>
              <w:top w:val="single" w:sz="8" w:color="0000EE"/>
            </w:tcBorders>
          </w:tcPr>
          <w:p>
            <w:pPr>
              <w:spacing w:after="0"/>
              <w:rPr>
                <w:sz w:val="24"/>
                <w:szCs w:val="24"/>
                <w:color w:val="auto"/>
              </w:rPr>
            </w:pPr>
          </w:p>
        </w:tc>
        <w:tc>
          <w:tcPr>
            <w:tcW w:w="5880" w:type="dxa"/>
            <w:vAlign w:val="bottom"/>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440" w:type="dxa"/>
            <w:vAlign w:val="bottom"/>
          </w:tcPr>
          <w:p>
            <w:pPr>
              <w:spacing w:after="0"/>
              <w:rPr>
                <w:sz w:val="17"/>
                <w:szCs w:val="17"/>
                <w:color w:val="auto"/>
              </w:rPr>
            </w:pPr>
          </w:p>
        </w:tc>
        <w:tc>
          <w:tcPr>
            <w:tcW w:w="6400" w:type="dxa"/>
            <w:vAlign w:val="bottom"/>
            <w:gridSpan w:val="7"/>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4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Non-controlled/non-affiliate investments: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300"/>
              <w:spacing w:after="0" w:line="223" w:lineRule="exact"/>
              <w:rPr>
                <w:sz w:val="20"/>
                <w:szCs w:val="20"/>
                <w:color w:val="auto"/>
              </w:rPr>
            </w:pPr>
            <w:r>
              <w:rPr>
                <w:rFonts w:ascii="Times New Roman" w:cs="Times New Roman" w:eastAsia="Times New Roman" w:hAnsi="Times New Roman"/>
                <w:sz w:val="15"/>
                <w:szCs w:val="15"/>
                <w:color w:val="auto"/>
              </w:rPr>
              <w:t>Interest income</w:t>
            </w:r>
            <w:r>
              <w:rPr>
                <w:rFonts w:ascii="Times New Roman" w:cs="Times New Roman" w:eastAsia="Times New Roman" w:hAnsi="Times New Roman"/>
                <w:sz w:val="25"/>
                <w:szCs w:val="25"/>
                <w:color w:val="auto"/>
                <w:vertAlign w:val="superscript"/>
              </w:rPr>
              <w:t>(1)</w:t>
            </w:r>
          </w:p>
        </w:tc>
        <w:tc>
          <w:tcPr>
            <w:tcW w:w="5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795,847</w:t>
            </w:r>
          </w:p>
        </w:tc>
        <w:tc>
          <w:tcPr>
            <w:tcW w:w="52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403,029</w:t>
            </w:r>
          </w:p>
        </w:tc>
        <w:tc>
          <w:tcPr>
            <w:tcW w:w="52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507,772</w:t>
            </w:r>
          </w:p>
        </w:tc>
        <w:tc>
          <w:tcPr>
            <w:tcW w:w="0" w:type="dxa"/>
            <w:vAlign w:val="bottom"/>
          </w:tcPr>
          <w:p>
            <w:pPr>
              <w:spacing w:after="0"/>
              <w:rPr>
                <w:sz w:val="1"/>
                <w:szCs w:val="1"/>
                <w:color w:val="auto"/>
              </w:rPr>
            </w:pPr>
          </w:p>
        </w:tc>
      </w:tr>
      <w:tr>
        <w:trPr>
          <w:trHeight w:val="188"/>
        </w:trPr>
        <w:tc>
          <w:tcPr>
            <w:tcW w:w="52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Dividend income</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211,310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541,239</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470,438</w:t>
            </w:r>
          </w:p>
        </w:tc>
        <w:tc>
          <w:tcPr>
            <w:tcW w:w="0" w:type="dxa"/>
            <w:vAlign w:val="bottom"/>
          </w:tcPr>
          <w:p>
            <w:pPr>
              <w:spacing w:after="0"/>
              <w:rPr>
                <w:sz w:val="1"/>
                <w:szCs w:val="1"/>
                <w:color w:val="auto"/>
              </w:rPr>
            </w:pPr>
          </w:p>
        </w:tc>
      </w:tr>
      <w:tr>
        <w:trPr>
          <w:trHeight w:val="188"/>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2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Dividend income</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102,632</w:t>
            </w:r>
          </w:p>
        </w:tc>
        <w:tc>
          <w:tcPr>
            <w:tcW w:w="0" w:type="dxa"/>
            <w:vAlign w:val="bottom"/>
          </w:tcPr>
          <w:p>
            <w:pPr>
              <w:spacing w:after="0"/>
              <w:rPr>
                <w:sz w:val="1"/>
                <w:szCs w:val="1"/>
                <w:color w:val="auto"/>
              </w:rPr>
            </w:pPr>
          </w:p>
        </w:tc>
      </w:tr>
      <w:tr>
        <w:trPr>
          <w:trHeight w:val="188"/>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Controlled investments:</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2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1,331,258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1,685,000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390,000</w:t>
            </w:r>
          </w:p>
        </w:tc>
        <w:tc>
          <w:tcPr>
            <w:tcW w:w="0" w:type="dxa"/>
            <w:vAlign w:val="bottom"/>
          </w:tcPr>
          <w:p>
            <w:pPr>
              <w:spacing w:after="0"/>
              <w:rPr>
                <w:sz w:val="1"/>
                <w:szCs w:val="1"/>
                <w:color w:val="auto"/>
              </w:rPr>
            </w:pPr>
          </w:p>
        </w:tc>
      </w:tr>
      <w:tr>
        <w:trPr>
          <w:trHeight w:val="188"/>
        </w:trPr>
        <w:tc>
          <w:tcPr>
            <w:tcW w:w="52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Dividend income</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500,000</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income from U.S. Treasury bills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3,758,365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826,925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2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Investment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6,596,780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3,456,193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1,470,842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24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9,482,867</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7,566,452</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6,162,716</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line="223" w:lineRule="exact"/>
              <w:rPr>
                <w:sz w:val="20"/>
                <w:szCs w:val="20"/>
                <w:color w:val="auto"/>
              </w:rPr>
            </w:pPr>
            <w:r>
              <w:rPr>
                <w:rFonts w:ascii="Times New Roman" w:cs="Times New Roman" w:eastAsia="Times New Roman" w:hAnsi="Times New Roman"/>
                <w:sz w:val="15"/>
                <w:szCs w:val="15"/>
                <w:color w:val="auto"/>
              </w:rPr>
              <w:t>Directors’ fees</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645,548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675,716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752,442</w:t>
            </w:r>
          </w:p>
        </w:tc>
        <w:tc>
          <w:tcPr>
            <w:tcW w:w="0" w:type="dxa"/>
            <w:vAlign w:val="bottom"/>
          </w:tcPr>
          <w:p>
            <w:pPr>
              <w:spacing w:after="0"/>
              <w:rPr>
                <w:sz w:val="1"/>
                <w:szCs w:val="1"/>
                <w:color w:val="auto"/>
              </w:rPr>
            </w:pPr>
          </w:p>
        </w:tc>
      </w:tr>
      <w:tr>
        <w:trPr>
          <w:trHeight w:val="188"/>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2,602,894</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3,395,260</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2,665,689</w:t>
            </w:r>
          </w:p>
        </w:tc>
        <w:tc>
          <w:tcPr>
            <w:tcW w:w="0" w:type="dxa"/>
            <w:vAlign w:val="bottom"/>
          </w:tcPr>
          <w:p>
            <w:pPr>
              <w:spacing w:after="0"/>
              <w:rPr>
                <w:sz w:val="1"/>
                <w:szCs w:val="1"/>
                <w:color w:val="auto"/>
              </w:rPr>
            </w:pPr>
          </w:p>
        </w:tc>
      </w:tr>
      <w:tr>
        <w:trPr>
          <w:trHeight w:val="188"/>
        </w:trPr>
        <w:tc>
          <w:tcPr>
            <w:tcW w:w="5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4,858,049</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4,845,549</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693,526</w:t>
            </w:r>
          </w:p>
        </w:tc>
        <w:tc>
          <w:tcPr>
            <w:tcW w:w="0" w:type="dxa"/>
            <w:vAlign w:val="bottom"/>
          </w:tcPr>
          <w:p>
            <w:pPr>
              <w:spacing w:after="0"/>
              <w:rPr>
                <w:sz w:val="1"/>
                <w:szCs w:val="1"/>
                <w:color w:val="auto"/>
              </w:rPr>
            </w:pPr>
          </w:p>
        </w:tc>
      </w:tr>
      <w:tr>
        <w:trPr>
          <w:trHeight w:val="188"/>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624,049</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82,238</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9,347</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1,822,982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1,598,986</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1,117,941</w:t>
            </w:r>
          </w:p>
        </w:tc>
        <w:tc>
          <w:tcPr>
            <w:tcW w:w="0" w:type="dxa"/>
            <w:vAlign w:val="bottom"/>
          </w:tcPr>
          <w:p>
            <w:pPr>
              <w:spacing w:after="0"/>
              <w:rPr>
                <w:sz w:val="1"/>
                <w:szCs w:val="1"/>
                <w:color w:val="auto"/>
              </w:rPr>
            </w:pPr>
          </w:p>
        </w:tc>
      </w:tr>
      <w:tr>
        <w:trPr>
          <w:trHeight w:val="208"/>
        </w:trPr>
        <w:tc>
          <w:tcPr>
            <w:tcW w:w="52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20,036,389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18,164,201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11,401,661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240" w:type="dxa"/>
            <w:vAlign w:val="bottom"/>
            <w:gridSpan w:val="2"/>
          </w:tcPr>
          <w:p>
            <w:pPr>
              <w:ind w:left="160"/>
              <w:spacing w:after="0" w:line="171" w:lineRule="exact"/>
              <w:rPr>
                <w:sz w:val="20"/>
                <w:szCs w:val="20"/>
                <w:color w:val="auto"/>
              </w:rPr>
            </w:pPr>
            <w:r>
              <w:rPr>
                <w:rFonts w:ascii="Times New Roman" w:cs="Times New Roman" w:eastAsia="Times New Roman" w:hAnsi="Times New Roman"/>
                <w:sz w:val="16"/>
                <w:szCs w:val="16"/>
                <w:b w:val="1"/>
                <w:bCs w:val="1"/>
                <w:color w:val="auto"/>
              </w:rPr>
              <w:t>Net Investment Loss</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(13,439,609)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(14,708,008)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(9,930,819)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Realized Gain/(Loss) on Investments:</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(1,185,273)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(5,835,074)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216,870,940</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(10,762,231)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(70,379)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1,864,564</w:t>
            </w:r>
          </w:p>
        </w:tc>
        <w:tc>
          <w:tcPr>
            <w:tcW w:w="0" w:type="dxa"/>
            <w:vAlign w:val="bottom"/>
          </w:tcPr>
          <w:p>
            <w:pPr>
              <w:spacing w:after="0"/>
              <w:rPr>
                <w:sz w:val="1"/>
                <w:szCs w:val="1"/>
                <w:color w:val="auto"/>
              </w:rPr>
            </w:pPr>
          </w:p>
        </w:tc>
      </w:tr>
      <w:tr>
        <w:trPr>
          <w:trHeight w:val="172"/>
        </w:trPr>
        <w:tc>
          <w:tcPr>
            <w:tcW w:w="5240" w:type="dxa"/>
            <w:vAlign w:val="bottom"/>
            <w:tcBorders>
              <w:top w:val="single" w:sz="8" w:color="CCEEFF"/>
            </w:tcBorders>
            <w:gridSpan w:val="2"/>
          </w:tcPr>
          <w:p>
            <w:pPr>
              <w:ind w:left="160"/>
              <w:spacing w:after="0" w:line="171" w:lineRule="exact"/>
              <w:rPr>
                <w:sz w:val="20"/>
                <w:szCs w:val="20"/>
                <w:color w:val="auto"/>
              </w:rPr>
            </w:pPr>
            <w:r>
              <w:rPr>
                <w:rFonts w:ascii="Times New Roman" w:cs="Times New Roman" w:eastAsia="Times New Roman" w:hAnsi="Times New Roman"/>
                <w:sz w:val="16"/>
                <w:szCs w:val="16"/>
                <w:b w:val="1"/>
                <w:bCs w:val="1"/>
                <w:color w:val="auto"/>
              </w:rPr>
              <w:t>Net Realized Gain/(Loss) on Investments</w:t>
            </w:r>
          </w:p>
        </w:tc>
        <w:tc>
          <w:tcPr>
            <w:tcW w:w="18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(11,947,504)</w:t>
            </w: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(5,905,453)</w:t>
            </w: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218,735,504</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Unrealized Appreciation/(Depreciation) of Investments:</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10,349,592</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(109,553,034)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(59,057,641)</w:t>
            </w:r>
          </w:p>
        </w:tc>
        <w:tc>
          <w:tcPr>
            <w:tcW w:w="0" w:type="dxa"/>
            <w:vAlign w:val="bottom"/>
          </w:tcPr>
          <w:p>
            <w:pPr>
              <w:spacing w:after="0"/>
              <w:rPr>
                <w:sz w:val="1"/>
                <w:szCs w:val="1"/>
                <w:color w:val="auto"/>
              </w:rPr>
            </w:pPr>
          </w:p>
        </w:tc>
      </w:tr>
      <w:tr>
        <w:trPr>
          <w:trHeight w:val="188"/>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20,705,035</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(1,947,553)</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(2,902,517)</w:t>
            </w: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Controlled investments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(600,692)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(63,005)</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227,194</w:t>
            </w:r>
          </w:p>
        </w:tc>
        <w:tc>
          <w:tcPr>
            <w:tcW w:w="0" w:type="dxa"/>
            <w:vAlign w:val="bottom"/>
          </w:tcPr>
          <w:p>
            <w:pPr>
              <w:spacing w:after="0"/>
              <w:rPr>
                <w:sz w:val="1"/>
                <w:szCs w:val="1"/>
                <w:color w:val="auto"/>
              </w:rPr>
            </w:pPr>
          </w:p>
        </w:tc>
      </w:tr>
      <w:tr>
        <w:trPr>
          <w:trHeight w:val="208"/>
        </w:trPr>
        <w:tc>
          <w:tcPr>
            <w:tcW w:w="52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Net Change in Unrealized Appreciation/(Depreciation) of Investments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30,453,935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(111,563,592</w:t>
            </w:r>
          </w:p>
        </w:tc>
        <w:tc>
          <w:tcPr>
            <w:tcW w:w="180" w:type="dxa"/>
            <w:vAlign w:val="bottom"/>
            <w:tcBorders>
              <w:top w:val="single" w:sz="8" w:color="CCEEFF"/>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(61,732,964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5,066,822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(132,177,053</w:t>
            </w:r>
          </w:p>
        </w:tc>
        <w:tc>
          <w:tcPr>
            <w:tcW w:w="180" w:type="dxa"/>
            <w:vAlign w:val="bottom"/>
            <w:tcBorders>
              <w:bottom w:val="single" w:sz="8" w:color="CCEEFF"/>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147,071,721</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5240" w:type="dxa"/>
            <w:vAlign w:val="bottom"/>
            <w:gridSpan w:val="2"/>
            <w:shd w:val="clear" w:color="auto" w:fill="CCEEFF"/>
          </w:tcPr>
          <w:p>
            <w:pPr>
              <w:ind w:left="160"/>
              <w:spacing w:after="0" w:line="164" w:lineRule="exact"/>
              <w:rPr>
                <w:sz w:val="20"/>
                <w:szCs w:val="20"/>
                <w:color w:val="auto"/>
              </w:rPr>
            </w:pPr>
            <w:r>
              <w:rPr>
                <w:rFonts w:ascii="Times New Roman" w:cs="Times New Roman" w:eastAsia="Times New Roman" w:hAnsi="Times New Roman"/>
                <w:sz w:val="16"/>
                <w:szCs w:val="16"/>
                <w:b w:val="1"/>
                <w:bCs w:val="1"/>
                <w:color w:val="auto"/>
              </w:rPr>
              <w:t>Net Change in Net Assets Resulting from Operations per Common Share:</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2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Basic</w:t>
            </w:r>
          </w:p>
        </w:tc>
        <w:tc>
          <w:tcPr>
            <w:tcW w:w="5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0.19</w:t>
            </w:r>
          </w:p>
        </w:tc>
        <w:tc>
          <w:tcPr>
            <w:tcW w:w="52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(4.40)</w:t>
            </w:r>
          </w:p>
        </w:tc>
        <w:tc>
          <w:tcPr>
            <w:tcW w:w="52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gridSpan w:val="2"/>
            <w:vMerge w:val="restart"/>
            <w:shd w:val="clear" w:color="auto" w:fill="CCEEFF"/>
          </w:tcPr>
          <w:p>
            <w:pPr>
              <w:ind w:left="300"/>
              <w:spacing w:after="0" w:line="219" w:lineRule="exact"/>
              <w:rPr>
                <w:sz w:val="20"/>
                <w:szCs w:val="20"/>
                <w:color w:val="auto"/>
              </w:rPr>
            </w:pPr>
            <w:r>
              <w:rPr>
                <w:rFonts w:ascii="Times New Roman" w:cs="Times New Roman" w:eastAsia="Times New Roman" w:hAnsi="Times New Roman"/>
                <w:sz w:val="15"/>
                <w:szCs w:val="15"/>
                <w:color w:val="auto"/>
              </w:rPr>
              <w:t>Diluted</w:t>
            </w:r>
            <w:r>
              <w:rPr>
                <w:rFonts w:ascii="Times New Roman" w:cs="Times New Roman" w:eastAsia="Times New Roman" w:hAnsi="Times New Roman"/>
                <w:sz w:val="25"/>
                <w:szCs w:val="25"/>
                <w:color w:val="auto"/>
                <w:vertAlign w:val="superscript"/>
              </w:rPr>
              <w:t>(3)</w:t>
            </w: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40" w:type="dxa"/>
            <w:vAlign w:val="bottom"/>
            <w:gridSpan w:val="2"/>
            <w:vMerge w:val="continue"/>
            <w:shd w:val="clear" w:color="auto" w:fill="CCEEFF"/>
          </w:tcPr>
          <w:p>
            <w:pPr>
              <w:spacing w:after="0"/>
              <w:rPr>
                <w:sz w:val="17"/>
                <w:szCs w:val="17"/>
                <w:color w:val="auto"/>
              </w:rPr>
            </w:pPr>
          </w:p>
        </w:tc>
        <w:tc>
          <w:tcPr>
            <w:tcW w:w="5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0.19</w:t>
            </w:r>
          </w:p>
        </w:tc>
        <w:tc>
          <w:tcPr>
            <w:tcW w:w="52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8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26,222,667</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30,023,202</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25,861,642</w:t>
            </w:r>
          </w:p>
        </w:tc>
        <w:tc>
          <w:tcPr>
            <w:tcW w:w="0" w:type="dxa"/>
            <w:vAlign w:val="bottom"/>
          </w:tcPr>
          <w:p>
            <w:pPr>
              <w:spacing w:after="0"/>
              <w:rPr>
                <w:sz w:val="1"/>
                <w:szCs w:val="1"/>
                <w:color w:val="auto"/>
              </w:rPr>
            </w:pPr>
          </w:p>
        </w:tc>
      </w:tr>
      <w:tr>
        <w:trPr>
          <w:trHeight w:val="343"/>
        </w:trPr>
        <w:tc>
          <w:tcPr>
            <w:tcW w:w="52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6"/>
                <w:szCs w:val="26"/>
                <w:color w:val="auto"/>
                <w:vertAlign w:val="superscript"/>
              </w:rPr>
              <w:t>(3)</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26,222,667</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30,023,202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26,758,367</w:t>
            </w:r>
          </w:p>
        </w:tc>
        <w:tc>
          <w:tcPr>
            <w:tcW w:w="0" w:type="dxa"/>
            <w:vAlign w:val="bottom"/>
          </w:tcPr>
          <w:p>
            <w:pPr>
              <w:spacing w:after="0"/>
              <w:rPr>
                <w:sz w:val="1"/>
                <w:szCs w:val="1"/>
                <w:color w:val="auto"/>
              </w:rPr>
            </w:pPr>
          </w:p>
        </w:tc>
      </w:tr>
    </w:tbl>
    <w:p>
      <w:pPr>
        <w:spacing w:after="0" w:line="5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79133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209" w:lineRule="exact"/>
        <w:rPr>
          <w:sz w:val="20"/>
          <w:szCs w:val="20"/>
          <w:color w:val="auto"/>
        </w:rPr>
      </w:pPr>
    </w:p>
    <w:p>
      <w:pPr>
        <w:ind w:left="286" w:hanging="286"/>
        <w:spacing w:after="0"/>
        <w:tabs>
          <w:tab w:leader="none" w:pos="28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income earned on idle cash.</w:t>
      </w:r>
    </w:p>
    <w:p>
      <w:pPr>
        <w:spacing w:after="0" w:line="19"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11 — Stock-Based Compensation” for more detail.</w:t>
      </w:r>
    </w:p>
    <w:p>
      <w:pPr>
        <w:spacing w:after="0" w:line="4" w:lineRule="exact"/>
        <w:rPr>
          <w:rFonts w:ascii="Times New Roman" w:cs="Times New Roman" w:eastAsia="Times New Roman" w:hAnsi="Times New Roman"/>
          <w:sz w:val="16"/>
          <w:szCs w:val="16"/>
          <w:color w:val="auto"/>
        </w:rPr>
      </w:pPr>
    </w:p>
    <w:p>
      <w:pPr>
        <w:ind w:left="286" w:right="20" w:hanging="286"/>
        <w:spacing w:after="0" w:line="250" w:lineRule="auto"/>
        <w:tabs>
          <w:tab w:leader="none" w:pos="28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2022, and 2021, there were no potentially dilutive securities outstanding. Refer to “Note 6 — Net Change in Net Assets Resulting from Operations per Common Share — Basic and Diluted”.</w:t>
      </w:r>
    </w:p>
    <w:p>
      <w:pPr>
        <w:spacing w:after="0" w:line="16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02"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NET ASSETS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Operations</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investment loss</w:t>
            </w:r>
          </w:p>
        </w:tc>
        <w:tc>
          <w:tcPr>
            <w:tcW w:w="62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(13,439,609)</w:t>
            </w:r>
          </w:p>
        </w:tc>
        <w:tc>
          <w:tcPr>
            <w:tcW w:w="5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(14,708,008)</w:t>
            </w:r>
          </w:p>
        </w:tc>
        <w:tc>
          <w:tcPr>
            <w:tcW w:w="52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(9,930,819)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(11,947,504)</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(5,905,453)</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218,735,504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30,453,935</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(111,563,592)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(61,732,964)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w:t>
            </w: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5,066,822</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(132,177,053)</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147,071,721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Distributions</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(3,441,824)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(212,197,025)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60" w:type="dxa"/>
            <w:vAlign w:val="bottom"/>
            <w:tcBorders>
              <w:top w:val="single" w:sz="8" w:color="CCEEFF"/>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Total Distributions</w:t>
            </w: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(3,441,824)</w:t>
            </w: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(212,197,025)</w:t>
            </w: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 in Net Assets Resulting from Capital Transactions</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from public offering</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229,896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5"/>
                <w:szCs w:val="15"/>
                <w:color w:val="auto"/>
              </w:rPr>
              <w:t>Stock-based compensation</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2,448,807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2,015,600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1,306,615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60" w:type="dxa"/>
            <w:vAlign w:val="bottom"/>
          </w:tcPr>
          <w:p>
            <w:pPr>
              <w:ind w:left="140"/>
              <w:spacing w:after="0" w:line="171" w:lineRule="exact"/>
              <w:rPr>
                <w:sz w:val="20"/>
                <w:szCs w:val="20"/>
                <w:color w:val="auto"/>
              </w:rPr>
            </w:pPr>
            <w:r>
              <w:rPr>
                <w:rFonts w:ascii="Times New Roman" w:cs="Times New Roman" w:eastAsia="Times New Roman" w:hAnsi="Times New Roman"/>
                <w:sz w:val="16"/>
                <w:szCs w:val="16"/>
                <w:color w:val="auto"/>
              </w:rPr>
              <w:t>Issuance of common stock from conversion of 4.75% Convertible Notes due</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37,259,819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from stock dividend</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89,743,813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(14,178,685)</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(21,452,541)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Capital Transactions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(11,729,878</w:t>
            </w:r>
          </w:p>
        </w:tc>
        <w:tc>
          <w:tcPr>
            <w:tcW w:w="16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(19,207,045</w:t>
            </w:r>
          </w:p>
        </w:tc>
        <w:tc>
          <w:tcPr>
            <w:tcW w:w="180" w:type="dxa"/>
            <w:vAlign w:val="bottom"/>
            <w:tcBorders>
              <w:top w:val="single" w:sz="8" w:color="CCEEFF"/>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128,388,855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Change in Net Assets</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(6,663,056)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(154,825,922)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63,263,551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at Beginning of Year</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210,020,702</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364,846,624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301,583,073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Assets at End of Year</w:t>
            </w:r>
          </w:p>
        </w:tc>
        <w:tc>
          <w:tcPr>
            <w:tcW w:w="240" w:type="dxa"/>
            <w:vAlign w:val="bottom"/>
            <w:tcBorders>
              <w:top w:val="single" w:sz="8" w:color="CCEEFF"/>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203,357,646</w:t>
            </w:r>
          </w:p>
        </w:tc>
        <w:tc>
          <w:tcPr>
            <w:tcW w:w="16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CCEEFF"/>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210,020,702</w:t>
            </w:r>
          </w:p>
        </w:tc>
        <w:tc>
          <w:tcPr>
            <w:tcW w:w="18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364,846,624</w:t>
            </w:r>
          </w:p>
        </w:tc>
        <w:tc>
          <w:tcPr>
            <w:tcW w:w="12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Capital Share Activity</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outstanding at beginning of year</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28,429,499</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31,118,556</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19,914,023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from public offering</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17,807</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5"/>
                <w:szCs w:val="15"/>
                <w:color w:val="auto"/>
              </w:rPr>
              <w:t>Issuance of common stock under restricted stock plan, net</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202,799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301,812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369,298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60" w:type="dxa"/>
            <w:vAlign w:val="bottom"/>
          </w:tcPr>
          <w:p>
            <w:pPr>
              <w:ind w:left="140"/>
              <w:spacing w:after="0" w:line="171" w:lineRule="exact"/>
              <w:rPr>
                <w:sz w:val="20"/>
                <w:szCs w:val="20"/>
                <w:color w:val="auto"/>
              </w:rPr>
            </w:pPr>
            <w:r>
              <w:rPr>
                <w:rFonts w:ascii="Times New Roman" w:cs="Times New Roman" w:eastAsia="Times New Roman" w:hAnsi="Times New Roman"/>
                <w:sz w:val="16"/>
                <w:szCs w:val="16"/>
                <w:color w:val="auto"/>
              </w:rPr>
              <w:t>Issuance of common stock from conversion of 4.75% Convertible Notes due</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4,097,808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from stock dividend</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6,731,527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repurchased</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(3,186,493)</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(3,008,676)</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Shares Outstanding at End of Year</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25,445,805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28,429,499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31,118,556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179133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Refer to “Note 11 — Stock-Based Compensation” for more detail.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4"/>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73"/>
        </w:trPr>
        <w:tc>
          <w:tcPr>
            <w:tcW w:w="1440" w:type="dxa"/>
            <w:vAlign w:val="bottom"/>
            <w:tcBorders>
              <w:top w:val="single" w:sz="8" w:color="0000EE"/>
            </w:tcBorders>
          </w:tcPr>
          <w:p>
            <w:pPr>
              <w:spacing w:after="0"/>
              <w:rPr>
                <w:sz w:val="24"/>
                <w:szCs w:val="24"/>
                <w:color w:val="auto"/>
              </w:rPr>
            </w:pPr>
          </w:p>
        </w:tc>
        <w:tc>
          <w:tcPr>
            <w:tcW w:w="5880" w:type="dxa"/>
            <w:vAlign w:val="bottom"/>
            <w:gridSpan w:val="5"/>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6"/>
        </w:trPr>
        <w:tc>
          <w:tcPr>
            <w:tcW w:w="1440" w:type="dxa"/>
            <w:vAlign w:val="bottom"/>
          </w:tcPr>
          <w:p>
            <w:pPr>
              <w:spacing w:after="0"/>
              <w:rPr>
                <w:sz w:val="17"/>
                <w:szCs w:val="17"/>
                <w:color w:val="auto"/>
              </w:rPr>
            </w:pPr>
          </w:p>
        </w:tc>
        <w:tc>
          <w:tcPr>
            <w:tcW w:w="6400" w:type="dxa"/>
            <w:vAlign w:val="bottom"/>
            <w:gridSpan w:val="7"/>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2"/>
        </w:trPr>
        <w:tc>
          <w:tcPr>
            <w:tcW w:w="14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1440" w:type="dxa"/>
            <w:vAlign w:val="bottom"/>
            <w:tcBorders>
              <w:bottom w:val="single" w:sz="8" w:color="CCEEFF"/>
            </w:tcBorders>
          </w:tcPr>
          <w:p>
            <w:pPr>
              <w:spacing w:after="0"/>
              <w:rPr>
                <w:sz w:val="17"/>
                <w:szCs w:val="17"/>
                <w:color w:val="auto"/>
              </w:rPr>
            </w:pPr>
          </w:p>
        </w:tc>
        <w:tc>
          <w:tcPr>
            <w:tcW w:w="37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r>
      <w:tr>
        <w:trPr>
          <w:trHeight w:val="188"/>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58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5,066,822</w:t>
            </w:r>
          </w:p>
        </w:tc>
        <w:tc>
          <w:tcPr>
            <w:tcW w:w="52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(132,177,053)</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147,071,721</w:t>
            </w:r>
          </w:p>
        </w:tc>
      </w:tr>
      <w:tr>
        <w:trPr>
          <w:trHeight w:val="172"/>
        </w:trPr>
        <w:tc>
          <w:tcPr>
            <w:tcW w:w="5220" w:type="dxa"/>
            <w:vAlign w:val="bottom"/>
            <w:gridSpan w:val="2"/>
            <w:shd w:val="clear" w:color="auto" w:fill="CCEEFF"/>
          </w:tcPr>
          <w:p>
            <w:pPr>
              <w:ind w:left="160"/>
              <w:spacing w:after="0" w:line="171" w:lineRule="exact"/>
              <w:rPr>
                <w:sz w:val="20"/>
                <w:szCs w:val="20"/>
                <w:color w:val="auto"/>
              </w:rPr>
            </w:pPr>
            <w:r>
              <w:rPr>
                <w:rFonts w:ascii="Times New Roman" w:cs="Times New Roman" w:eastAsia="Times New Roman" w:hAnsi="Times New Roman"/>
                <w:sz w:val="16"/>
                <w:szCs w:val="16"/>
                <w:color w:val="auto"/>
              </w:rPr>
              <w:t>Adjustments to reconcile net change in net assets resulting from operations to</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5"/>
        </w:trPr>
        <w:tc>
          <w:tcPr>
            <w:tcW w:w="5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cash provided by/(used in) operating activities: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8"/>
        </w:trPr>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11,947,504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5,905,453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(218,735,504)</w:t>
            </w:r>
          </w:p>
        </w:tc>
      </w:tr>
      <w:tr>
        <w:trPr>
          <w:trHeight w:val="188"/>
        </w:trPr>
        <w:tc>
          <w:tcPr>
            <w:tcW w:w="5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(30,453,935)</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111,563,592</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61,732,964</w:t>
            </w:r>
          </w:p>
        </w:tc>
      </w:tr>
      <w:tr>
        <w:trPr>
          <w:trHeight w:val="188"/>
        </w:trPr>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Amortization of discount on 4.75% Convertible Senior Notes due 2023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76,927</w:t>
            </w:r>
          </w:p>
        </w:tc>
      </w:tr>
      <w:tr>
        <w:trPr>
          <w:trHeight w:val="188"/>
        </w:trPr>
        <w:tc>
          <w:tcPr>
            <w:tcW w:w="5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discount on 6.00% Notes due 2026</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319,092</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425,550</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16,310</w:t>
            </w:r>
          </w:p>
        </w:tc>
      </w:tr>
      <w:tr>
        <w:trPr>
          <w:trHeight w:val="188"/>
        </w:trPr>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2,448,807</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2,015,600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1,306,615</w:t>
            </w:r>
          </w:p>
        </w:tc>
      </w:tr>
      <w:tr>
        <w:trPr>
          <w:trHeight w:val="188"/>
        </w:trPr>
        <w:tc>
          <w:tcPr>
            <w:tcW w:w="5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to escrow proceeds receivable</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117,136</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(859,121)</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1,934,622</w:t>
            </w:r>
          </w:p>
        </w:tc>
      </w:tr>
      <w:tr>
        <w:trPr>
          <w:trHeight w:val="188"/>
        </w:trPr>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Accrued interest on U.S. Treasury bills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13,024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Forfeited interest on 4.75% Convertible Senior Notes due 2023</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102,917</w:t>
            </w:r>
          </w:p>
        </w:tc>
      </w:tr>
      <w:tr>
        <w:trPr>
          <w:trHeight w:val="188"/>
        </w:trPr>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Purchases of investments in:</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Portfolio investments</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(24,485,431)</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(22,783,388)</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(81,716,039)</w:t>
            </w:r>
          </w:p>
        </w:tc>
      </w:tr>
      <w:tr>
        <w:trPr>
          <w:trHeight w:val="188"/>
        </w:trPr>
        <w:tc>
          <w:tcPr>
            <w:tcW w:w="52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U.S. Treasury bills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(253,585,717)</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(184,172,673)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sales or maturity of investments in:</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8"/>
        </w:trPr>
        <w:tc>
          <w:tcPr>
            <w:tcW w:w="52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Portfolio investments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16,008,100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9,063,919</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257,427,478</w:t>
            </w:r>
          </w:p>
        </w:tc>
      </w:tr>
      <w:tr>
        <w:trPr>
          <w:trHeight w:val="188"/>
        </w:trPr>
        <w:tc>
          <w:tcPr>
            <w:tcW w:w="5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U.S. Treasury bills</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274,792,611</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99,173,075</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150,000,000</w:t>
            </w:r>
          </w:p>
        </w:tc>
      </w:tr>
      <w:tr>
        <w:trPr>
          <w:trHeight w:val="188"/>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5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232,404</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210,978</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47,566</w:t>
            </w:r>
          </w:p>
        </w:tc>
      </w:tr>
      <w:tr>
        <w:trPr>
          <w:trHeight w:val="188"/>
        </w:trPr>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6,159</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(55,111)</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83,343</w:t>
            </w:r>
          </w:p>
        </w:tc>
      </w:tr>
      <w:tr>
        <w:trPr>
          <w:trHeight w:val="188"/>
        </w:trPr>
        <w:tc>
          <w:tcPr>
            <w:tcW w:w="5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receivable</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52,493</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(52,493)</w:t>
            </w:r>
          </w:p>
        </w:tc>
      </w:tr>
      <w:tr>
        <w:trPr>
          <w:trHeight w:val="188"/>
        </w:trPr>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319,039</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1,418,313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(1,194,183)</w:t>
            </w:r>
          </w:p>
        </w:tc>
      </w:tr>
      <w:tr>
        <w:trPr>
          <w:trHeight w:val="188"/>
        </w:trPr>
        <w:tc>
          <w:tcPr>
            <w:tcW w:w="5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(134,250,000)</w:t>
            </w:r>
          </w:p>
        </w:tc>
      </w:tr>
      <w:tr>
        <w:trPr>
          <w:trHeight w:val="188"/>
        </w:trPr>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(362,519)</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(166,220)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112,735</w:t>
            </w:r>
          </w:p>
        </w:tc>
      </w:tr>
      <w:tr>
        <w:trPr>
          <w:trHeight w:val="188"/>
        </w:trPr>
        <w:tc>
          <w:tcPr>
            <w:tcW w:w="5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tax payable</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(35,850)</w:t>
            </w:r>
          </w:p>
        </w:tc>
      </w:tr>
      <w:tr>
        <w:trPr>
          <w:trHeight w:val="203"/>
        </w:trPr>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(175,000)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(278,803)</w:t>
            </w:r>
          </w:p>
        </w:tc>
      </w:tr>
      <w:tr>
        <w:trPr>
          <w:trHeight w:val="208"/>
        </w:trPr>
        <w:tc>
          <w:tcPr>
            <w:tcW w:w="5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2,383,096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(110,559,593</w:t>
            </w:r>
          </w:p>
        </w:tc>
        <w:tc>
          <w:tcPr>
            <w:tcW w:w="180" w:type="dxa"/>
            <w:vAlign w:val="bottom"/>
            <w:tcBorders>
              <w:top w:val="single" w:sz="8" w:color="CCEEFF"/>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183,650,326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2"/>
        </w:trPr>
        <w:tc>
          <w:tcPr>
            <w:tcW w:w="522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the issuance of common stock, net</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229,896</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78,608</w:t>
            </w:r>
          </w:p>
        </w:tc>
      </w:tr>
      <w:tr>
        <w:trPr>
          <w:trHeight w:val="204"/>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the issuance of 6.00% Notes due 2026</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75,000,000</w:t>
            </w:r>
          </w:p>
        </w:tc>
      </w:tr>
      <w:tr>
        <w:trPr>
          <w:trHeight w:val="22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Redemption of 4.75% Convertible Senior Notes due 2023</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(290,000)</w:t>
            </w:r>
          </w:p>
        </w:tc>
      </w:tr>
      <w:tr>
        <w:trPr>
          <w:trHeight w:val="188"/>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(1,970,892)</w:t>
            </w:r>
          </w:p>
        </w:tc>
      </w:tr>
      <w:tr>
        <w:trPr>
          <w:trHeight w:val="212"/>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(14,178,685)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(21,452,541)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dividends paid</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(143,657)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(26,535,702)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(103,458,098)</w:t>
            </w:r>
          </w:p>
        </w:tc>
      </w:tr>
      <w:tr>
        <w:trPr>
          <w:trHeight w:val="19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fractional shares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03"/>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(1,540)</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(366,191)</w:t>
            </w:r>
          </w:p>
        </w:tc>
      </w:tr>
      <w:tr>
        <w:trPr>
          <w:trHeight w:val="208"/>
        </w:trPr>
        <w:tc>
          <w:tcPr>
            <w:tcW w:w="5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(14,322,342</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(47,759,887</w:t>
            </w:r>
          </w:p>
        </w:tc>
        <w:tc>
          <w:tcPr>
            <w:tcW w:w="180" w:type="dxa"/>
            <w:vAlign w:val="bottom"/>
            <w:tcBorders>
              <w:top w:val="single" w:sz="8" w:color="CCEEFF"/>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(31,006,972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75"/>
        </w:trPr>
        <w:tc>
          <w:tcPr>
            <w:tcW w:w="5220" w:type="dxa"/>
            <w:vAlign w:val="bottom"/>
            <w:tcBorders>
              <w:bottom w:val="single" w:sz="8" w:color="CCEEFF"/>
            </w:tcBorders>
            <w:gridSpan w:val="2"/>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Total Increase/(Decrease) in Cash Balance</w:t>
            </w:r>
          </w:p>
        </w:tc>
        <w:tc>
          <w:tcPr>
            <w:tcW w:w="2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(11,939,246</w:t>
            </w:r>
          </w:p>
        </w:tc>
        <w:tc>
          <w:tcPr>
            <w:tcW w:w="20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(158,319,480</w:t>
            </w:r>
          </w:p>
        </w:tc>
        <w:tc>
          <w:tcPr>
            <w:tcW w:w="180" w:type="dxa"/>
            <w:vAlign w:val="bottom"/>
            <w:tcBorders>
              <w:bottom w:val="single" w:sz="8" w:color="CCEEFF"/>
            </w:tcBorders>
          </w:tcPr>
          <w:p>
            <w:pPr>
              <w:jc w:val="right"/>
              <w:ind w:right="42"/>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152,643,354</w:t>
            </w:r>
          </w:p>
        </w:tc>
        <w:tc>
          <w:tcPr>
            <w:tcW w:w="120" w:type="dxa"/>
            <w:vAlign w:val="bottom"/>
            <w:tcBorders>
              <w:bottom w:val="single" w:sz="8" w:color="CCEEFF"/>
            </w:tcBorders>
          </w:tcPr>
          <w:p>
            <w:pPr>
              <w:spacing w:after="0"/>
              <w:rPr>
                <w:sz w:val="15"/>
                <w:szCs w:val="15"/>
                <w:color w:val="auto"/>
              </w:rPr>
            </w:pPr>
          </w:p>
        </w:tc>
      </w:tr>
      <w:tr>
        <w:trPr>
          <w:trHeight w:val="208"/>
        </w:trPr>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Balance at Beginning of Year</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40,117,598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198,437,078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45,793,724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75"/>
        </w:trPr>
        <w:tc>
          <w:tcPr>
            <w:tcW w:w="522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Cash Balance at End of Year</w:t>
            </w:r>
          </w:p>
        </w:tc>
        <w:tc>
          <w:tcPr>
            <w:tcW w:w="200" w:type="dxa"/>
            <w:vAlign w:val="bottom"/>
          </w:tcPr>
          <w:p>
            <w:pPr>
              <w:spacing w:after="0"/>
              <w:rPr>
                <w:sz w:val="15"/>
                <w:szCs w:val="15"/>
                <w:color w:val="auto"/>
              </w:rPr>
            </w:pPr>
          </w:p>
        </w:tc>
        <w:tc>
          <w:tcPr>
            <w:tcW w:w="380" w:type="dxa"/>
            <w:vAlign w:val="bottom"/>
            <w:tcBorders>
              <w:bottom w:val="single" w:sz="8" w:color="auto"/>
            </w:tcBorders>
          </w:tcPr>
          <w:p>
            <w:pPr>
              <w:jc w:val="right"/>
              <w:ind w:right="222"/>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28,178,352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jc w:val="right"/>
              <w:ind w:right="222"/>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40,117,598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198,437,078</w:t>
            </w:r>
          </w:p>
        </w:tc>
        <w:tc>
          <w:tcPr>
            <w:tcW w:w="120" w:type="dxa"/>
            <w:vAlign w:val="bottom"/>
          </w:tcPr>
          <w:p>
            <w:pPr>
              <w:spacing w:after="0"/>
              <w:rPr>
                <w:sz w:val="15"/>
                <w:szCs w:val="15"/>
                <w:color w:val="auto"/>
              </w:rPr>
            </w:pPr>
          </w:p>
        </w:tc>
      </w:tr>
      <w:tr>
        <w:trPr>
          <w:trHeight w:val="391"/>
        </w:trPr>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24"/>
                <w:szCs w:val="24"/>
                <w:color w:val="auto"/>
              </w:rPr>
            </w:pPr>
          </w:p>
        </w:tc>
      </w:tr>
      <w:tr>
        <w:trPr>
          <w:trHeight w:val="188"/>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4,662,500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794,206</w:t>
            </w:r>
          </w:p>
        </w:tc>
        <w:tc>
          <w:tcPr>
            <w:tcW w:w="120" w:type="dxa"/>
            <w:vAlign w:val="bottom"/>
            <w:shd w:val="clear" w:color="auto" w:fill="CCEEFF"/>
          </w:tcPr>
          <w:p>
            <w:pPr>
              <w:spacing w:after="0"/>
              <w:rPr>
                <w:sz w:val="16"/>
                <w:szCs w:val="16"/>
                <w:color w:val="auto"/>
              </w:rPr>
            </w:pPr>
          </w:p>
        </w:tc>
      </w:tr>
      <w:tr>
        <w:trPr>
          <w:trHeight w:val="188"/>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Taxes paid</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533,894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82,238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43,499</w:t>
            </w:r>
          </w:p>
        </w:tc>
      </w:tr>
      <w:tr>
        <w:trPr>
          <w:trHeight w:val="188"/>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4.75% Convertible Senior Notes due 2023</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37,925,000</w:t>
            </w:r>
          </w:p>
        </w:tc>
      </w:tr>
    </w:tbl>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02"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4"/>
        </w:trPr>
        <w:tc>
          <w:tcPr>
            <w:tcW w:w="384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6"/>
                <w:szCs w:val="16"/>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80" w:type="dxa"/>
            <w:vAlign w:val="bottom"/>
            <w:tcBorders>
              <w:top w:val="single" w:sz="8" w:color="auto"/>
            </w:tcBorders>
            <w:gridSpan w:val="1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NON-CONTROLLED/NON-AFFILIATE</w:t>
            </w:r>
          </w:p>
        </w:tc>
        <w:tc>
          <w:tcPr>
            <w:tcW w:w="24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20" w:type="dxa"/>
            <w:vAlign w:val="bottom"/>
            <w:gridSpan w:val="14"/>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Learneo, Inc. (f/k/a Course Hero, Inc.)</w:t>
            </w:r>
          </w:p>
        </w:tc>
        <w:tc>
          <w:tcPr>
            <w:tcW w:w="204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rPr>
              <w:t>Redwood City, CA</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Borders>
              <w:top w:val="single" w:sz="8" w:color="auto"/>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540" w:type="dxa"/>
            <w:vAlign w:val="bottom"/>
            <w:gridSpan w:val="4"/>
            <w:shd w:val="clear" w:color="auto" w:fill="CCEEFF"/>
          </w:tcPr>
          <w:p>
            <w:pPr>
              <w:spacing w:after="0"/>
              <w:rPr>
                <w:sz w:val="16"/>
                <w:szCs w:val="16"/>
                <w:color w:val="auto"/>
              </w:rPr>
            </w:pP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Online Education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9/18/2014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2,145,509</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5,000,001</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$ 45,982,580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11/5/2021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275,659</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9,999,971</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9,999,971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bottom w:val="single" w:sz="8" w:color="CCEEFF"/>
            </w:tcBorders>
            <w:gridSpan w:val="1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14,999,972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55,982,551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20" w:type="dxa"/>
            <w:vAlign w:val="bottom"/>
            <w:gridSpan w:val="14"/>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ServiceTitan, Inc.</w:t>
            </w:r>
          </w:p>
        </w:tc>
        <w:tc>
          <w:tcPr>
            <w:tcW w:w="20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color w:val="auto"/>
              </w:rPr>
              <w:t>Glendale, CA</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Contractor Management</w:t>
            </w: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Software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6/30/2023</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151,515</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10,008,233</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11,960,975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20" w:type="dxa"/>
            <w:vAlign w:val="bottom"/>
            <w:gridSpan w:val="14"/>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Blink Health, Inc.</w:t>
            </w:r>
          </w:p>
        </w:tc>
        <w:tc>
          <w:tcPr>
            <w:tcW w:w="204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w w:val="97"/>
              </w:rPr>
              <w:t>New York, NY</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w:t>
            </w: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9"/>
              </w:rPr>
              <w:t>Pharmaceutical Technology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10/27/2020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238,095</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5,000,423</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1,692,855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Preferred shares, Series C</w:t>
            </w: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10/27/2020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261,944</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10,003,917</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9,999,975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bottom w:val="single" w:sz="8" w:color="CCEEFF"/>
            </w:tcBorders>
            <w:gridSpan w:val="1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15,004,340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11,692,830</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80" w:type="dxa"/>
            <w:vAlign w:val="bottom"/>
            <w:tcBorders>
              <w:bottom w:val="single" w:sz="8" w:color="auto"/>
            </w:tcBorders>
            <w:gridSpan w:val="6"/>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7"/>
              </w:rPr>
              <w:t>Locus Robotics Corp.</w:t>
            </w:r>
          </w:p>
        </w:tc>
        <w:tc>
          <w:tcPr>
            <w:tcW w:w="2540" w:type="dxa"/>
            <w:vAlign w:val="bottom"/>
            <w:gridSpan w:val="8"/>
          </w:tcPr>
          <w:p>
            <w:pPr>
              <w:spacing w:after="0"/>
              <w:rPr>
                <w:sz w:val="10"/>
                <w:szCs w:val="10"/>
                <w:color w:val="auto"/>
              </w:rPr>
            </w:pPr>
          </w:p>
        </w:tc>
        <w:tc>
          <w:tcPr>
            <w:tcW w:w="204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color w:val="auto"/>
                <w:w w:val="98"/>
              </w:rPr>
              <w:t>Wilmington, MA</w:t>
            </w: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F 6%</w:t>
            </w: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8"/>
              </w:rPr>
              <w:t>Warehouse Automation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11/30/2022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232,568</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10,004,286</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10,675,766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Borders>
              <w:bottom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5"/>
              </w:rPr>
              <w:t>Whoop, Inc.</w:t>
            </w:r>
          </w:p>
        </w:tc>
        <w:tc>
          <w:tcPr>
            <w:tcW w:w="3100" w:type="dxa"/>
            <w:vAlign w:val="bottom"/>
            <w:gridSpan w:val="12"/>
          </w:tcPr>
          <w:p>
            <w:pPr>
              <w:spacing w:after="0"/>
              <w:rPr>
                <w:sz w:val="12"/>
                <w:szCs w:val="12"/>
                <w:color w:val="auto"/>
              </w:rPr>
            </w:pPr>
          </w:p>
        </w:tc>
        <w:tc>
          <w:tcPr>
            <w:tcW w:w="204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color w:val="auto"/>
              </w:rPr>
              <w:t>Boston, MA</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C</w:t>
            </w:r>
          </w:p>
        </w:tc>
        <w:tc>
          <w:tcPr>
            <w:tcW w:w="2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9"/>
              </w:rPr>
              <w:t>Fitness Technology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6/30/2022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13,293,450</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10,011,460</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9,612,887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14"/>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Shogun Enterprises, Inc. (d/b/a Hearth)</w:t>
            </w:r>
            <w:r>
              <w:rPr>
                <w:rFonts w:ascii="Times New Roman" w:cs="Times New Roman" w:eastAsia="Times New Roman" w:hAnsi="Times New Roman"/>
                <w:sz w:val="20"/>
                <w:szCs w:val="20"/>
                <w:b w:val="1"/>
                <w:bCs w:val="1"/>
                <w:color w:val="auto"/>
                <w:vertAlign w:val="superscript"/>
              </w:rPr>
              <w:t>(13)</w:t>
            </w: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Austin, TX</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B-1</w:t>
            </w:r>
          </w:p>
        </w:tc>
        <w:tc>
          <w:tcPr>
            <w:tcW w:w="2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Home Improvement Finance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2/26/2021</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436,844</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3,501,657</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3,132,942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8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Preferred shares, Series B-2</w:t>
            </w: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2/26/2021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301,750</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3,501,661</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3,132,946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B-3</w:t>
            </w: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5/2/2022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56,936</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530,822</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475,152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Preferred shares, Series B-4</w:t>
            </w: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7/12/2023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48,267</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366,606</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342,517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7/12/2026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7/12/2023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86,076</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140,060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20" w:type="dxa"/>
            <w:vAlign w:val="bottom"/>
            <w:tcBorders>
              <w:top w:val="single" w:sz="8" w:color="CCEEFF"/>
              <w:bottom w:val="single" w:sz="8" w:color="CCEEFF"/>
            </w:tcBorders>
            <w:gridSpan w:val="14"/>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90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70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8,040,806</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7,083,557</w:t>
            </w:r>
          </w:p>
        </w:tc>
        <w:tc>
          <w:tcPr>
            <w:tcW w:w="32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20" w:type="dxa"/>
            <w:vAlign w:val="bottom"/>
            <w:gridSpan w:val="14"/>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FourKites, Inc.</w:t>
            </w:r>
          </w:p>
        </w:tc>
        <w:tc>
          <w:tcPr>
            <w:tcW w:w="2040" w:type="dxa"/>
            <w:vAlign w:val="bottom"/>
            <w:gridSpan w:val="2"/>
            <w:shd w:val="clear" w:color="auto" w:fill="CCEEFF"/>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rPr>
              <w:t>Chicago, IL</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CCEEFF"/>
              <w:right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8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Supply Chain Technology</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7/7/2023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1,398,024</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8,530,389</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6,926,176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Orchard Technologies, Inc.</w:t>
            </w:r>
            <w:r>
              <w:rPr>
                <w:rFonts w:ascii="Times New Roman" w:cs="Times New Roman" w:eastAsia="Times New Roman" w:hAnsi="Times New Roman"/>
                <w:sz w:val="20"/>
                <w:szCs w:val="20"/>
                <w:b w:val="1"/>
                <w:bCs w:val="1"/>
                <w:color w:val="auto"/>
                <w:vertAlign w:val="superscript"/>
              </w:rPr>
              <w:t>(12)</w:t>
            </w: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7"/>
              </w:rPr>
              <w:t>New York, NY</w:t>
            </w: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60" w:type="dxa"/>
            <w:vAlign w:val="bottom"/>
            <w:tcBorders>
              <w:right w:val="single" w:sz="8" w:color="auto"/>
            </w:tcBorders>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Preferred shares, Series D 8%</w:t>
            </w: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Real Estate Platform</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8/9/2021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558,053</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3,751,518</w:t>
            </w:r>
          </w:p>
        </w:tc>
        <w:tc>
          <w:tcPr>
            <w:tcW w:w="16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Preferred shares, Series 2</w:t>
            </w:r>
          </w:p>
        </w:tc>
        <w:tc>
          <w:tcPr>
            <w:tcW w:w="1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8/9/2021</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58,771</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587,951</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Senior Preferred shares, Series 1 7%</w:t>
            </w: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1/13/2023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441,228</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4,418,406</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4,854,086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8/9/2021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558,053</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3,751,518</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20" w:type="dxa"/>
            <w:vAlign w:val="bottom"/>
            <w:tcBorders>
              <w:top w:val="single" w:sz="8" w:color="CCEEFF"/>
              <w:bottom w:val="single" w:sz="8" w:color="CCEEFF"/>
            </w:tcBorders>
            <w:gridSpan w:val="14"/>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90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70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12,509,393</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4,854,086</w:t>
            </w:r>
          </w:p>
        </w:tc>
        <w:tc>
          <w:tcPr>
            <w:tcW w:w="32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gridSpan w:val="14"/>
            <w:shd w:val="clear" w:color="auto" w:fill="CCEEFF"/>
          </w:tcPr>
          <w:p>
            <w:pPr>
              <w:spacing w:after="0" w:line="164" w:lineRule="exact"/>
              <w:rPr>
                <w:sz w:val="20"/>
                <w:szCs w:val="20"/>
                <w:color w:val="auto"/>
              </w:rPr>
            </w:pPr>
            <w:r>
              <w:rPr>
                <w:rFonts w:ascii="Times New Roman" w:cs="Times New Roman" w:eastAsia="Times New Roman" w:hAnsi="Times New Roman"/>
                <w:sz w:val="12"/>
                <w:szCs w:val="12"/>
                <w:b w:val="1"/>
                <w:bCs w:val="1"/>
                <w:color w:val="auto"/>
              </w:rPr>
              <w:t>True Global Ventures 4 Plus Pte Ltd</w:t>
            </w:r>
            <w:r>
              <w:rPr>
                <w:rFonts w:ascii="Times New Roman" w:cs="Times New Roman" w:eastAsia="Times New Roman" w:hAnsi="Times New Roman"/>
                <w:sz w:val="19"/>
                <w:szCs w:val="19"/>
                <w:b w:val="1"/>
                <w:bCs w:val="1"/>
                <w:color w:val="auto"/>
                <w:vertAlign w:val="superscript"/>
              </w:rPr>
              <w:t>**</w:t>
            </w: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9"/>
              </w:rPr>
              <w:t>Singapore, Singapore</w:t>
            </w: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tcBorders>
              <w:top w:val="single" w:sz="8" w:color="auto"/>
            </w:tcBorders>
            <w:gridSpan w:val="8"/>
          </w:tcPr>
          <w:p>
            <w:pPr>
              <w:spacing w:after="0" w:line="211" w:lineRule="exact"/>
              <w:rPr>
                <w:sz w:val="20"/>
                <w:szCs w:val="20"/>
                <w:color w:val="auto"/>
              </w:rPr>
            </w:pPr>
            <w:r>
              <w:rPr>
                <w:rFonts w:ascii="Times New Roman" w:cs="Times New Roman" w:eastAsia="Times New Roman" w:hAnsi="Times New Roman"/>
                <w:sz w:val="14"/>
                <w:szCs w:val="14"/>
                <w:color w:val="auto"/>
              </w:rPr>
              <w:t>Limited Partner Fund Investment</w:t>
            </w:r>
            <w:r>
              <w:rPr>
                <w:rFonts w:ascii="Times New Roman" w:cs="Times New Roman" w:eastAsia="Times New Roman" w:hAnsi="Times New Roman"/>
                <w:sz w:val="23"/>
                <w:szCs w:val="23"/>
                <w:color w:val="auto"/>
                <w:vertAlign w:val="superscript"/>
              </w:rPr>
              <w:t>(8)</w:t>
            </w:r>
          </w:p>
        </w:tc>
        <w:tc>
          <w:tcPr>
            <w:tcW w:w="1660" w:type="dxa"/>
            <w:vAlign w:val="bottom"/>
            <w:tcBorders>
              <w:top w:val="single" w:sz="8" w:color="CCEEFF"/>
            </w:tcBorders>
            <w:gridSpan w:val="6"/>
          </w:tcPr>
          <w:p>
            <w:pPr>
              <w:spacing w:after="0"/>
              <w:rPr>
                <w:sz w:val="18"/>
                <w:szCs w:val="18"/>
                <w:color w:val="auto"/>
              </w:rPr>
            </w:pPr>
          </w:p>
        </w:tc>
        <w:tc>
          <w:tcPr>
            <w:tcW w:w="2040" w:type="dxa"/>
            <w:vAlign w:val="bottom"/>
            <w:tcBorders>
              <w:top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Venture Investment Fund</w:t>
            </w:r>
          </w:p>
        </w:tc>
        <w:tc>
          <w:tcPr>
            <w:tcW w:w="9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8/27/2021</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tcBorders>
              <w:top w:val="single" w:sz="8" w:color="CCEEFF"/>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960,778</w:t>
            </w:r>
          </w:p>
        </w:tc>
        <w:tc>
          <w:tcPr>
            <w:tcW w:w="1260" w:type="dxa"/>
            <w:vAlign w:val="bottom"/>
            <w:tcBorders>
              <w:top w:val="single" w:sz="8" w:color="CCEEFF"/>
            </w:tcBorders>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4,054,309</w:t>
            </w:r>
          </w:p>
        </w:tc>
        <w:tc>
          <w:tcPr>
            <w:tcW w:w="9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Borders>
              <w:bottom w:val="single" w:sz="8" w:color="auto"/>
            </w:tcBorders>
            <w:gridSpan w:val="9"/>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8"/>
              </w:rPr>
              <w:t>Neutron Holdings, Inc. (d/b/a/ Lime)</w:t>
            </w:r>
          </w:p>
        </w:tc>
        <w:tc>
          <w:tcPr>
            <w:tcW w:w="1640" w:type="dxa"/>
            <w:vAlign w:val="bottom"/>
            <w:tcBorders>
              <w:bottom w:val="single" w:sz="8" w:color="CCEEFF"/>
            </w:tcBorders>
            <w:gridSpan w:val="5"/>
            <w:shd w:val="clear" w:color="auto" w:fill="CCEEFF"/>
          </w:tcPr>
          <w:p>
            <w:pPr>
              <w:spacing w:after="0"/>
              <w:rPr>
                <w:sz w:val="13"/>
                <w:szCs w:val="13"/>
                <w:color w:val="auto"/>
              </w:rPr>
            </w:pPr>
          </w:p>
        </w:tc>
        <w:tc>
          <w:tcPr>
            <w:tcW w:w="2040" w:type="dxa"/>
            <w:vAlign w:val="bottom"/>
            <w:tcBorders>
              <w:bottom w:val="single" w:sz="8" w:color="CCEEFF"/>
            </w:tcBorders>
            <w:gridSpan w:val="2"/>
            <w:shd w:val="clear" w:color="auto" w:fill="CCEEFF"/>
          </w:tcPr>
          <w:p>
            <w:pPr>
              <w:jc w:val="center"/>
              <w:ind w:right="220"/>
              <w:spacing w:after="0" w:line="141" w:lineRule="exact"/>
              <w:rPr>
                <w:sz w:val="20"/>
                <w:szCs w:val="20"/>
                <w:color w:val="auto"/>
              </w:rPr>
            </w:pPr>
            <w:r>
              <w:rPr>
                <w:rFonts w:ascii="Times New Roman" w:cs="Times New Roman" w:eastAsia="Times New Roman" w:hAnsi="Times New Roman"/>
                <w:sz w:val="14"/>
                <w:szCs w:val="14"/>
                <w:color w:val="auto"/>
              </w:rPr>
              <w:t>San Francisco, CA</w:t>
            </w:r>
          </w:p>
        </w:tc>
        <w:tc>
          <w:tcPr>
            <w:tcW w:w="9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Junior Preferred shares, Series 1-D</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Micromobility</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1/25/2019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41,237,113</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10,007,322</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3,485,014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20" w:type="dxa"/>
            <w:vAlign w:val="bottom"/>
            <w:gridSpan w:val="14"/>
            <w:shd w:val="clear" w:color="auto" w:fill="CCEEFF"/>
          </w:tcPr>
          <w:p>
            <w:pPr>
              <w:spacing w:after="0" w:line="235" w:lineRule="exact"/>
              <w:rPr>
                <w:sz w:val="20"/>
                <w:szCs w:val="20"/>
                <w:color w:val="auto"/>
              </w:rPr>
            </w:pPr>
            <w:r>
              <w:rPr>
                <w:rFonts w:ascii="Times New Roman" w:cs="Times New Roman" w:eastAsia="Times New Roman" w:hAnsi="Times New Roman"/>
                <w:sz w:val="14"/>
                <w:szCs w:val="14"/>
                <w:color w:val="auto"/>
              </w:rPr>
              <w:t>Junior Preferred Convertible Note 4% Due 5/11/2027</w:t>
            </w:r>
            <w:r>
              <w:rPr>
                <w:rFonts w:ascii="Times New Roman" w:cs="Times New Roman" w:eastAsia="Times New Roman" w:hAnsi="Times New Roman"/>
                <w:sz w:val="23"/>
                <w:szCs w:val="23"/>
                <w:color w:val="auto"/>
                <w:vertAlign w:val="superscript"/>
              </w:rPr>
              <w:t>***</w:t>
            </w:r>
          </w:p>
        </w:tc>
        <w:tc>
          <w:tcPr>
            <w:tcW w:w="1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5/11/2020</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506,339</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506,339</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506,339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5/11/2027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5/11/2020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2,032,967</w:t>
            </w:r>
          </w:p>
        </w:tc>
        <w:tc>
          <w:tcPr>
            <w:tcW w:w="1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bottom w:val="single" w:sz="8" w:color="CCEEFF"/>
            </w:tcBorders>
            <w:gridSpan w:val="1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10,513,661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3,991,353</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gridSpan w:val="14"/>
          </w:tcPr>
          <w:p>
            <w:pPr>
              <w:spacing w:after="0" w:line="148" w:lineRule="exact"/>
              <w:rPr>
                <w:sz w:val="20"/>
                <w:szCs w:val="20"/>
                <w:color w:val="auto"/>
              </w:rPr>
            </w:pPr>
            <w:r>
              <w:rPr>
                <w:rFonts w:ascii="Times New Roman" w:cs="Times New Roman" w:eastAsia="Times New Roman" w:hAnsi="Times New Roman"/>
                <w:sz w:val="11"/>
                <w:szCs w:val="11"/>
                <w:b w:val="1"/>
                <w:bCs w:val="1"/>
                <w:color w:val="auto"/>
              </w:rPr>
              <w:t>Forge Global, Inc.</w:t>
            </w:r>
            <w:r>
              <w:rPr>
                <w:rFonts w:ascii="Times New Roman" w:cs="Times New Roman" w:eastAsia="Times New Roman" w:hAnsi="Times New Roman"/>
                <w:sz w:val="17"/>
                <w:szCs w:val="17"/>
                <w:b w:val="1"/>
                <w:bCs w:val="1"/>
                <w:color w:val="auto"/>
                <w:vertAlign w:val="superscript"/>
              </w:rPr>
              <w:t>**</w:t>
            </w:r>
          </w:p>
        </w:tc>
        <w:tc>
          <w:tcPr>
            <w:tcW w:w="204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color w:val="auto"/>
              </w:rPr>
              <w:t>San Francisco, CA</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20" w:type="dxa"/>
            <w:vAlign w:val="bottom"/>
            <w:gridSpan w:val="14"/>
            <w:shd w:val="clear" w:color="auto" w:fill="CCEEFF"/>
          </w:tcPr>
          <w:p>
            <w:pPr>
              <w:spacing w:after="0" w:line="211"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23"/>
                <w:szCs w:val="23"/>
                <w:color w:val="auto"/>
                <w:vertAlign w:val="superscript"/>
              </w:rPr>
              <w:t>(3)</w:t>
            </w: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Online Marketplace Finance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7/20/2011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1,145,875</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2,093,988</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3,930,351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20" w:type="dxa"/>
            <w:vAlign w:val="bottom"/>
            <w:gridSpan w:val="14"/>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PayJoy, Inc.</w:t>
            </w:r>
          </w:p>
        </w:tc>
        <w:tc>
          <w:tcPr>
            <w:tcW w:w="204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color w:val="auto"/>
              </w:rPr>
              <w:t>San Francisco, CA</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8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w:t>
            </w:r>
          </w:p>
        </w:tc>
        <w:tc>
          <w:tcPr>
            <w:tcW w:w="2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9"/>
              </w:rPr>
              <w:t>Mobile Access Technology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7/23/2021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244,117</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2,501,570</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2,500,002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Simple Agreement for Future Equity</w:t>
            </w: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5/25/2023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501,470</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500,000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3,003,040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20" w:type="dxa"/>
            <w:vAlign w:val="bottom"/>
            <w:gridSpan w:val="14"/>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Residential Homes for Rent, LLC (d/b/a Second Avenue)</w:t>
            </w:r>
          </w:p>
        </w:tc>
        <w:tc>
          <w:tcPr>
            <w:tcW w:w="204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color w:val="auto"/>
              </w:rPr>
              <w:t>Chicago, IL</w:t>
            </w: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20" w:type="dxa"/>
            <w:vAlign w:val="bottom"/>
            <w:gridSpan w:val="14"/>
            <w:shd w:val="clear" w:color="auto" w:fill="CCEEFF"/>
          </w:tcPr>
          <w:p>
            <w:pPr>
              <w:spacing w:after="0" w:line="211" w:lineRule="exact"/>
              <w:rPr>
                <w:sz w:val="20"/>
                <w:szCs w:val="20"/>
                <w:color w:val="auto"/>
              </w:rPr>
            </w:pPr>
            <w:r>
              <w:rPr>
                <w:rFonts w:ascii="Times New Roman" w:cs="Times New Roman" w:eastAsia="Times New Roman" w:hAnsi="Times New Roman"/>
                <w:sz w:val="14"/>
                <w:szCs w:val="14"/>
                <w:color w:val="auto"/>
              </w:rPr>
              <w:t>Preferred shares, Series A</w:t>
            </w:r>
            <w:r>
              <w:rPr>
                <w:rFonts w:ascii="Times New Roman" w:cs="Times New Roman" w:eastAsia="Times New Roman" w:hAnsi="Times New Roman"/>
                <w:sz w:val="23"/>
                <w:szCs w:val="23"/>
                <w:color w:val="auto"/>
                <w:vertAlign w:val="superscript"/>
              </w:rPr>
              <w:t>(6)</w:t>
            </w: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Real Estate Platform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12/23/2020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150,000</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1,500,000</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2,452,792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14"/>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Varo Money, Inc.</w:t>
            </w:r>
            <w:r>
              <w:rPr>
                <w:rFonts w:ascii="Times New Roman" w:cs="Times New Roman" w:eastAsia="Times New Roman" w:hAnsi="Times New Roman"/>
                <w:sz w:val="20"/>
                <w:szCs w:val="20"/>
                <w:b w:val="1"/>
                <w:bCs w:val="1"/>
                <w:color w:val="auto"/>
                <w:vertAlign w:val="superscript"/>
              </w:rPr>
              <w:t>**</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San Francisco, CA</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40" w:type="dxa"/>
            <w:vAlign w:val="bottom"/>
            <w:tcBorders>
              <w:top w:val="single" w:sz="8" w:color="auto"/>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780" w:type="dxa"/>
            <w:vAlign w:val="bottom"/>
            <w:gridSpan w:val="10"/>
            <w:shd w:val="clear" w:color="auto" w:fill="CCEEFF"/>
          </w:tcPr>
          <w:p>
            <w:pPr>
              <w:spacing w:after="0"/>
              <w:rPr>
                <w:sz w:val="16"/>
                <w:szCs w:val="16"/>
                <w:color w:val="auto"/>
              </w:rPr>
            </w:pP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Financial Services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8/11/2021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1,079,266</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10,005,548</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2,316,590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80" w:type="dxa"/>
            <w:vAlign w:val="bottom"/>
          </w:tcPr>
          <w:p>
            <w:pPr>
              <w:spacing w:after="0"/>
              <w:rPr>
                <w:sz w:val="15"/>
                <w:szCs w:val="15"/>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4"/>
        </w:trPr>
        <w:tc>
          <w:tcPr>
            <w:tcW w:w="382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6"/>
                <w:szCs w:val="16"/>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Borders>
              <w:top w:val="single" w:sz="8" w:color="auto"/>
              <w:bottom w:val="single" w:sz="8" w:color="auto"/>
            </w:tcBorders>
            <w:gridSpan w:val="9"/>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Aventine Property Group, Inc.</w:t>
            </w:r>
          </w:p>
        </w:tc>
        <w:tc>
          <w:tcPr>
            <w:tcW w:w="1760" w:type="dxa"/>
            <w:vAlign w:val="bottom"/>
            <w:tcBorders>
              <w:top w:val="single" w:sz="8" w:color="auto"/>
              <w:bottom w:val="single" w:sz="8" w:color="CCEEFF"/>
            </w:tcBorders>
            <w:gridSpan w:val="7"/>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0" w:type="dxa"/>
            <w:vAlign w:val="bottom"/>
            <w:tcBorders>
              <w:top w:val="single" w:sz="8" w:color="auto"/>
              <w:bottom w:val="single" w:sz="8" w:color="CCEEFF"/>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4"/>
                <w:szCs w:val="14"/>
                <w:color w:val="auto"/>
              </w:rPr>
              <w:t>Chicago, IL</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Cannabis REIT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9/11/2019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3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2,580,750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1,418,723</w:t>
            </w:r>
          </w:p>
        </w:tc>
        <w:tc>
          <w:tcPr>
            <w:tcW w:w="3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Xgroup Holdings Limited (d/b/a Xpoint)**</w:t>
            </w:r>
            <w:r>
              <w:rPr>
                <w:rFonts w:ascii="Times New Roman" w:cs="Times New Roman" w:eastAsia="Times New Roman" w:hAnsi="Times New Roman"/>
                <w:sz w:val="20"/>
                <w:szCs w:val="20"/>
                <w:b w:val="1"/>
                <w:bCs w:val="1"/>
                <w:color w:val="auto"/>
                <w:vertAlign w:val="superscript"/>
              </w:rPr>
              <w:t>(7)</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9"/>
              </w:rPr>
              <w:t>Philadelphia, PA</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00" w:type="dxa"/>
            <w:vAlign w:val="bottom"/>
            <w:tcBorders>
              <w:top w:val="single" w:sz="8" w:color="auto"/>
            </w:tcBorders>
            <w:gridSpan w:val="11"/>
          </w:tcPr>
          <w:p>
            <w:pPr>
              <w:spacing w:after="0" w:line="211" w:lineRule="exact"/>
              <w:rPr>
                <w:sz w:val="20"/>
                <w:szCs w:val="20"/>
                <w:color w:val="auto"/>
              </w:rPr>
            </w:pPr>
            <w:r>
              <w:rPr>
                <w:rFonts w:ascii="Times New Roman" w:cs="Times New Roman" w:eastAsia="Times New Roman" w:hAnsi="Times New Roman"/>
                <w:sz w:val="14"/>
                <w:szCs w:val="14"/>
                <w:color w:val="auto"/>
              </w:rPr>
              <w:t>Convertible Note 6%, Due 10/17/2024</w:t>
            </w:r>
            <w:r>
              <w:rPr>
                <w:rFonts w:ascii="Times New Roman" w:cs="Times New Roman" w:eastAsia="Times New Roman" w:hAnsi="Times New Roman"/>
                <w:sz w:val="23"/>
                <w:szCs w:val="23"/>
                <w:color w:val="auto"/>
                <w:vertAlign w:val="superscript"/>
              </w:rPr>
              <w:t>(4)</w:t>
            </w:r>
          </w:p>
        </w:tc>
        <w:tc>
          <w:tcPr>
            <w:tcW w:w="1400" w:type="dxa"/>
            <w:vAlign w:val="bottom"/>
            <w:tcBorders>
              <w:top w:val="single" w:sz="8" w:color="CCEEFF"/>
            </w:tcBorders>
            <w:gridSpan w:val="6"/>
          </w:tcPr>
          <w:p>
            <w:pPr>
              <w:spacing w:after="0"/>
              <w:rPr>
                <w:sz w:val="18"/>
                <w:szCs w:val="18"/>
                <w:color w:val="auto"/>
              </w:rPr>
            </w:pPr>
          </w:p>
        </w:tc>
        <w:tc>
          <w:tcPr>
            <w:tcW w:w="2020" w:type="dxa"/>
            <w:vAlign w:val="bottom"/>
            <w:tcBorders>
              <w:top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Geolocation Technology</w:t>
            </w:r>
          </w:p>
        </w:tc>
        <w:tc>
          <w:tcPr>
            <w:tcW w:w="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8/17/2022</w:t>
            </w: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3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1,338,976</w:t>
            </w:r>
          </w:p>
        </w:tc>
        <w:tc>
          <w:tcPr>
            <w:tcW w:w="9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1,325,000</w:t>
            </w: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Commercial Streaming Solutions Inc. (d/b/a BettorView)</w:t>
            </w:r>
            <w:r>
              <w:rPr>
                <w:rFonts w:ascii="Times New Roman" w:cs="Times New Roman" w:eastAsia="Times New Roman" w:hAnsi="Times New Roman"/>
                <w:sz w:val="20"/>
                <w:szCs w:val="20"/>
                <w:b w:val="1"/>
                <w:bCs w:val="1"/>
                <w:color w:val="auto"/>
                <w:vertAlign w:val="superscript"/>
              </w:rPr>
              <w:t>(7)</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Las Vegas, NV</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14"/>
                <w:szCs w:val="14"/>
                <w:color w:val="auto"/>
              </w:rPr>
              <w:t>Simple Agreement for Future Equity</w:t>
            </w:r>
          </w:p>
        </w:tc>
        <w:tc>
          <w:tcPr>
            <w:tcW w:w="420" w:type="dxa"/>
            <w:vAlign w:val="bottom"/>
            <w:tcBorders>
              <w:top w:val="single" w:sz="8" w:color="CCEEFF"/>
            </w:tcBorders>
            <w:gridSpan w:val="2"/>
          </w:tcPr>
          <w:p>
            <w:pPr>
              <w:spacing w:after="0"/>
              <w:rPr>
                <w:sz w:val="15"/>
                <w:szCs w:val="15"/>
                <w:color w:val="auto"/>
              </w:rPr>
            </w:pPr>
          </w:p>
        </w:tc>
        <w:tc>
          <w:tcPr>
            <w:tcW w:w="2020" w:type="dxa"/>
            <w:vAlign w:val="bottom"/>
            <w:tcBorders>
              <w:top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Interactive Media &amp; Services</w:t>
            </w:r>
          </w:p>
        </w:tc>
        <w:tc>
          <w:tcPr>
            <w:tcW w:w="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3/26/2021</w:t>
            </w: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1,004,240</w:t>
            </w:r>
          </w:p>
        </w:tc>
        <w:tc>
          <w:tcPr>
            <w:tcW w:w="9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34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Stake Trade, Inc. (d/b/a Prophet Exchange)</w:t>
            </w:r>
            <w:r>
              <w:rPr>
                <w:rFonts w:ascii="Times New Roman" w:cs="Times New Roman" w:eastAsia="Times New Roman" w:hAnsi="Times New Roman"/>
                <w:sz w:val="20"/>
                <w:szCs w:val="20"/>
                <w:b w:val="1"/>
                <w:bCs w:val="1"/>
                <w:color w:val="auto"/>
                <w:vertAlign w:val="superscript"/>
              </w:rPr>
              <w:t>(7)</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New York, NY</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8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4"/>
                <w:szCs w:val="14"/>
                <w:color w:val="auto"/>
              </w:rPr>
              <w:t>Simple Agreement for Future Equity</w:t>
            </w:r>
          </w:p>
        </w:tc>
        <w:tc>
          <w:tcPr>
            <w:tcW w:w="1220" w:type="dxa"/>
            <w:vAlign w:val="bottom"/>
            <w:tcBorders>
              <w:top w:val="single" w:sz="8" w:color="CCEEFF"/>
            </w:tcBorders>
            <w:gridSpan w:val="4"/>
          </w:tcPr>
          <w:p>
            <w:pPr>
              <w:spacing w:after="0"/>
              <w:rPr>
                <w:sz w:val="15"/>
                <w:szCs w:val="15"/>
                <w:color w:val="auto"/>
              </w:rPr>
            </w:pPr>
          </w:p>
        </w:tc>
        <w:tc>
          <w:tcPr>
            <w:tcW w:w="2020" w:type="dxa"/>
            <w:vAlign w:val="bottom"/>
            <w:tcBorders>
              <w:top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Sports Betting</w:t>
            </w:r>
          </w:p>
        </w:tc>
        <w:tc>
          <w:tcPr>
            <w:tcW w:w="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7/26/2023</w:t>
            </w: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1,002,153</w:t>
            </w:r>
          </w:p>
        </w:tc>
        <w:tc>
          <w:tcPr>
            <w:tcW w:w="9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34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AltC Sponsor LLC**</w:t>
            </w:r>
            <w:r>
              <w:rPr>
                <w:rFonts w:ascii="Times New Roman" w:cs="Times New Roman" w:eastAsia="Times New Roman" w:hAnsi="Times New Roman"/>
                <w:sz w:val="20"/>
                <w:szCs w:val="20"/>
                <w:b w:val="1"/>
                <w:bCs w:val="1"/>
                <w:color w:val="auto"/>
                <w:vertAlign w:val="superscript"/>
              </w:rPr>
              <w:t>(10)(14)</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New York, NY</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2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Special Purpose Acquisition</w:t>
            </w:r>
          </w:p>
        </w:tc>
        <w:tc>
          <w:tcPr>
            <w:tcW w:w="8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82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Common shares, Class B</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Company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7/21/2021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214,400</w:t>
            </w:r>
          </w:p>
        </w:tc>
        <w:tc>
          <w:tcPr>
            <w:tcW w:w="3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224,753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759,076</w:t>
            </w:r>
          </w:p>
        </w:tc>
        <w:tc>
          <w:tcPr>
            <w:tcW w:w="3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Class A</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7/21/2021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26,102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176,315</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Borders>
              <w:top w:val="single" w:sz="8" w:color="CCEEFF"/>
              <w:bottom w:val="single" w:sz="8" w:color="CCEEFF"/>
            </w:tcBorders>
            <w:gridSpan w:val="17"/>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tcPr>
          <w:p>
            <w:pPr>
              <w:spacing w:after="0"/>
              <w:rPr>
                <w:sz w:val="14"/>
                <w:szCs w:val="14"/>
                <w:color w:val="auto"/>
              </w:rPr>
            </w:pPr>
          </w:p>
        </w:tc>
        <w:tc>
          <w:tcPr>
            <w:tcW w:w="220" w:type="dxa"/>
            <w:vAlign w:val="bottom"/>
            <w:tcBorders>
              <w:top w:val="single" w:sz="8" w:color="CCEEFF"/>
              <w:bottom w:val="single" w:sz="8" w:color="CCEEFF"/>
            </w:tcBorders>
          </w:tcPr>
          <w:p>
            <w:pPr>
              <w:spacing w:after="0"/>
              <w:rPr>
                <w:sz w:val="14"/>
                <w:szCs w:val="14"/>
                <w:color w:val="auto"/>
              </w:rPr>
            </w:pPr>
          </w:p>
        </w:tc>
        <w:tc>
          <w:tcPr>
            <w:tcW w:w="88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680" w:type="dxa"/>
            <w:vAlign w:val="bottom"/>
            <w:tcBorders>
              <w:top w:val="single" w:sz="8" w:color="CCEEFF"/>
              <w:bottom w:val="single" w:sz="8" w:color="CCEEFF"/>
            </w:tcBorders>
          </w:tcPr>
          <w:p>
            <w:pPr>
              <w:spacing w:after="0"/>
              <w:rPr>
                <w:sz w:val="14"/>
                <w:szCs w:val="14"/>
                <w:color w:val="auto"/>
              </w:rPr>
            </w:pPr>
          </w:p>
        </w:tc>
        <w:tc>
          <w:tcPr>
            <w:tcW w:w="34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250,855</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935,391</w:t>
            </w:r>
          </w:p>
        </w:tc>
        <w:tc>
          <w:tcPr>
            <w:tcW w:w="34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0" w:type="dxa"/>
            <w:vAlign w:val="bottom"/>
            <w:gridSpan w:val="17"/>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Skillsoft Corp.**</w:t>
            </w:r>
          </w:p>
        </w:tc>
        <w:tc>
          <w:tcPr>
            <w:tcW w:w="2020" w:type="dxa"/>
            <w:vAlign w:val="bottom"/>
            <w:gridSpan w:val="2"/>
            <w:shd w:val="clear" w:color="auto" w:fill="CCEEFF"/>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rPr>
              <w:t>Nashua, NH</w:t>
            </w: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360" w:type="dxa"/>
            <w:vAlign w:val="bottom"/>
            <w:tcBorders>
              <w:right w:val="single" w:sz="8" w:color="CCEEFF"/>
            </w:tcBorders>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gridSpan w:val="17"/>
          </w:tcPr>
          <w:p>
            <w:pPr>
              <w:spacing w:after="0" w:line="211"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23"/>
                <w:szCs w:val="23"/>
                <w:color w:val="auto"/>
                <w:vertAlign w:val="superscript"/>
              </w:rPr>
              <w:t>(3)</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Online Education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6/8/2021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49,092</w:t>
            </w: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9,818,428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863,037</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Rebric, Inc. (d/b/a Compliable)</w:t>
            </w:r>
            <w:r>
              <w:rPr>
                <w:rFonts w:ascii="Times New Roman" w:cs="Times New Roman" w:eastAsia="Times New Roman" w:hAnsi="Times New Roman"/>
                <w:sz w:val="20"/>
                <w:szCs w:val="20"/>
                <w:b w:val="1"/>
                <w:bCs w:val="1"/>
                <w:color w:val="auto"/>
                <w:vertAlign w:val="superscript"/>
              </w:rPr>
              <w:t>(7)</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Denver, CO</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6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4"/>
                <w:szCs w:val="14"/>
                <w:color w:val="auto"/>
              </w:rPr>
              <w:t>Preferred shares, Series Seed-4</w:t>
            </w:r>
          </w:p>
        </w:tc>
        <w:tc>
          <w:tcPr>
            <w:tcW w:w="1940" w:type="dxa"/>
            <w:vAlign w:val="bottom"/>
            <w:tcBorders>
              <w:top w:val="single" w:sz="8" w:color="CCEEFF"/>
            </w:tcBorders>
            <w:gridSpan w:val="7"/>
          </w:tcPr>
          <w:p>
            <w:pPr>
              <w:spacing w:after="0"/>
              <w:rPr>
                <w:sz w:val="15"/>
                <w:szCs w:val="15"/>
                <w:color w:val="auto"/>
              </w:rPr>
            </w:pPr>
          </w:p>
        </w:tc>
        <w:tc>
          <w:tcPr>
            <w:tcW w:w="202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Gaming Licensing</w:t>
            </w:r>
          </w:p>
        </w:tc>
        <w:tc>
          <w:tcPr>
            <w:tcW w:w="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10/12/2021</w:t>
            </w: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2,406,492</w:t>
            </w:r>
          </w:p>
        </w:tc>
        <w:tc>
          <w:tcPr>
            <w:tcW w:w="34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1,002,755</w:t>
            </w:r>
          </w:p>
        </w:tc>
        <w:tc>
          <w:tcPr>
            <w:tcW w:w="9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799,323</w:t>
            </w:r>
          </w:p>
        </w:tc>
        <w:tc>
          <w:tcPr>
            <w:tcW w:w="34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EDGE Markets, Inc.</w:t>
            </w:r>
            <w:r>
              <w:rPr>
                <w:rFonts w:ascii="Times New Roman" w:cs="Times New Roman" w:eastAsia="Times New Roman" w:hAnsi="Times New Roman"/>
                <w:sz w:val="20"/>
                <w:szCs w:val="20"/>
                <w:b w:val="1"/>
                <w:bCs w:val="1"/>
                <w:color w:val="auto"/>
                <w:vertAlign w:val="superscript"/>
              </w:rPr>
              <w:t>(7)</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San Diego, CA</w:t>
            </w: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360" w:type="dxa"/>
            <w:vAlign w:val="bottom"/>
            <w:tcBorders>
              <w:right w:val="single" w:sz="8" w:color="auto"/>
            </w:tcBorders>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Preferred shares, Series Seed</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Gaming Technology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5/18/2022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456,704</w:t>
            </w:r>
          </w:p>
        </w:tc>
        <w:tc>
          <w:tcPr>
            <w:tcW w:w="3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501,330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3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Churchill Sponsor VII LLC**</w:t>
            </w:r>
            <w:r>
              <w:rPr>
                <w:rFonts w:ascii="Times New Roman" w:cs="Times New Roman" w:eastAsia="Times New Roman" w:hAnsi="Times New Roman"/>
                <w:sz w:val="20"/>
                <w:szCs w:val="20"/>
                <w:b w:val="1"/>
                <w:bCs w:val="1"/>
                <w:color w:val="auto"/>
                <w:vertAlign w:val="superscript"/>
              </w:rPr>
              <w:t>(10)</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New York, NY</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2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Special Purpose Acquisition</w:t>
            </w:r>
          </w:p>
        </w:tc>
        <w:tc>
          <w:tcPr>
            <w:tcW w:w="8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82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Common share units</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Company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292,100</w:t>
            </w:r>
          </w:p>
        </w:tc>
        <w:tc>
          <w:tcPr>
            <w:tcW w:w="3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205,820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344,097</w:t>
            </w:r>
          </w:p>
        </w:tc>
        <w:tc>
          <w:tcPr>
            <w:tcW w:w="3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units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277,000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94,180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18,929</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Borders>
              <w:top w:val="single" w:sz="8" w:color="CCEEFF"/>
              <w:bottom w:val="single" w:sz="8" w:color="CCEEFF"/>
            </w:tcBorders>
            <w:gridSpan w:val="17"/>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tcPr>
          <w:p>
            <w:pPr>
              <w:spacing w:after="0"/>
              <w:rPr>
                <w:sz w:val="14"/>
                <w:szCs w:val="14"/>
                <w:color w:val="auto"/>
              </w:rPr>
            </w:pPr>
          </w:p>
        </w:tc>
        <w:tc>
          <w:tcPr>
            <w:tcW w:w="220" w:type="dxa"/>
            <w:vAlign w:val="bottom"/>
            <w:tcBorders>
              <w:top w:val="single" w:sz="8" w:color="CCEEFF"/>
              <w:bottom w:val="single" w:sz="8" w:color="CCEEFF"/>
            </w:tcBorders>
          </w:tcPr>
          <w:p>
            <w:pPr>
              <w:spacing w:after="0"/>
              <w:rPr>
                <w:sz w:val="14"/>
                <w:szCs w:val="14"/>
                <w:color w:val="auto"/>
              </w:rPr>
            </w:pPr>
          </w:p>
        </w:tc>
        <w:tc>
          <w:tcPr>
            <w:tcW w:w="88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680" w:type="dxa"/>
            <w:vAlign w:val="bottom"/>
            <w:tcBorders>
              <w:top w:val="single" w:sz="8" w:color="CCEEFF"/>
              <w:bottom w:val="single" w:sz="8" w:color="CCEEFF"/>
            </w:tcBorders>
          </w:tcPr>
          <w:p>
            <w:pPr>
              <w:spacing w:after="0"/>
              <w:rPr>
                <w:sz w:val="14"/>
                <w:szCs w:val="14"/>
                <w:color w:val="auto"/>
              </w:rPr>
            </w:pPr>
          </w:p>
        </w:tc>
        <w:tc>
          <w:tcPr>
            <w:tcW w:w="34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363,026</w:t>
            </w:r>
          </w:p>
        </w:tc>
        <w:tc>
          <w:tcPr>
            <w:tcW w:w="34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60" w:type="dxa"/>
            <w:vAlign w:val="bottom"/>
            <w:tcBorders>
              <w:bottom w:val="single" w:sz="8" w:color="auto"/>
            </w:tcBorders>
            <w:gridSpan w:val="7"/>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7"/>
              </w:rPr>
              <w:t>Nextdoor Holdings, Inc.**</w:t>
            </w:r>
          </w:p>
        </w:tc>
        <w:tc>
          <w:tcPr>
            <w:tcW w:w="2240" w:type="dxa"/>
            <w:vAlign w:val="bottom"/>
            <w:tcBorders>
              <w:bottom w:val="single" w:sz="8" w:color="CCEEFF"/>
            </w:tcBorders>
            <w:gridSpan w:val="10"/>
            <w:shd w:val="clear" w:color="auto" w:fill="CCEEFF"/>
          </w:tcPr>
          <w:p>
            <w:pPr>
              <w:spacing w:after="0"/>
              <w:rPr>
                <w:sz w:val="13"/>
                <w:szCs w:val="13"/>
                <w:color w:val="auto"/>
              </w:rPr>
            </w:pPr>
          </w:p>
        </w:tc>
        <w:tc>
          <w:tcPr>
            <w:tcW w:w="2020" w:type="dxa"/>
            <w:vAlign w:val="bottom"/>
            <w:tcBorders>
              <w:bottom w:val="single" w:sz="8" w:color="CCEEFF"/>
            </w:tcBorders>
            <w:gridSpan w:val="2"/>
            <w:shd w:val="clear" w:color="auto" w:fill="CCEEFF"/>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rPr>
              <w:t>San Francisco, CA</w:t>
            </w:r>
          </w:p>
        </w:tc>
        <w:tc>
          <w:tcPr>
            <w:tcW w:w="8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0" w:type="dxa"/>
            <w:vAlign w:val="bottom"/>
            <w:gridSpan w:val="17"/>
          </w:tcPr>
          <w:p>
            <w:pPr>
              <w:spacing w:after="0" w:line="235" w:lineRule="exact"/>
              <w:rPr>
                <w:sz w:val="20"/>
                <w:szCs w:val="20"/>
                <w:color w:val="auto"/>
              </w:rPr>
            </w:pPr>
            <w:r>
              <w:rPr>
                <w:rFonts w:ascii="Times New Roman" w:cs="Times New Roman" w:eastAsia="Times New Roman" w:hAnsi="Times New Roman"/>
                <w:sz w:val="14"/>
                <w:szCs w:val="14"/>
                <w:color w:val="auto"/>
              </w:rPr>
              <w:t>Common shares, Class B</w:t>
            </w:r>
            <w:r>
              <w:rPr>
                <w:rFonts w:ascii="Times New Roman" w:cs="Times New Roman" w:eastAsia="Times New Roman" w:hAnsi="Times New Roman"/>
                <w:sz w:val="23"/>
                <w:szCs w:val="23"/>
                <w:color w:val="auto"/>
                <w:vertAlign w:val="superscript"/>
              </w:rPr>
              <w:t>(3)</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Social Networking</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9/27/2018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112,420</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626,470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212,474</w:t>
            </w:r>
          </w:p>
        </w:tc>
        <w:tc>
          <w:tcPr>
            <w:tcW w:w="3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YouBet Technology, Inc. (d/b/a FanPower)</w:t>
            </w:r>
            <w:r>
              <w:rPr>
                <w:rFonts w:ascii="Times New Roman" w:cs="Times New Roman" w:eastAsia="Times New Roman" w:hAnsi="Times New Roman"/>
                <w:sz w:val="20"/>
                <w:szCs w:val="20"/>
                <w:b w:val="1"/>
                <w:bCs w:val="1"/>
                <w:color w:val="auto"/>
                <w:vertAlign w:val="superscript"/>
              </w:rPr>
              <w:t>(7)</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New York, NY</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Preferred shares, Series Seed-2</w:t>
            </w:r>
          </w:p>
        </w:tc>
        <w:tc>
          <w:tcPr>
            <w:tcW w:w="1280" w:type="dxa"/>
            <w:vAlign w:val="bottom"/>
            <w:tcBorders>
              <w:top w:val="single" w:sz="8" w:color="CCEEFF"/>
            </w:tcBorders>
            <w:gridSpan w:val="5"/>
          </w:tcPr>
          <w:p>
            <w:pPr>
              <w:spacing w:after="0"/>
              <w:rPr>
                <w:sz w:val="15"/>
                <w:szCs w:val="15"/>
                <w:color w:val="auto"/>
              </w:rPr>
            </w:pPr>
          </w:p>
        </w:tc>
        <w:tc>
          <w:tcPr>
            <w:tcW w:w="2020" w:type="dxa"/>
            <w:vAlign w:val="bottom"/>
            <w:tcBorders>
              <w:top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Digital Media Technology</w:t>
            </w:r>
          </w:p>
        </w:tc>
        <w:tc>
          <w:tcPr>
            <w:tcW w:w="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8/26/2021</w:t>
            </w: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578,029</w:t>
            </w:r>
          </w:p>
        </w:tc>
        <w:tc>
          <w:tcPr>
            <w:tcW w:w="34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752,943</w:t>
            </w:r>
          </w:p>
        </w:tc>
        <w:tc>
          <w:tcPr>
            <w:tcW w:w="9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187,500</w:t>
            </w:r>
          </w:p>
        </w:tc>
        <w:tc>
          <w:tcPr>
            <w:tcW w:w="34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0" w:type="dxa"/>
            <w:vAlign w:val="bottom"/>
            <w:gridSpan w:val="17"/>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Kinetiq Holdings, LLC</w:t>
            </w:r>
          </w:p>
        </w:tc>
        <w:tc>
          <w:tcPr>
            <w:tcW w:w="2020" w:type="dxa"/>
            <w:vAlign w:val="bottom"/>
            <w:gridSpan w:val="2"/>
            <w:shd w:val="clear" w:color="auto" w:fill="CCEEFF"/>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w w:val="99"/>
              </w:rPr>
              <w:t>Philadelphia, PA</w:t>
            </w: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360" w:type="dxa"/>
            <w:vAlign w:val="bottom"/>
            <w:tcBorders>
              <w:right w:val="single" w:sz="8" w:color="auto"/>
            </w:tcBorders>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Common shares, Class A</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Social Data Platform</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3/30/2012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112,374</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28,836</w:t>
            </w:r>
          </w:p>
        </w:tc>
        <w:tc>
          <w:tcPr>
            <w:tcW w:w="3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0" w:type="dxa"/>
            <w:vAlign w:val="bottom"/>
            <w:gridSpan w:val="17"/>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Trax Ltd.**</w:t>
            </w:r>
          </w:p>
        </w:tc>
        <w:tc>
          <w:tcPr>
            <w:tcW w:w="2020" w:type="dxa"/>
            <w:vAlign w:val="bottom"/>
            <w:gridSpan w:val="2"/>
            <w:shd w:val="clear" w:color="auto" w:fill="CCEEFF"/>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rPr>
              <w:t>Singapore, Singapore</w:t>
            </w: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60" w:type="dxa"/>
            <w:vAlign w:val="bottom"/>
            <w:tcBorders>
              <w:top w:val="single" w:sz="8" w:color="auto"/>
            </w:tcBorders>
            <w:shd w:val="clear" w:color="auto" w:fill="CCEEFF"/>
          </w:tcPr>
          <w:p>
            <w:pPr>
              <w:spacing w:after="0"/>
              <w:rPr>
                <w:sz w:val="3"/>
                <w:szCs w:val="3"/>
                <w:color w:val="auto"/>
              </w:rPr>
            </w:pPr>
          </w:p>
        </w:tc>
        <w:tc>
          <w:tcPr>
            <w:tcW w:w="360" w:type="dxa"/>
            <w:vAlign w:val="bottom"/>
            <w:tcBorders>
              <w:top w:val="single" w:sz="8" w:color="CCEEFF"/>
              <w:right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5"/>
                <w:szCs w:val="15"/>
                <w:color w:val="auto"/>
              </w:rPr>
            </w:pPr>
          </w:p>
        </w:tc>
        <w:tc>
          <w:tcPr>
            <w:tcW w:w="380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Retail Technology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6/9/2021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55,591</w:t>
            </w:r>
          </w:p>
        </w:tc>
        <w:tc>
          <w:tcPr>
            <w:tcW w:w="3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2,781,148</w:t>
            </w:r>
          </w:p>
        </w:tc>
        <w:tc>
          <w:tcPr>
            <w:tcW w:w="160" w:type="dxa"/>
            <w:vAlign w:val="bottom"/>
          </w:tcPr>
          <w:p>
            <w:pPr>
              <w:spacing w:after="0"/>
              <w:rPr>
                <w:sz w:val="15"/>
                <w:szCs w:val="15"/>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Investec Series</w:t>
            </w: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6/9/2021</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144,409</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7,224,600</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Borders>
              <w:top w:val="single" w:sz="8" w:color="CCEEFF"/>
              <w:bottom w:val="single" w:sz="8" w:color="CCEEFF"/>
            </w:tcBorders>
            <w:gridSpan w:val="17"/>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tcPr>
          <w:p>
            <w:pPr>
              <w:spacing w:after="0"/>
              <w:rPr>
                <w:sz w:val="14"/>
                <w:szCs w:val="14"/>
                <w:color w:val="auto"/>
              </w:rPr>
            </w:pPr>
          </w:p>
        </w:tc>
        <w:tc>
          <w:tcPr>
            <w:tcW w:w="220" w:type="dxa"/>
            <w:vAlign w:val="bottom"/>
            <w:tcBorders>
              <w:top w:val="single" w:sz="8" w:color="CCEEFF"/>
              <w:bottom w:val="single" w:sz="8" w:color="CCEEFF"/>
            </w:tcBorders>
          </w:tcPr>
          <w:p>
            <w:pPr>
              <w:spacing w:after="0"/>
              <w:rPr>
                <w:sz w:val="14"/>
                <w:szCs w:val="14"/>
                <w:color w:val="auto"/>
              </w:rPr>
            </w:pPr>
          </w:p>
        </w:tc>
        <w:tc>
          <w:tcPr>
            <w:tcW w:w="88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680" w:type="dxa"/>
            <w:vAlign w:val="bottom"/>
            <w:tcBorders>
              <w:top w:val="single" w:sz="8" w:color="CCEEFF"/>
              <w:bottom w:val="single" w:sz="8" w:color="CCEEFF"/>
            </w:tcBorders>
          </w:tcPr>
          <w:p>
            <w:pPr>
              <w:spacing w:after="0"/>
              <w:rPr>
                <w:sz w:val="14"/>
                <w:szCs w:val="14"/>
                <w:color w:val="auto"/>
              </w:rPr>
            </w:pPr>
          </w:p>
        </w:tc>
        <w:tc>
          <w:tcPr>
            <w:tcW w:w="34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10,005,748</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80" w:type="dxa"/>
            <w:vAlign w:val="bottom"/>
            <w:tcBorders>
              <w:bottom w:val="single" w:sz="8" w:color="auto"/>
            </w:tcBorders>
            <w:gridSpan w:val="6"/>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Aspiration Partners, Inc.</w:t>
            </w:r>
          </w:p>
        </w:tc>
        <w:tc>
          <w:tcPr>
            <w:tcW w:w="2320" w:type="dxa"/>
            <w:vAlign w:val="bottom"/>
            <w:tcBorders>
              <w:bottom w:val="single" w:sz="8" w:color="CCEEFF"/>
            </w:tcBorders>
            <w:gridSpan w:val="11"/>
            <w:shd w:val="clear" w:color="auto" w:fill="CCEEFF"/>
          </w:tcPr>
          <w:p>
            <w:pPr>
              <w:spacing w:after="0"/>
              <w:rPr>
                <w:sz w:val="15"/>
                <w:szCs w:val="15"/>
                <w:color w:val="auto"/>
              </w:rPr>
            </w:pPr>
          </w:p>
        </w:tc>
        <w:tc>
          <w:tcPr>
            <w:tcW w:w="2020" w:type="dxa"/>
            <w:vAlign w:val="bottom"/>
            <w:tcBorders>
              <w:bottom w:val="single" w:sz="8" w:color="CCEEFF"/>
            </w:tcBorders>
            <w:gridSpan w:val="2"/>
            <w:shd w:val="clear" w:color="auto" w:fill="CCEEFF"/>
          </w:tcPr>
          <w:p>
            <w:pPr>
              <w:jc w:val="center"/>
              <w:ind w:right="220"/>
              <w:spacing w:after="0" w:line="141" w:lineRule="exact"/>
              <w:rPr>
                <w:sz w:val="20"/>
                <w:szCs w:val="20"/>
                <w:color w:val="auto"/>
              </w:rPr>
            </w:pPr>
            <w:r>
              <w:rPr>
                <w:rFonts w:ascii="Times New Roman" w:cs="Times New Roman" w:eastAsia="Times New Roman" w:hAnsi="Times New Roman"/>
                <w:sz w:val="14"/>
                <w:szCs w:val="14"/>
                <w:color w:val="auto"/>
                <w:w w:val="99"/>
              </w:rPr>
              <w:t>Marina Del Rey, CA</w:t>
            </w:r>
          </w:p>
        </w:tc>
        <w:tc>
          <w:tcPr>
            <w:tcW w:w="8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80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Preferred shares, Series A</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Financial Services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8/11/2015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540,270</w:t>
            </w:r>
          </w:p>
        </w:tc>
        <w:tc>
          <w:tcPr>
            <w:tcW w:w="3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1,001,815</w:t>
            </w:r>
          </w:p>
        </w:tc>
        <w:tc>
          <w:tcPr>
            <w:tcW w:w="160" w:type="dxa"/>
            <w:vAlign w:val="bottom"/>
          </w:tcPr>
          <w:p>
            <w:pPr>
              <w:spacing w:after="0"/>
              <w:rPr>
                <w:sz w:val="15"/>
                <w:szCs w:val="15"/>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C-3</w:t>
            </w: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8/12/2019</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24,912</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281,190</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Borders>
              <w:top w:val="single" w:sz="8" w:color="CCEEFF"/>
              <w:bottom w:val="single" w:sz="8" w:color="CCEEFF"/>
            </w:tcBorders>
            <w:gridSpan w:val="17"/>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tcPr>
          <w:p>
            <w:pPr>
              <w:spacing w:after="0"/>
              <w:rPr>
                <w:sz w:val="14"/>
                <w:szCs w:val="14"/>
                <w:color w:val="auto"/>
              </w:rPr>
            </w:pPr>
          </w:p>
        </w:tc>
        <w:tc>
          <w:tcPr>
            <w:tcW w:w="220" w:type="dxa"/>
            <w:vAlign w:val="bottom"/>
            <w:tcBorders>
              <w:top w:val="single" w:sz="8" w:color="CCEEFF"/>
              <w:bottom w:val="single" w:sz="8" w:color="CCEEFF"/>
            </w:tcBorders>
          </w:tcPr>
          <w:p>
            <w:pPr>
              <w:spacing w:after="0"/>
              <w:rPr>
                <w:sz w:val="14"/>
                <w:szCs w:val="14"/>
                <w:color w:val="auto"/>
              </w:rPr>
            </w:pPr>
          </w:p>
        </w:tc>
        <w:tc>
          <w:tcPr>
            <w:tcW w:w="88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680" w:type="dxa"/>
            <w:vAlign w:val="bottom"/>
            <w:tcBorders>
              <w:top w:val="single" w:sz="8" w:color="CCEEFF"/>
              <w:bottom w:val="single" w:sz="8" w:color="CCEEFF"/>
            </w:tcBorders>
          </w:tcPr>
          <w:p>
            <w:pPr>
              <w:spacing w:after="0"/>
              <w:rPr>
                <w:sz w:val="14"/>
                <w:szCs w:val="14"/>
                <w:color w:val="auto"/>
              </w:rPr>
            </w:pPr>
          </w:p>
        </w:tc>
        <w:tc>
          <w:tcPr>
            <w:tcW w:w="34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1,283,005</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Borders>
              <w:bottom w:val="single" w:sz="8" w:color="auto"/>
              <w:right w:val="single" w:sz="8" w:color="CCEEFF"/>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4"/>
              </w:rPr>
              <w:t>Fullbridge, Inc.</w:t>
            </w:r>
          </w:p>
        </w:tc>
        <w:tc>
          <w:tcPr>
            <w:tcW w:w="2880" w:type="dxa"/>
            <w:vAlign w:val="bottom"/>
            <w:tcBorders>
              <w:bottom w:val="single" w:sz="8" w:color="CCEEFF"/>
            </w:tcBorders>
            <w:gridSpan w:val="15"/>
            <w:shd w:val="clear" w:color="auto" w:fill="CCEEFF"/>
          </w:tcPr>
          <w:p>
            <w:pPr>
              <w:spacing w:after="0"/>
              <w:rPr>
                <w:sz w:val="13"/>
                <w:szCs w:val="13"/>
                <w:color w:val="auto"/>
              </w:rPr>
            </w:pPr>
          </w:p>
        </w:tc>
        <w:tc>
          <w:tcPr>
            <w:tcW w:w="2020" w:type="dxa"/>
            <w:vAlign w:val="bottom"/>
            <w:tcBorders>
              <w:bottom w:val="single" w:sz="8" w:color="CCEEFF"/>
            </w:tcBorders>
            <w:gridSpan w:val="2"/>
            <w:shd w:val="clear" w:color="auto" w:fill="CCEEFF"/>
          </w:tcPr>
          <w:p>
            <w:pPr>
              <w:jc w:val="center"/>
              <w:ind w:right="220"/>
              <w:spacing w:after="0" w:line="141" w:lineRule="exact"/>
              <w:rPr>
                <w:sz w:val="20"/>
                <w:szCs w:val="20"/>
                <w:color w:val="auto"/>
              </w:rPr>
            </w:pPr>
            <w:r>
              <w:rPr>
                <w:rFonts w:ascii="Times New Roman" w:cs="Times New Roman" w:eastAsia="Times New Roman" w:hAnsi="Times New Roman"/>
                <w:sz w:val="14"/>
                <w:szCs w:val="14"/>
                <w:color w:val="auto"/>
              </w:rPr>
              <w:t>Cambridge, MA</w:t>
            </w:r>
          </w:p>
        </w:tc>
        <w:tc>
          <w:tcPr>
            <w:tcW w:w="8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Business Education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5/13/2012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517,917</w:t>
            </w:r>
          </w:p>
        </w:tc>
        <w:tc>
          <w:tcPr>
            <w:tcW w:w="3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6,150,506</w:t>
            </w:r>
          </w:p>
        </w:tc>
        <w:tc>
          <w:tcPr>
            <w:tcW w:w="160" w:type="dxa"/>
            <w:vAlign w:val="bottom"/>
          </w:tcPr>
          <w:p>
            <w:pPr>
              <w:spacing w:after="0"/>
              <w:rPr>
                <w:sz w:val="15"/>
                <w:szCs w:val="15"/>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gridSpan w:val="17"/>
            <w:shd w:val="clear" w:color="auto" w:fill="CCEEFF"/>
          </w:tcPr>
          <w:p>
            <w:pPr>
              <w:spacing w:after="0" w:line="223" w:lineRule="exact"/>
              <w:rPr>
                <w:sz w:val="20"/>
                <w:szCs w:val="20"/>
                <w:color w:val="auto"/>
              </w:rPr>
            </w:pPr>
            <w:r>
              <w:rPr>
                <w:rFonts w:ascii="Times New Roman" w:cs="Times New Roman" w:eastAsia="Times New Roman" w:hAnsi="Times New Roman"/>
                <w:sz w:val="14"/>
                <w:szCs w:val="14"/>
                <w:color w:val="auto"/>
              </w:rPr>
              <w:t>Promissory Note 1.47%, Due 11/9/2021</w:t>
            </w:r>
            <w:r>
              <w:rPr>
                <w:rFonts w:ascii="Times New Roman" w:cs="Times New Roman" w:eastAsia="Times New Roman" w:hAnsi="Times New Roman"/>
                <w:sz w:val="23"/>
                <w:szCs w:val="23"/>
                <w:color w:val="auto"/>
                <w:vertAlign w:val="superscript"/>
              </w:rPr>
              <w:t>(4)(11)</w:t>
            </w:r>
          </w:p>
        </w:tc>
        <w:tc>
          <w:tcPr>
            <w:tcW w:w="1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3/3/2016</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2,270,458</w:t>
            </w:r>
          </w:p>
        </w:tc>
        <w:tc>
          <w:tcPr>
            <w:tcW w:w="3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2,270,858</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0" w:type="dxa"/>
            <w:vAlign w:val="bottom"/>
            <w:tcBorders>
              <w:top w:val="single" w:sz="8" w:color="CCEEFF"/>
              <w:bottom w:val="single" w:sz="8" w:color="CCEEFF"/>
            </w:tcBorders>
            <w:gridSpan w:val="17"/>
          </w:tcPr>
          <w:p>
            <w:pPr>
              <w:ind w:left="140"/>
              <w:spacing w:after="0" w:line="160" w:lineRule="exact"/>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tcPr>
          <w:p>
            <w:pPr>
              <w:spacing w:after="0"/>
              <w:rPr>
                <w:sz w:val="14"/>
                <w:szCs w:val="14"/>
                <w:color w:val="auto"/>
              </w:rPr>
            </w:pPr>
          </w:p>
        </w:tc>
        <w:tc>
          <w:tcPr>
            <w:tcW w:w="220" w:type="dxa"/>
            <w:vAlign w:val="bottom"/>
            <w:tcBorders>
              <w:top w:val="single" w:sz="8" w:color="CCEEFF"/>
              <w:bottom w:val="single" w:sz="8" w:color="CCEEFF"/>
            </w:tcBorders>
          </w:tcPr>
          <w:p>
            <w:pPr>
              <w:spacing w:after="0"/>
              <w:rPr>
                <w:sz w:val="14"/>
                <w:szCs w:val="14"/>
                <w:color w:val="auto"/>
              </w:rPr>
            </w:pPr>
          </w:p>
        </w:tc>
        <w:tc>
          <w:tcPr>
            <w:tcW w:w="88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680" w:type="dxa"/>
            <w:vAlign w:val="bottom"/>
            <w:tcBorders>
              <w:top w:val="single" w:sz="8" w:color="CCEEFF"/>
              <w:bottom w:val="single" w:sz="8" w:color="CCEEFF"/>
            </w:tcBorders>
          </w:tcPr>
          <w:p>
            <w:pPr>
              <w:spacing w:after="0"/>
              <w:rPr>
                <w:sz w:val="14"/>
                <w:szCs w:val="14"/>
                <w:color w:val="auto"/>
              </w:rPr>
            </w:pPr>
          </w:p>
        </w:tc>
        <w:tc>
          <w:tcPr>
            <w:tcW w:w="34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8,421,364</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gridSpan w:val="17"/>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Treehouse Real Estate Investment Trust, Inc.</w:t>
            </w:r>
          </w:p>
        </w:tc>
        <w:tc>
          <w:tcPr>
            <w:tcW w:w="2020" w:type="dxa"/>
            <w:vAlign w:val="bottom"/>
            <w:gridSpan w:val="2"/>
            <w:shd w:val="clear" w:color="auto" w:fill="CCEEFF"/>
          </w:tcPr>
          <w:p>
            <w:pPr>
              <w:jc w:val="center"/>
              <w:ind w:right="220"/>
              <w:spacing w:after="0" w:line="141" w:lineRule="exact"/>
              <w:rPr>
                <w:sz w:val="20"/>
                <w:szCs w:val="20"/>
                <w:color w:val="auto"/>
              </w:rPr>
            </w:pPr>
            <w:r>
              <w:rPr>
                <w:rFonts w:ascii="Times New Roman" w:cs="Times New Roman" w:eastAsia="Times New Roman" w:hAnsi="Times New Roman"/>
                <w:sz w:val="14"/>
                <w:szCs w:val="14"/>
                <w:color w:val="auto"/>
              </w:rPr>
              <w:t>Chicago, IL</w:t>
            </w: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120" w:type="dxa"/>
            <w:vAlign w:val="bottom"/>
            <w:tcBorders>
              <w:top w:val="single" w:sz="8" w:color="CCEEFF"/>
            </w:tcBorders>
            <w:gridSpan w:val="3"/>
          </w:tcPr>
          <w:p>
            <w:pPr>
              <w:spacing w:after="0"/>
              <w:rPr>
                <w:sz w:val="15"/>
                <w:szCs w:val="15"/>
                <w:color w:val="auto"/>
              </w:rPr>
            </w:pPr>
          </w:p>
        </w:tc>
        <w:tc>
          <w:tcPr>
            <w:tcW w:w="202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Cannabis REIT</w:t>
            </w:r>
          </w:p>
        </w:tc>
        <w:tc>
          <w:tcPr>
            <w:tcW w:w="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9/11/2019</w:t>
            </w: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34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4,919,250</w:t>
            </w:r>
          </w:p>
        </w:tc>
        <w:tc>
          <w:tcPr>
            <w:tcW w:w="16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380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auto"/>
              </w:rPr>
              <w:t>Total Non-controlled/Non-affiliate</w:t>
            </w: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6"/>
              </w:rPr>
              <w:t>$ 160,994,161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$ 147,167,535</w:t>
            </w:r>
          </w:p>
        </w:tc>
        <w:tc>
          <w:tcPr>
            <w:tcW w:w="3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72.37%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 of Net</w:t>
            </w:r>
          </w:p>
        </w:tc>
      </w:tr>
      <w:tr>
        <w:trPr>
          <w:trHeight w:val="194"/>
        </w:trPr>
        <w:tc>
          <w:tcPr>
            <w:tcW w:w="38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6"/>
                <w:szCs w:val="16"/>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212"/>
        </w:trPr>
        <w:tc>
          <w:tcPr>
            <w:tcW w:w="3600" w:type="dxa"/>
            <w:vAlign w:val="bottom"/>
            <w:tcBorders>
              <w:top w:val="single" w:sz="8" w:color="auto"/>
            </w:tcBorders>
            <w:gridSpan w:val="5"/>
            <w:shd w:val="clear" w:color="auto" w:fill="CCEEFF"/>
          </w:tcPr>
          <w:p>
            <w:pPr>
              <w:spacing w:after="0" w:line="211" w:lineRule="exact"/>
              <w:rPr>
                <w:sz w:val="20"/>
                <w:szCs w:val="20"/>
                <w:color w:val="auto"/>
              </w:rPr>
            </w:pPr>
            <w:r>
              <w:rPr>
                <w:rFonts w:ascii="Times New Roman" w:cs="Times New Roman" w:eastAsia="Times New Roman" w:hAnsi="Times New Roman"/>
                <w:sz w:val="14"/>
                <w:szCs w:val="14"/>
                <w:b w:val="1"/>
                <w:bCs w:val="1"/>
                <w:color w:val="auto"/>
              </w:rPr>
              <w:t>NON-CONTROLLED/AFFILIATE</w:t>
            </w:r>
            <w:r>
              <w:rPr>
                <w:rFonts w:ascii="Times New Roman" w:cs="Times New Roman" w:eastAsia="Times New Roman" w:hAnsi="Times New Roman"/>
                <w:sz w:val="23"/>
                <w:szCs w:val="23"/>
                <w:b w:val="1"/>
                <w:bCs w:val="1"/>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176"/>
        </w:trPr>
        <w:tc>
          <w:tcPr>
            <w:tcW w:w="3820" w:type="dxa"/>
            <w:vAlign w:val="bottom"/>
            <w:gridSpan w:val="6"/>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StormWind, LLC</w:t>
            </w:r>
            <w:r>
              <w:rPr>
                <w:rFonts w:ascii="Times New Roman" w:cs="Times New Roman" w:eastAsia="Times New Roman" w:hAnsi="Times New Roman"/>
                <w:sz w:val="20"/>
                <w:szCs w:val="20"/>
                <w:b w:val="1"/>
                <w:bCs w:val="1"/>
                <w:color w:val="auto"/>
                <w:vertAlign w:val="superscript"/>
              </w:rPr>
              <w:t>(5)</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Scottsdale, AZ</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38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D 8%</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Interactive Learning</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11/26/2019</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329,337</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257,267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653,975</w:t>
            </w: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r>
      <w:tr>
        <w:trPr>
          <w:trHeight w:val="176"/>
        </w:trPr>
        <w:tc>
          <w:tcPr>
            <w:tcW w:w="38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1/7/2014</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2,779,134</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4,000,787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6,804,933</w:t>
            </w:r>
          </w:p>
        </w:tc>
        <w:tc>
          <w:tcPr>
            <w:tcW w:w="3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3.35%</w:t>
            </w:r>
          </w:p>
        </w:tc>
      </w:tr>
      <w:tr>
        <w:trPr>
          <w:trHeight w:val="176"/>
        </w:trPr>
        <w:tc>
          <w:tcPr>
            <w:tcW w:w="38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 8%</w:t>
            </w: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12/16/2011</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3,279,629</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2,019,687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4,751,064</w:t>
            </w: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92"/>
        </w:trPr>
        <w:tc>
          <w:tcPr>
            <w:tcW w:w="38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2/25/2014</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366,666</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110,000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325,903</w:t>
            </w:r>
          </w:p>
        </w:tc>
        <w:tc>
          <w:tcPr>
            <w:tcW w:w="3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0.16%</w:t>
            </w:r>
          </w:p>
        </w:tc>
      </w:tr>
      <w:tr>
        <w:trPr>
          <w:trHeight w:val="196"/>
        </w:trPr>
        <w:tc>
          <w:tcPr>
            <w:tcW w:w="3820" w:type="dxa"/>
            <w:vAlign w:val="bottom"/>
            <w:tcBorders>
              <w:top w:val="single" w:sz="8" w:color="CCEEFF"/>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6,387,741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12,535,875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48"/>
        </w:trPr>
        <w:tc>
          <w:tcPr>
            <w:tcW w:w="3820" w:type="dxa"/>
            <w:vAlign w:val="bottom"/>
            <w:gridSpan w:val="6"/>
          </w:tcPr>
          <w:p>
            <w:pPr>
              <w:spacing w:after="0" w:line="148" w:lineRule="exact"/>
              <w:rPr>
                <w:sz w:val="20"/>
                <w:szCs w:val="20"/>
                <w:color w:val="auto"/>
              </w:rPr>
            </w:pPr>
            <w:r>
              <w:rPr>
                <w:rFonts w:ascii="Times New Roman" w:cs="Times New Roman" w:eastAsia="Times New Roman" w:hAnsi="Times New Roman"/>
                <w:sz w:val="11"/>
                <w:szCs w:val="11"/>
                <w:b w:val="1"/>
                <w:bCs w:val="1"/>
                <w:color w:val="auto"/>
              </w:rPr>
              <w:t>PSQ Holdings, Inc. (d/b/a PublicSquare)**</w:t>
            </w:r>
            <w:r>
              <w:rPr>
                <w:rFonts w:ascii="Times New Roman" w:cs="Times New Roman" w:eastAsia="Times New Roman" w:hAnsi="Times New Roman"/>
                <w:sz w:val="17"/>
                <w:szCs w:val="17"/>
                <w:b w:val="1"/>
                <w:bCs w:val="1"/>
                <w:color w:val="auto"/>
                <w:vertAlign w:val="superscript"/>
              </w:rPr>
              <w:t>(3)(15)</w:t>
            </w:r>
          </w:p>
        </w:tc>
        <w:tc>
          <w:tcPr>
            <w:tcW w:w="20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color w:val="auto"/>
                <w:w w:val="99"/>
              </w:rPr>
              <w:t>West Palm Beach, FL</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92"/>
        </w:trPr>
        <w:tc>
          <w:tcPr>
            <w:tcW w:w="242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Class A</w:t>
            </w:r>
          </w:p>
        </w:tc>
        <w:tc>
          <w:tcPr>
            <w:tcW w:w="1400" w:type="dxa"/>
            <w:vAlign w:val="bottom"/>
            <w:gridSpan w:val="2"/>
            <w:shd w:val="clear" w:color="auto" w:fill="CCEEFF"/>
          </w:tcPr>
          <w:p>
            <w:pPr>
              <w:spacing w:after="0"/>
              <w:rPr>
                <w:sz w:val="16"/>
                <w:szCs w:val="16"/>
                <w:color w:val="auto"/>
              </w:rPr>
            </w:pP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E-Commerce Marketplace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4/1/2021</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1,976,032</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1,556,587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8,542,386</w:t>
            </w: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r>
      <w:tr>
        <w:trPr>
          <w:trHeight w:val="192"/>
        </w:trPr>
        <w:tc>
          <w:tcPr>
            <w:tcW w:w="38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Warrants, Strike Price $11.50, Expiration Date 7/19/2028</w:t>
            </w: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4/1/2021</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2,396,037</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1,028,653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1,964,750</w:t>
            </w:r>
          </w:p>
        </w:tc>
        <w:tc>
          <w:tcPr>
            <w:tcW w:w="3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0.97%</w:t>
            </w:r>
          </w:p>
        </w:tc>
      </w:tr>
      <w:tr>
        <w:trPr>
          <w:trHeight w:val="196"/>
        </w:trPr>
        <w:tc>
          <w:tcPr>
            <w:tcW w:w="3820" w:type="dxa"/>
            <w:vAlign w:val="bottom"/>
            <w:tcBorders>
              <w:top w:val="single" w:sz="8" w:color="CCEEFF"/>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2,585,240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10,507,136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25"/>
        </w:trPr>
        <w:tc>
          <w:tcPr>
            <w:tcW w:w="3820" w:type="dxa"/>
            <w:vAlign w:val="bottom"/>
            <w:gridSpan w:val="6"/>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OneValley, Inc. (f/k/a NestGSV, Inc.)</w:t>
            </w:r>
          </w:p>
        </w:tc>
        <w:tc>
          <w:tcPr>
            <w:tcW w:w="20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color w:val="auto"/>
              </w:rPr>
              <w:t>San Mateo, CA</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7"/>
        </w:trPr>
        <w:tc>
          <w:tcPr>
            <w:tcW w:w="3820" w:type="dxa"/>
            <w:vAlign w:val="bottom"/>
            <w:gridSpan w:val="6"/>
            <w:shd w:val="clear" w:color="auto" w:fill="CCEEFF"/>
          </w:tcPr>
          <w:p>
            <w:pPr>
              <w:spacing w:after="0" w:line="226" w:lineRule="exact"/>
              <w:rPr>
                <w:sz w:val="20"/>
                <w:szCs w:val="20"/>
                <w:color w:val="auto"/>
              </w:rPr>
            </w:pPr>
            <w:r>
              <w:rPr>
                <w:rFonts w:ascii="Times New Roman" w:cs="Times New Roman" w:eastAsia="Times New Roman" w:hAnsi="Times New Roman"/>
                <w:sz w:val="14"/>
                <w:szCs w:val="14"/>
                <w:color w:val="auto"/>
              </w:rPr>
              <w:t>Derivative Security, Expiration Date 8/23/2024</w:t>
            </w:r>
            <w:r>
              <w:rPr>
                <w:rFonts w:ascii="Times New Roman" w:cs="Times New Roman" w:eastAsia="Times New Roman" w:hAnsi="Times New Roman"/>
                <w:sz w:val="23"/>
                <w:szCs w:val="23"/>
                <w:color w:val="auto"/>
                <w:vertAlign w:val="superscript"/>
              </w:rPr>
              <w:t>(9)</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Global Innovation Platform</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8/23/2019</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8,555,124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620,927</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r>
      <w:tr>
        <w:trPr>
          <w:trHeight w:val="227"/>
        </w:trPr>
        <w:tc>
          <w:tcPr>
            <w:tcW w:w="3820" w:type="dxa"/>
            <w:vAlign w:val="bottom"/>
            <w:gridSpan w:val="6"/>
          </w:tcPr>
          <w:p>
            <w:pPr>
              <w:spacing w:after="0" w:line="223" w:lineRule="exact"/>
              <w:rPr>
                <w:sz w:val="20"/>
                <w:szCs w:val="20"/>
                <w:color w:val="auto"/>
              </w:rPr>
            </w:pPr>
            <w:r>
              <w:rPr>
                <w:rFonts w:ascii="Times New Roman" w:cs="Times New Roman" w:eastAsia="Times New Roman" w:hAnsi="Times New Roman"/>
                <w:sz w:val="14"/>
                <w:szCs w:val="14"/>
                <w:color w:val="auto"/>
              </w:rPr>
              <w:t>Convertible Promissory Note 8% Due 8/23/2024</w:t>
            </w:r>
            <w:r>
              <w:rPr>
                <w:rFonts w:ascii="Times New Roman" w:cs="Times New Roman" w:eastAsia="Times New Roman" w:hAnsi="Times New Roman"/>
                <w:sz w:val="23"/>
                <w:szCs w:val="23"/>
                <w:color w:val="auto"/>
                <w:vertAlign w:val="superscript"/>
              </w:rPr>
              <w:t>(4)</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2/17/2016</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1,010,198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1,030,176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1,267,395</w:t>
            </w: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0.62%</w:t>
            </w:r>
          </w:p>
        </w:tc>
      </w:tr>
      <w:tr>
        <w:trPr>
          <w:trHeight w:val="196"/>
        </w:trPr>
        <w:tc>
          <w:tcPr>
            <w:tcW w:w="3820" w:type="dxa"/>
            <w:vAlign w:val="bottom"/>
            <w:tcBorders>
              <w:top w:val="single" w:sz="8" w:color="CCEEFF"/>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9,585,300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1,888,322</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25"/>
        </w:trPr>
        <w:tc>
          <w:tcPr>
            <w:tcW w:w="1300" w:type="dxa"/>
            <w:vAlign w:val="bottom"/>
            <w:tcBorders>
              <w:bottom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8"/>
              </w:rPr>
              <w:t>Maven Research, Inc.</w:t>
            </w:r>
          </w:p>
        </w:tc>
        <w:tc>
          <w:tcPr>
            <w:tcW w:w="2520" w:type="dxa"/>
            <w:vAlign w:val="bottom"/>
            <w:gridSpan w:val="4"/>
          </w:tcPr>
          <w:p>
            <w:pPr>
              <w:spacing w:after="0"/>
              <w:rPr>
                <w:sz w:val="10"/>
                <w:szCs w:val="10"/>
                <w:color w:val="auto"/>
              </w:rPr>
            </w:pPr>
          </w:p>
        </w:tc>
        <w:tc>
          <w:tcPr>
            <w:tcW w:w="202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color w:val="auto"/>
              </w:rPr>
              <w:t>San Francisco, CA</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92"/>
        </w:trPr>
        <w:tc>
          <w:tcPr>
            <w:tcW w:w="38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C</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Knowledge Networks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7/2/2012</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318,979</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2,000,447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38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2/28/2012</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49,505</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217,206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3820" w:type="dxa"/>
            <w:vAlign w:val="bottom"/>
            <w:tcBorders>
              <w:top w:val="single" w:sz="8" w:color="CCEEFF"/>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2,217,653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25"/>
        </w:trPr>
        <w:tc>
          <w:tcPr>
            <w:tcW w:w="3820" w:type="dxa"/>
            <w:vAlign w:val="bottom"/>
            <w:gridSpan w:val="6"/>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Curious.com, Inc.</w:t>
            </w:r>
          </w:p>
        </w:tc>
        <w:tc>
          <w:tcPr>
            <w:tcW w:w="202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color w:val="auto"/>
              </w:rPr>
              <w:t>Menlo Park, CA</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92"/>
        </w:trPr>
        <w:tc>
          <w:tcPr>
            <w:tcW w:w="1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760" w:type="dxa"/>
            <w:vAlign w:val="bottom"/>
            <w:gridSpan w:val="5"/>
            <w:shd w:val="clear" w:color="auto" w:fill="CCEEFF"/>
          </w:tcPr>
          <w:p>
            <w:pPr>
              <w:spacing w:after="0"/>
              <w:rPr>
                <w:sz w:val="16"/>
                <w:szCs w:val="16"/>
                <w:color w:val="auto"/>
              </w:rPr>
            </w:pP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9"/>
              </w:rPr>
              <w:t>Online Education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11/22/2013</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1,135,944</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12,000,006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5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Non-controlled/Affiliate</w:t>
            </w:r>
          </w:p>
        </w:tc>
        <w:tc>
          <w:tcPr>
            <w:tcW w:w="2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32,775,940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24,931,333</w:t>
            </w:r>
          </w:p>
        </w:tc>
        <w:tc>
          <w:tcPr>
            <w:tcW w:w="3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80" w:type="dxa"/>
            <w:vAlign w:val="bottom"/>
            <w:gridSpan w:val="6"/>
            <w:shd w:val="clear" w:color="auto" w:fill="CCEEFF"/>
          </w:tcPr>
          <w:p>
            <w:pPr>
              <w:spacing w:after="0" w:line="211" w:lineRule="exact"/>
              <w:rPr>
                <w:sz w:val="20"/>
                <w:szCs w:val="20"/>
                <w:color w:val="auto"/>
              </w:rPr>
            </w:pPr>
            <w:r>
              <w:rPr>
                <w:rFonts w:ascii="Times New Roman" w:cs="Times New Roman" w:eastAsia="Times New Roman" w:hAnsi="Times New Roman"/>
                <w:sz w:val="14"/>
                <w:szCs w:val="14"/>
                <w:b w:val="1"/>
                <w:bCs w:val="1"/>
                <w:color w:val="auto"/>
              </w:rPr>
              <w:t>CONTROLLED</w:t>
            </w:r>
            <w:r>
              <w:rPr>
                <w:rFonts w:ascii="Times New Roman" w:cs="Times New Roman" w:eastAsia="Times New Roman" w:hAnsi="Times New Roman"/>
                <w:sz w:val="23"/>
                <w:szCs w:val="23"/>
                <w:b w:val="1"/>
                <w:bCs w:val="1"/>
                <w:color w:val="auto"/>
                <w:vertAlign w:val="superscript"/>
              </w:rPr>
              <w:t>(2)</w:t>
            </w:r>
          </w:p>
        </w:tc>
        <w:tc>
          <w:tcPr>
            <w:tcW w:w="2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80" w:type="dxa"/>
            <w:vAlign w:val="bottom"/>
            <w:tcBorders>
              <w:bottom w:val="single" w:sz="8" w:color="auto"/>
            </w:tcBorders>
            <w:gridSpan w:val="4"/>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Architect Capital PayJoy SPV, LLC**</w:t>
            </w:r>
          </w:p>
        </w:tc>
        <w:tc>
          <w:tcPr>
            <w:tcW w:w="1300" w:type="dxa"/>
            <w:vAlign w:val="bottom"/>
            <w:gridSpan w:val="2"/>
          </w:tcPr>
          <w:p>
            <w:pPr>
              <w:spacing w:after="0"/>
              <w:rPr>
                <w:sz w:val="12"/>
                <w:szCs w:val="12"/>
                <w:color w:val="auto"/>
              </w:rPr>
            </w:pPr>
          </w:p>
        </w:tc>
        <w:tc>
          <w:tcPr>
            <w:tcW w:w="2140" w:type="dxa"/>
            <w:vAlign w:val="bottom"/>
          </w:tcPr>
          <w:p>
            <w:pPr>
              <w:jc w:val="center"/>
              <w:ind w:left="9"/>
              <w:spacing w:after="0" w:line="141" w:lineRule="exact"/>
              <w:rPr>
                <w:sz w:val="20"/>
                <w:szCs w:val="20"/>
                <w:color w:val="auto"/>
              </w:rPr>
            </w:pPr>
            <w:r>
              <w:rPr>
                <w:rFonts w:ascii="Times New Roman" w:cs="Times New Roman" w:eastAsia="Times New Roman" w:hAnsi="Times New Roman"/>
                <w:sz w:val="14"/>
                <w:szCs w:val="14"/>
                <w:color w:val="auto"/>
              </w:rPr>
              <w:t>San Francisco, CA</w:t>
            </w: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Interest in Lending SPV***</w:t>
            </w:r>
          </w:p>
        </w:tc>
        <w:tc>
          <w:tcPr>
            <w:tcW w:w="21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Mobile Finance Technology</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3/24/2021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10,000,000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10,006,745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3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80" w:type="dxa"/>
            <w:vAlign w:val="bottom"/>
            <w:gridSpan w:val="6"/>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Colombier Sponsor II LLC**</w:t>
            </w:r>
            <w:r>
              <w:rPr>
                <w:rFonts w:ascii="Times New Roman" w:cs="Times New Roman" w:eastAsia="Times New Roman" w:hAnsi="Times New Roman"/>
                <w:sz w:val="20"/>
                <w:szCs w:val="20"/>
                <w:b w:val="1"/>
                <w:bCs w:val="1"/>
                <w:color w:val="auto"/>
                <w:vertAlign w:val="superscript"/>
              </w:rPr>
              <w:t>(10)</w:t>
            </w:r>
          </w:p>
        </w:tc>
        <w:tc>
          <w:tcPr>
            <w:tcW w:w="21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Palm Beach, FL</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14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Special Purpose Acquisition</w:t>
            </w: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Units</w:t>
            </w:r>
          </w:p>
        </w:tc>
        <w:tc>
          <w:tcPr>
            <w:tcW w:w="21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Company</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11/20/2023</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1,040,000</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842,289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1,101,695</w:t>
            </w:r>
          </w:p>
        </w:tc>
        <w:tc>
          <w:tcPr>
            <w:tcW w:w="3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Class W Units</w:t>
            </w:r>
          </w:p>
        </w:tc>
        <w:tc>
          <w:tcPr>
            <w:tcW w:w="2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1,600,000</w:t>
            </w: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760,651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498,305</w:t>
            </w:r>
          </w:p>
        </w:tc>
        <w:tc>
          <w:tcPr>
            <w:tcW w:w="340" w:type="dxa"/>
            <w:vAlign w:val="bottom"/>
          </w:tcPr>
          <w:p>
            <w:pPr>
              <w:spacing w:after="0"/>
              <w:rPr>
                <w:sz w:val="16"/>
                <w:szCs w:val="16"/>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bottom w:val="single" w:sz="8" w:color="CCEEFF"/>
            </w:tcBorders>
            <w:gridSpan w:val="6"/>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14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1,602,940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1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60" w:type="dxa"/>
            <w:vAlign w:val="bottom"/>
            <w:tcBorders>
              <w:bottom w:val="single" w:sz="8" w:color="auto"/>
            </w:tcBorders>
            <w:gridSpan w:val="5"/>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9"/>
              </w:rPr>
              <w:t>SPBRX, INC. (f/k/a GSV Sustainability Partners, Inc.)</w:t>
            </w:r>
          </w:p>
        </w:tc>
        <w:tc>
          <w:tcPr>
            <w:tcW w:w="320" w:type="dxa"/>
            <w:vAlign w:val="bottom"/>
          </w:tcPr>
          <w:p>
            <w:pPr>
              <w:spacing w:after="0"/>
              <w:rPr>
                <w:sz w:val="10"/>
                <w:szCs w:val="10"/>
                <w:color w:val="auto"/>
              </w:rPr>
            </w:pPr>
          </w:p>
        </w:tc>
        <w:tc>
          <w:tcPr>
            <w:tcW w:w="2140" w:type="dxa"/>
            <w:vAlign w:val="bottom"/>
          </w:tcPr>
          <w:p>
            <w:pPr>
              <w:jc w:val="center"/>
              <w:ind w:left="9"/>
              <w:spacing w:after="0" w:line="125" w:lineRule="exact"/>
              <w:rPr>
                <w:sz w:val="20"/>
                <w:szCs w:val="20"/>
                <w:color w:val="auto"/>
              </w:rPr>
            </w:pPr>
            <w:r>
              <w:rPr>
                <w:rFonts w:ascii="Times New Roman" w:cs="Times New Roman" w:eastAsia="Times New Roman" w:hAnsi="Times New Roman"/>
                <w:sz w:val="14"/>
                <w:szCs w:val="14"/>
                <w:color w:val="auto"/>
                <w:w w:val="99"/>
              </w:rPr>
              <w:t>Cupertino, CA</w:t>
            </w: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Class A</w:t>
            </w:r>
          </w:p>
        </w:tc>
        <w:tc>
          <w:tcPr>
            <w:tcW w:w="21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8"/>
              </w:rPr>
              <w:t>Clean Technology</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4/15/2014</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14,300,000</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7,151,412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382,381</w:t>
            </w:r>
          </w:p>
        </w:tc>
        <w:tc>
          <w:tcPr>
            <w:tcW w:w="3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4/15/2014</w:t>
            </w:r>
          </w:p>
        </w:tc>
        <w:tc>
          <w:tcPr>
            <w:tcW w:w="280" w:type="dxa"/>
            <w:vAlign w:val="bottom"/>
          </w:tcPr>
          <w:p>
            <w:pPr>
              <w:spacing w:after="0"/>
              <w:rPr>
                <w:sz w:val="16"/>
                <w:szCs w:val="16"/>
                <w:color w:val="auto"/>
              </w:rPr>
            </w:pP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tcBorders>
              <w:top w:val="single" w:sz="8" w:color="CCEEFF"/>
              <w:bottom w:val="single" w:sz="8" w:color="CCEEFF"/>
            </w:tcBorders>
            <w:gridSpan w:val="6"/>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1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7,161,412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382,381</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Controlled</w:t>
            </w:r>
          </w:p>
        </w:tc>
        <w:tc>
          <w:tcPr>
            <w:tcW w:w="2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18,771,097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11,982,381</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2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212,541,198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184,081,249</w:t>
            </w:r>
          </w:p>
        </w:tc>
        <w:tc>
          <w:tcPr>
            <w:tcW w:w="3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80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3"/>
              </w:rPr>
              <w:t>U.S. Treasury</w:t>
            </w:r>
          </w:p>
        </w:tc>
        <w:tc>
          <w:tcPr>
            <w:tcW w:w="140" w:type="dxa"/>
            <w:vAlign w:val="bottom"/>
            <w:tcBorders>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1"/>
                <w:szCs w:val="11"/>
                <w:b w:val="1"/>
                <w:bCs w:val="1"/>
                <w:color w:val="auto"/>
                <w:w w:val="93"/>
              </w:rPr>
              <w:t>(3)</w:t>
            </w:r>
          </w:p>
        </w:tc>
        <w:tc>
          <w:tcPr>
            <w:tcW w:w="2640" w:type="dxa"/>
            <w:vAlign w:val="bottom"/>
            <w:tcBorders>
              <w:bottom w:val="single" w:sz="8" w:color="CCEEFF"/>
            </w:tcBorders>
            <w:gridSpan w:val="4"/>
            <w:vMerge w:val="restart"/>
            <w:shd w:val="clear" w:color="auto" w:fill="CCEEFF"/>
          </w:tcPr>
          <w:p>
            <w:pPr>
              <w:spacing w:after="0"/>
              <w:rPr>
                <w:sz w:val="10"/>
                <w:szCs w:val="10"/>
                <w:color w:val="auto"/>
              </w:rPr>
            </w:pPr>
          </w:p>
        </w:tc>
        <w:tc>
          <w:tcPr>
            <w:tcW w:w="214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0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tcBorders>
              <w:bottom w:val="single" w:sz="8" w:color="auto"/>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2640" w:type="dxa"/>
            <w:vAlign w:val="bottom"/>
            <w:tcBorders>
              <w:bottom w:val="single" w:sz="8" w:color="CCEEFF"/>
            </w:tcBorders>
            <w:gridSpan w:val="4"/>
            <w:vMerge w:val="continue"/>
            <w:shd w:val="clear" w:color="auto" w:fill="CCEEFF"/>
          </w:tcPr>
          <w:p>
            <w:pPr>
              <w:spacing w:after="0"/>
              <w:rPr>
                <w:sz w:val="4"/>
                <w:szCs w:val="4"/>
                <w:color w:val="auto"/>
              </w:rPr>
            </w:pPr>
          </w:p>
        </w:tc>
        <w:tc>
          <w:tcPr>
            <w:tcW w:w="2140" w:type="dxa"/>
            <w:vAlign w:val="bottom"/>
            <w:tcBorders>
              <w:bottom w:val="single" w:sz="8" w:color="CCEEFF"/>
            </w:tcBorders>
            <w:shd w:val="clear" w:color="auto" w:fill="CCEEFF"/>
          </w:tcPr>
          <w:p>
            <w:pPr>
              <w:spacing w:after="0"/>
              <w:rPr>
                <w:sz w:val="4"/>
                <w:szCs w:val="4"/>
                <w:color w:val="auto"/>
              </w:rPr>
            </w:pPr>
          </w:p>
        </w:tc>
        <w:tc>
          <w:tcPr>
            <w:tcW w:w="104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U.S. Treasury bill, 0%, due 3/28/2024***</w:t>
            </w:r>
          </w:p>
        </w:tc>
        <w:tc>
          <w:tcPr>
            <w:tcW w:w="21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12/29/2023</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35,000,000</w:t>
            </w:r>
          </w:p>
        </w:tc>
        <w:tc>
          <w:tcPr>
            <w:tcW w:w="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34,547,625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34,559,949</w:t>
            </w:r>
          </w:p>
        </w:tc>
        <w:tc>
          <w:tcPr>
            <w:tcW w:w="340" w:type="dxa"/>
            <w:vAlign w:val="bottom"/>
          </w:tcPr>
          <w:p>
            <w:pPr>
              <w:spacing w:after="0"/>
              <w:rPr>
                <w:sz w:val="15"/>
                <w:szCs w:val="15"/>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16.99%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 bill, 0%, due 6/27/2024***</w:t>
            </w:r>
          </w:p>
        </w:tc>
        <w:tc>
          <w:tcPr>
            <w:tcW w:w="21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12/29/2023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30,000,000</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29,245,079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29,250,906</w:t>
            </w:r>
          </w:p>
        </w:tc>
        <w:tc>
          <w:tcPr>
            <w:tcW w:w="3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80" w:type="dxa"/>
            <w:vAlign w:val="bottom"/>
            <w:tcBorders>
              <w:top w:val="single" w:sz="8" w:color="CCEEFF"/>
              <w:bottom w:val="single" w:sz="8" w:color="CCEEFF"/>
            </w:tcBorders>
            <w:gridSpan w:val="6"/>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140" w:type="dxa"/>
            <w:vAlign w:val="bottom"/>
            <w:tcBorders>
              <w:top w:val="single" w:sz="8" w:color="CCEEFF"/>
              <w:bottom w:val="single" w:sz="8" w:color="CCEEFF"/>
            </w:tcBorders>
          </w:tcPr>
          <w:p>
            <w:pPr>
              <w:spacing w:after="0"/>
              <w:rPr>
                <w:sz w:val="14"/>
                <w:szCs w:val="14"/>
                <w:color w:val="auto"/>
              </w:rPr>
            </w:pPr>
          </w:p>
        </w:tc>
        <w:tc>
          <w:tcPr>
            <w:tcW w:w="1040" w:type="dxa"/>
            <w:vAlign w:val="bottom"/>
            <w:tcBorders>
              <w:top w:val="single" w:sz="8" w:color="CCEEFF"/>
              <w:bottom w:val="single" w:sz="8" w:color="CCEEFF"/>
            </w:tcBorders>
          </w:tcPr>
          <w:p>
            <w:pPr>
              <w:spacing w:after="0"/>
              <w:rPr>
                <w:sz w:val="14"/>
                <w:szCs w:val="14"/>
                <w:color w:val="auto"/>
              </w:rPr>
            </w:pPr>
          </w:p>
        </w:tc>
        <w:tc>
          <w:tcPr>
            <w:tcW w:w="280" w:type="dxa"/>
            <w:vAlign w:val="bottom"/>
            <w:tcBorders>
              <w:top w:val="single" w:sz="8" w:color="CCEEFF"/>
              <w:bottom w:val="single" w:sz="8" w:color="CCEEFF"/>
            </w:tcBorders>
          </w:tcPr>
          <w:p>
            <w:pPr>
              <w:spacing w:after="0"/>
              <w:rPr>
                <w:sz w:val="14"/>
                <w:szCs w:val="14"/>
                <w:color w:val="auto"/>
              </w:rPr>
            </w:pPr>
          </w:p>
        </w:tc>
        <w:tc>
          <w:tcPr>
            <w:tcW w:w="10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63,792,704</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63,810,855</w:t>
            </w:r>
          </w:p>
        </w:tc>
        <w:tc>
          <w:tcPr>
            <w:tcW w:w="34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40" w:type="dxa"/>
            <w:vAlign w:val="bottom"/>
            <w:tcBorders>
              <w:top w:val="single" w:sz="8" w:color="CCEEFF"/>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5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276,333,902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247,892,104</w:t>
            </w:r>
          </w:p>
        </w:tc>
        <w:tc>
          <w:tcPr>
            <w:tcW w:w="3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121.90%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77" w:name="page78"/>
    <w:bookmarkEnd w:id="77"/>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 continued</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9133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92" w:lineRule="exact"/>
        <w:rPr>
          <w:sz w:val="20"/>
          <w:szCs w:val="20"/>
          <w:color w:val="auto"/>
        </w:rPr>
      </w:pPr>
    </w:p>
    <w:p>
      <w:pPr>
        <w:jc w:val="both"/>
        <w:ind w:left="566" w:hanging="566"/>
        <w:spacing w:after="0" w:line="267" w:lineRule="auto"/>
        <w:tabs>
          <w:tab w:leader="none" w:pos="566"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 Related-Party Arrangements”). All portfolio investments are considered Level 3 and valued using significant unobservable inputs, unless otherwise noted. (Refer to “Note</w:t>
      </w:r>
    </w:p>
    <w:p>
      <w:pPr>
        <w:ind w:left="566"/>
        <w:spacing w:after="0" w:line="245" w:lineRule="auto"/>
        <w:rPr>
          <w:sz w:val="20"/>
          <w:szCs w:val="20"/>
          <w:color w:val="auto"/>
        </w:rPr>
      </w:pPr>
      <w:r>
        <w:rPr>
          <w:rFonts w:ascii="Times New Roman" w:cs="Times New Roman" w:eastAsia="Times New Roman" w:hAnsi="Times New Roman"/>
          <w:sz w:val="16"/>
          <w:szCs w:val="16"/>
          <w:color w:val="auto"/>
        </w:rPr>
        <w:t>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ind w:left="566" w:hanging="566"/>
        <w:spacing w:after="0" w:line="245" w:lineRule="auto"/>
        <w:tabs>
          <w:tab w:leader="none" w:pos="56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December 31, 2023, 14.03% of its total investments are non-qualifying assets.</w:t>
      </w:r>
    </w:p>
    <w:p>
      <w:pPr>
        <w:ind w:left="566" w:hanging="566"/>
        <w:spacing w:after="0"/>
        <w:tabs>
          <w:tab w:leader="none" w:pos="56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177" w:lineRule="exact"/>
        <w:rPr>
          <w:sz w:val="20"/>
          <w:szCs w:val="20"/>
          <w:color w:val="auto"/>
        </w:rPr>
      </w:pPr>
    </w:p>
    <w:p>
      <w:pPr>
        <w:jc w:val="both"/>
        <w:ind w:left="566" w:right="20" w:hanging="566"/>
        <w:spacing w:after="0" w:line="253" w:lineRule="auto"/>
        <w:tabs>
          <w:tab w:leader="none" w:pos="5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164" w:lineRule="exact"/>
        <w:rPr>
          <w:rFonts w:ascii="Times New Roman" w:cs="Times New Roman" w:eastAsia="Times New Roman" w:hAnsi="Times New Roman"/>
          <w:sz w:val="16"/>
          <w:szCs w:val="16"/>
          <w:color w:val="auto"/>
        </w:rPr>
      </w:pPr>
    </w:p>
    <w:p>
      <w:pPr>
        <w:jc w:val="both"/>
        <w:ind w:left="566" w:hanging="566"/>
        <w:spacing w:after="0" w:line="253" w:lineRule="auto"/>
        <w:tabs>
          <w:tab w:leader="none" w:pos="5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6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Refer to “Note 4—Investments at Fair Value”.</w:t>
      </w:r>
    </w:p>
    <w:p>
      <w:pPr>
        <w:spacing w:after="0" w:line="192"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investments noted had been placed on non-accrual status.</w:t>
      </w:r>
    </w:p>
    <w:p>
      <w:pPr>
        <w:spacing w:after="0" w:line="192"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192" w:lineRule="exact"/>
        <w:rPr>
          <w:rFonts w:ascii="Times New Roman" w:cs="Times New Roman" w:eastAsia="Times New Roman" w:hAnsi="Times New Roman"/>
          <w:sz w:val="16"/>
          <w:szCs w:val="16"/>
          <w:color w:val="auto"/>
        </w:rPr>
      </w:pPr>
    </w:p>
    <w:p>
      <w:pPr>
        <w:ind w:left="566" w:right="20" w:hanging="566"/>
        <w:spacing w:after="0" w:line="270" w:lineRule="auto"/>
        <w:tabs>
          <w:tab w:leader="none" w:pos="5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 in preferred shares of Residential Homes for Rent, LLC (d/b/a Second Avenue) are held through SuRo Capital Corp.’s wholly owned subsidiary, GSVC AV Holdings, Inc.</w:t>
      </w:r>
    </w:p>
    <w:p>
      <w:pPr>
        <w:spacing w:after="0" w:line="150" w:lineRule="exact"/>
        <w:rPr>
          <w:rFonts w:ascii="Times New Roman" w:cs="Times New Roman" w:eastAsia="Times New Roman" w:hAnsi="Times New Roman"/>
          <w:sz w:val="16"/>
          <w:szCs w:val="16"/>
          <w:color w:val="auto"/>
        </w:rPr>
      </w:pPr>
    </w:p>
    <w:p>
      <w:pPr>
        <w:jc w:val="both"/>
        <w:ind w:left="566" w:right="20" w:hanging="566"/>
        <w:spacing w:after="0" w:line="258" w:lineRule="auto"/>
        <w:tabs>
          <w:tab w:leader="none" w:pos="5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Commercial Streaming Solutions Inc. (d/b/a BettorView), YouBet Technology, Inc. (d/b/a FanPower), Rebric, Inc. (d/b/a Compliable), EDGE Markets, Inc., Xgroup Holdings Limited (d/b/a Xpoint), and Stake Trade, Inc. (d/b/a Prophet Exchange) are held through SuRo Capital Corp.’s wholly owned subsidiary, SuRo Capital Sports, LLC (“SuRo Sports”).</w:t>
      </w:r>
    </w:p>
    <w:p>
      <w:pPr>
        <w:spacing w:after="0" w:line="158" w:lineRule="exact"/>
        <w:rPr>
          <w:rFonts w:ascii="Times New Roman" w:cs="Times New Roman" w:eastAsia="Times New Roman" w:hAnsi="Times New Roman"/>
          <w:sz w:val="16"/>
          <w:szCs w:val="16"/>
          <w:color w:val="auto"/>
        </w:rPr>
      </w:pPr>
    </w:p>
    <w:p>
      <w:pPr>
        <w:jc w:val="both"/>
        <w:ind w:left="566" w:hanging="566"/>
        <w:spacing w:after="0" w:line="258" w:lineRule="auto"/>
        <w:tabs>
          <w:tab w:leader="none" w:pos="5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True Global Ventures 4 Plus Pte Ltd are held through SuRo Capital Corp.’s wholly owned subsidiary, GSVC SVDS Holdings, Inc. On March 31, 2023, the previously unfunded capital commitment of $1.3 million was deemed fully contributed in lieu of cash distributions. On March 31, 2023, the full $2.0 million capital commitment to True Global Ventures 4 Plus Fund LP had been called and funded.</w:t>
      </w:r>
    </w:p>
    <w:p>
      <w:pPr>
        <w:spacing w:after="0" w:line="158" w:lineRule="exact"/>
        <w:rPr>
          <w:rFonts w:ascii="Times New Roman" w:cs="Times New Roman" w:eastAsia="Times New Roman" w:hAnsi="Times New Roman"/>
          <w:sz w:val="16"/>
          <w:szCs w:val="16"/>
          <w:color w:val="auto"/>
        </w:rPr>
      </w:pPr>
    </w:p>
    <w:p>
      <w:pPr>
        <w:jc w:val="both"/>
        <w:ind w:left="566" w:right="20" w:hanging="566"/>
        <w:spacing w:after="0" w:line="283" w:lineRule="auto"/>
        <w:tabs>
          <w:tab w:leader="none" w:pos="566"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42" w:lineRule="exact"/>
        <w:rPr>
          <w:rFonts w:ascii="Times New Roman" w:cs="Times New Roman" w:eastAsia="Times New Roman" w:hAnsi="Times New Roman"/>
          <w:sz w:val="15"/>
          <w:szCs w:val="15"/>
          <w:color w:val="auto"/>
        </w:rPr>
      </w:pPr>
    </w:p>
    <w:p>
      <w:pPr>
        <w:ind w:left="566" w:right="20" w:hanging="566"/>
        <w:spacing w:after="0" w:line="270" w:lineRule="auto"/>
        <w:tabs>
          <w:tab w:leader="none" w:pos="5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50"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9, 2021, Fullbridge, Inc.’s obligations under its financing arrangements with the Company became past due.</w:t>
      </w:r>
    </w:p>
    <w:p>
      <w:pPr>
        <w:spacing w:after="0" w:line="192" w:lineRule="exact"/>
        <w:rPr>
          <w:rFonts w:ascii="Times New Roman" w:cs="Times New Roman" w:eastAsia="Times New Roman" w:hAnsi="Times New Roman"/>
          <w:sz w:val="16"/>
          <w:szCs w:val="16"/>
          <w:color w:val="auto"/>
        </w:rPr>
      </w:pPr>
    </w:p>
    <w:p>
      <w:pPr>
        <w:jc w:val="both"/>
        <w:ind w:left="566" w:right="20" w:hanging="566"/>
        <w:spacing w:after="0" w:line="253" w:lineRule="auto"/>
        <w:tabs>
          <w:tab w:leader="none" w:pos="5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13, 2023, SuRo Capital Corp. invested $2.0 million in Orchard Technologies, Inc.’s Series 1 Senior Preferred financing round. As part of the transaction, SuRo Capital Corp. exchanged a portion of its existing Series D Preferred shares investment for Series 1 Senior Preferred shares, Series 2 Senior Preferred shares, and Common shares. Additionally, SuRo Capital Corp.’s previous investment in the Simple Agreement for Future Equity was converted into additional Series 1 Senior Preferred shares.</w:t>
      </w:r>
    </w:p>
    <w:p>
      <w:pPr>
        <w:spacing w:after="0" w:line="164" w:lineRule="exact"/>
        <w:rPr>
          <w:rFonts w:ascii="Times New Roman" w:cs="Times New Roman" w:eastAsia="Times New Roman" w:hAnsi="Times New Roman"/>
          <w:sz w:val="16"/>
          <w:szCs w:val="16"/>
          <w:color w:val="auto"/>
        </w:rPr>
      </w:pPr>
    </w:p>
    <w:p>
      <w:pPr>
        <w:jc w:val="both"/>
        <w:ind w:left="566" w:hanging="566"/>
        <w:spacing w:after="0" w:line="258" w:lineRule="auto"/>
        <w:tabs>
          <w:tab w:leader="none" w:pos="5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12, 2023, SuRo Capital Corp. invested $0.5 million in Shogun Enterprises, Inc. (d/b/a Hearth)’s Series B-4 Preferred financing round. As part of the transaction, the previous investment in the Convertible Note was converted into Series B-3 Preferred shares. Additionally, SuRo Capital Corp. received Common Warrants as part of the transaction.</w:t>
      </w:r>
    </w:p>
    <w:p>
      <w:pPr>
        <w:spacing w:after="0" w:line="158" w:lineRule="exact"/>
        <w:rPr>
          <w:rFonts w:ascii="Times New Roman" w:cs="Times New Roman" w:eastAsia="Times New Roman" w:hAnsi="Times New Roman"/>
          <w:sz w:val="16"/>
          <w:szCs w:val="16"/>
          <w:color w:val="auto"/>
        </w:rPr>
      </w:pPr>
    </w:p>
    <w:p>
      <w:pPr>
        <w:ind w:left="566" w:right="20" w:hanging="566"/>
        <w:spacing w:after="0" w:line="270" w:lineRule="auto"/>
        <w:tabs>
          <w:tab w:leader="none" w:pos="5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11, 2023, AltC Acquisition Corp. announced it signed a definitive agreement to merge with Oklo, Inc. As part of the transaction, SuRo Capital Corp.’s Share units converted to 24,900 Class A Common shares and 214,400 Class B Common shares.</w:t>
      </w:r>
    </w:p>
    <w:p>
      <w:pPr>
        <w:spacing w:after="0" w:line="150" w:lineRule="exact"/>
        <w:rPr>
          <w:rFonts w:ascii="Times New Roman" w:cs="Times New Roman" w:eastAsia="Times New Roman" w:hAnsi="Times New Roman"/>
          <w:sz w:val="16"/>
          <w:szCs w:val="16"/>
          <w:color w:val="auto"/>
        </w:rPr>
      </w:pPr>
    </w:p>
    <w:p>
      <w:pPr>
        <w:jc w:val="both"/>
        <w:ind w:left="566" w:hanging="566"/>
        <w:spacing w:after="0" w:line="276" w:lineRule="auto"/>
        <w:tabs>
          <w:tab w:leader="none" w:pos="566"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19, 2023, Colombier Acquisition Corp. (“Colombier”) stockholders approved a business combination with PSQ Holdings, Inc. (d/b/a PublicSquare) and related proposals at a special meeting. Also on July 19, 2023, PSQ Holdings, Inc. announced that it had consummated the business combination with Colombier pursuant to a merger agreement between the parties, creating the resultant combined company PSQ Holdings, Inc. (d/b/a PublicSquare). SuRo Capital Corp.’s shares of PSQ Holdings, Inc. (d/b/a PublicSquare) Class A Common shares are subject to certain restrictions on transfer, while the Company’s PSQ Holdings, Inc. warrants are freely tradable.</w:t>
      </w:r>
    </w:p>
    <w:p>
      <w:pPr>
        <w:spacing w:after="0" w:line="14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4"/>
        </w:trPr>
        <w:tc>
          <w:tcPr>
            <w:tcW w:w="384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80" w:type="dxa"/>
            <w:vAlign w:val="bottom"/>
            <w:tcBorders>
              <w:top w:val="single" w:sz="8" w:color="auto"/>
            </w:tcBorders>
            <w:gridSpan w:val="1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NON-CONTROLLED/NON-AFFILIATE</w:t>
            </w:r>
          </w:p>
        </w:tc>
        <w:tc>
          <w:tcPr>
            <w:tcW w:w="24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20" w:type="dxa"/>
            <w:vAlign w:val="bottom"/>
            <w:gridSpan w:val="15"/>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Learneo, Inc. (f/k/a Course Hero, Inc.)</w:t>
            </w:r>
          </w:p>
        </w:tc>
        <w:tc>
          <w:tcPr>
            <w:tcW w:w="204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rPr>
              <w:t>Redwood City, CA</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Borders>
              <w:top w:val="single" w:sz="8" w:color="auto"/>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540" w:type="dxa"/>
            <w:vAlign w:val="bottom"/>
            <w:gridSpan w:val="5"/>
            <w:shd w:val="clear" w:color="auto" w:fill="CCEEFF"/>
          </w:tcPr>
          <w:p>
            <w:pPr>
              <w:spacing w:after="0"/>
              <w:rPr>
                <w:sz w:val="16"/>
                <w:szCs w:val="16"/>
                <w:color w:val="auto"/>
              </w:rPr>
            </w:pP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Online Education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9/18/2014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2,145,509</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5,000,001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40,541,403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11/5/2021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275,659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9,999,971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9,999,971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bottom w:val="single" w:sz="8" w:color="CCEEFF"/>
            </w:tcBorders>
            <w:gridSpan w:val="1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14,999,972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50,541,374</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20" w:type="dxa"/>
            <w:vAlign w:val="bottom"/>
            <w:gridSpan w:val="15"/>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Blink Health, Inc.</w:t>
            </w:r>
          </w:p>
        </w:tc>
        <w:tc>
          <w:tcPr>
            <w:tcW w:w="204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color w:val="auto"/>
                <w:w w:val="97"/>
              </w:rPr>
              <w:t>New York, NY</w:t>
            </w: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8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w:t>
            </w: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9"/>
              </w:rPr>
              <w:t>Pharmaceutical Technology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10/27/2020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238,095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5,000,423</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949,924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Preferred shares, Series C</w:t>
            </w: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10/27/2020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261,944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10,003,917</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9,999,974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bottom w:val="single" w:sz="8" w:color="CCEEFF"/>
            </w:tcBorders>
            <w:gridSpan w:val="1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15,004,340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10,949,898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20" w:type="dxa"/>
            <w:vAlign w:val="bottom"/>
            <w:gridSpan w:val="15"/>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Orchard Technologies, Inc.</w:t>
            </w:r>
          </w:p>
        </w:tc>
        <w:tc>
          <w:tcPr>
            <w:tcW w:w="204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color w:val="auto"/>
                <w:w w:val="97"/>
              </w:rPr>
              <w:t>New York, NY</w:t>
            </w: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00" w:type="dxa"/>
            <w:vAlign w:val="bottom"/>
            <w:tcBorders>
              <w:top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D</w:t>
            </w:r>
          </w:p>
        </w:tc>
        <w:tc>
          <w:tcPr>
            <w:tcW w:w="2220" w:type="dxa"/>
            <w:vAlign w:val="bottom"/>
            <w:gridSpan w:val="8"/>
            <w:shd w:val="clear" w:color="auto" w:fill="CCEEFF"/>
          </w:tcPr>
          <w:p>
            <w:pPr>
              <w:spacing w:after="0"/>
              <w:rPr>
                <w:sz w:val="16"/>
                <w:szCs w:val="16"/>
                <w:color w:val="auto"/>
              </w:rPr>
            </w:pP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Real Estate Platform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8/9/2021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1,488,139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10,004,034</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9,999,996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Simple Agreement for Future Equity</w:t>
            </w: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9/2/2022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501,663</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bottom w:val="single" w:sz="8" w:color="CCEEFF"/>
            </w:tcBorders>
            <w:gridSpan w:val="1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10,505,697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10,499,996</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80" w:type="dxa"/>
            <w:vAlign w:val="bottom"/>
            <w:tcBorders>
              <w:bottom w:val="single" w:sz="8" w:color="auto"/>
            </w:tcBorders>
            <w:gridSpan w:val="4"/>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7"/>
              </w:rPr>
              <w:t>Locus Robotics Corp.</w:t>
            </w:r>
          </w:p>
        </w:tc>
        <w:tc>
          <w:tcPr>
            <w:tcW w:w="2540" w:type="dxa"/>
            <w:vAlign w:val="bottom"/>
            <w:gridSpan w:val="11"/>
          </w:tcPr>
          <w:p>
            <w:pPr>
              <w:spacing w:after="0"/>
              <w:rPr>
                <w:sz w:val="10"/>
                <w:szCs w:val="10"/>
                <w:color w:val="auto"/>
              </w:rPr>
            </w:pPr>
          </w:p>
        </w:tc>
        <w:tc>
          <w:tcPr>
            <w:tcW w:w="204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color w:val="auto"/>
                <w:w w:val="98"/>
              </w:rPr>
              <w:t>Wilmington, MA</w:t>
            </w: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F</w:t>
            </w: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8"/>
              </w:rPr>
              <w:t>Warehouse Automation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11/30/2022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232,568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10,004,286</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10,000,005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20" w:type="dxa"/>
            <w:vAlign w:val="bottom"/>
            <w:gridSpan w:val="15"/>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Aspiration Partners, Inc.</w:t>
            </w:r>
          </w:p>
        </w:tc>
        <w:tc>
          <w:tcPr>
            <w:tcW w:w="204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w w:val="99"/>
              </w:rPr>
              <w:t>Marina Del Rey, CA</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A</w:t>
            </w: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Financial Services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8/11/2015</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540,270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1,001,815</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6,229,360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Preferred shares, Series C-3</w:t>
            </w: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8/12/2019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24,912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281,190</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312,151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bottom w:val="single" w:sz="8" w:color="CCEEFF"/>
            </w:tcBorders>
            <w:gridSpan w:val="1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1,283,005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6,541,511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Borders>
              <w:bottom w:val="single" w:sz="8" w:color="auto"/>
            </w:tcBorders>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Whoop, Inc.</w:t>
            </w:r>
          </w:p>
        </w:tc>
        <w:tc>
          <w:tcPr>
            <w:tcW w:w="3040" w:type="dxa"/>
            <w:vAlign w:val="bottom"/>
            <w:gridSpan w:val="14"/>
          </w:tcPr>
          <w:p>
            <w:pPr>
              <w:spacing w:after="0"/>
              <w:rPr>
                <w:sz w:val="10"/>
                <w:szCs w:val="10"/>
                <w:color w:val="auto"/>
              </w:rPr>
            </w:pPr>
          </w:p>
        </w:tc>
        <w:tc>
          <w:tcPr>
            <w:tcW w:w="20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color w:val="auto"/>
              </w:rPr>
              <w:t>Boston, MA</w:t>
            </w: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C</w:t>
            </w:r>
          </w:p>
        </w:tc>
        <w:tc>
          <w:tcPr>
            <w:tcW w:w="2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9"/>
              </w:rPr>
              <w:t>Fitness Technology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6/30/2022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13,293,450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10,011,460</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6,084,041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15"/>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Forge Global, Inc.</w:t>
            </w:r>
            <w:r>
              <w:rPr>
                <w:rFonts w:ascii="Times New Roman" w:cs="Times New Roman" w:eastAsia="Times New Roman" w:hAnsi="Times New Roman"/>
                <w:sz w:val="20"/>
                <w:szCs w:val="20"/>
                <w:b w:val="1"/>
                <w:bCs w:val="1"/>
                <w:color w:val="auto"/>
                <w:vertAlign w:val="superscript"/>
              </w:rPr>
              <w:t>**</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San Francisco, CA</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continue"/>
          </w:tcPr>
          <w:p>
            <w:pPr>
              <w:spacing w:after="0"/>
              <w:rPr>
                <w:sz w:val="20"/>
                <w:szCs w:val="20"/>
                <w:color w:val="auto"/>
              </w:rPr>
            </w:pPr>
          </w:p>
        </w:tc>
        <w:tc>
          <w:tcPr>
            <w:tcW w:w="3820" w:type="dxa"/>
            <w:vAlign w:val="bottom"/>
            <w:gridSpan w:val="15"/>
            <w:shd w:val="clear" w:color="auto" w:fill="CCEEFF"/>
          </w:tcPr>
          <w:p>
            <w:pPr>
              <w:spacing w:after="0" w:line="235"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23"/>
                <w:szCs w:val="23"/>
                <w:color w:val="auto"/>
                <w:vertAlign w:val="superscript"/>
              </w:rPr>
              <w:t>(3)(14)</w:t>
            </w: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Online Marketplace Finance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7/20/2011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2,508,074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3,443,483</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4,338,968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20" w:type="dxa"/>
            <w:vAlign w:val="bottom"/>
            <w:gridSpan w:val="15"/>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Nextdoor Holdings, Inc.**</w:t>
            </w:r>
          </w:p>
        </w:tc>
        <w:tc>
          <w:tcPr>
            <w:tcW w:w="204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color w:val="auto"/>
              </w:rPr>
              <w:t>San Francisco, CA</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gridSpan w:val="15"/>
            <w:shd w:val="clear" w:color="auto" w:fill="CCEEFF"/>
          </w:tcPr>
          <w:p>
            <w:pPr>
              <w:spacing w:after="0" w:line="251" w:lineRule="exact"/>
              <w:rPr>
                <w:sz w:val="20"/>
                <w:szCs w:val="20"/>
                <w:color w:val="auto"/>
              </w:rPr>
            </w:pPr>
            <w:r>
              <w:rPr>
                <w:rFonts w:ascii="Times New Roman" w:cs="Times New Roman" w:eastAsia="Times New Roman" w:hAnsi="Times New Roman"/>
                <w:sz w:val="14"/>
                <w:szCs w:val="14"/>
                <w:color w:val="auto"/>
              </w:rPr>
              <w:t>Common shares, Class B</w:t>
            </w:r>
            <w:r>
              <w:rPr>
                <w:rFonts w:ascii="Times New Roman" w:cs="Times New Roman" w:eastAsia="Times New Roman" w:hAnsi="Times New Roman"/>
                <w:sz w:val="23"/>
                <w:szCs w:val="23"/>
                <w:color w:val="auto"/>
                <w:vertAlign w:val="superscript"/>
              </w:rPr>
              <w:t>(3)</w:t>
            </w:r>
          </w:p>
        </w:tc>
        <w:tc>
          <w:tcPr>
            <w:tcW w:w="2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Social Networking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9/27/2018</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1,802,416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10,002,666</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3,712,977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3460" w:type="dxa"/>
            <w:vAlign w:val="bottom"/>
            <w:tcBorders>
              <w:bottom w:val="single" w:sz="8" w:color="auto"/>
            </w:tcBorders>
            <w:gridSpan w:val="13"/>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9"/>
              </w:rPr>
              <w:t>NewLake Capital Partners, Inc. (f/k/a GreenAcreage Real</w:t>
            </w:r>
          </w:p>
        </w:tc>
        <w:tc>
          <w:tcPr>
            <w:tcW w:w="360" w:type="dxa"/>
            <w:vAlign w:val="bottom"/>
            <w:gridSpan w:val="2"/>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40" w:type="dxa"/>
            <w:vAlign w:val="bottom"/>
            <w:gridSpan w:val="16"/>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Estate Corp.)**</w:t>
            </w:r>
          </w:p>
        </w:tc>
        <w:tc>
          <w:tcPr>
            <w:tcW w:w="20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color w:val="auto"/>
              </w:rPr>
              <w:t>New Canaan, CT</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3820" w:type="dxa"/>
            <w:vAlign w:val="bottom"/>
            <w:gridSpan w:val="15"/>
            <w:shd w:val="clear" w:color="auto" w:fill="CCEEFF"/>
          </w:tcPr>
          <w:p>
            <w:pPr>
              <w:spacing w:after="0" w:line="226"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23"/>
                <w:szCs w:val="23"/>
                <w:color w:val="auto"/>
                <w:vertAlign w:val="superscript"/>
              </w:rPr>
              <w:t>(3)</w:t>
            </w: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Cannabis REIT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8/12/2019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229,758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4,678,686</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3,680,723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20" w:type="dxa"/>
            <w:vAlign w:val="bottom"/>
            <w:gridSpan w:val="15"/>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Shogun Enterprises, Inc. (d/b/a Hearth)</w:t>
            </w:r>
          </w:p>
        </w:tc>
        <w:tc>
          <w:tcPr>
            <w:tcW w:w="204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rPr>
              <w:t>Austin, TX</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60" w:type="dxa"/>
            <w:vAlign w:val="bottom"/>
            <w:tcBorders>
              <w:top w:val="single" w:sz="8" w:color="auto"/>
            </w:tcBorders>
            <w:gridSpan w:val="11"/>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B-1</w:t>
            </w:r>
          </w:p>
        </w:tc>
        <w:tc>
          <w:tcPr>
            <w:tcW w:w="1460" w:type="dxa"/>
            <w:vAlign w:val="bottom"/>
            <w:gridSpan w:val="4"/>
            <w:shd w:val="clear" w:color="auto" w:fill="CCEEFF"/>
          </w:tcPr>
          <w:p>
            <w:pPr>
              <w:spacing w:after="0"/>
              <w:rPr>
                <w:sz w:val="16"/>
                <w:szCs w:val="16"/>
                <w:color w:val="auto"/>
              </w:rPr>
            </w:pPr>
          </w:p>
        </w:tc>
        <w:tc>
          <w:tcPr>
            <w:tcW w:w="2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Home Improvement Finance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2/26/2021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436,844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3,501,657</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1,403,023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Preferred shares, Series B-2</w:t>
            </w: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2/26/2021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301,750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3,501,661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1,403,024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Note 0.5%, Due 4/18/2024***</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5/2/2022</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500,000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500,000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500,000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20" w:type="dxa"/>
            <w:vAlign w:val="bottom"/>
            <w:tcBorders>
              <w:top w:val="single" w:sz="8" w:color="CCEEFF"/>
              <w:bottom w:val="single" w:sz="8" w:color="CCEEFF"/>
            </w:tcBorders>
            <w:gridSpan w:val="15"/>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90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70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7,503,318</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3,306,047</w:t>
            </w:r>
          </w:p>
        </w:tc>
        <w:tc>
          <w:tcPr>
            <w:tcW w:w="32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gridSpan w:val="15"/>
            <w:shd w:val="clear" w:color="auto" w:fill="CCEEFF"/>
          </w:tcPr>
          <w:p>
            <w:pPr>
              <w:spacing w:after="0" w:line="164" w:lineRule="exact"/>
              <w:rPr>
                <w:sz w:val="20"/>
                <w:szCs w:val="20"/>
                <w:color w:val="auto"/>
              </w:rPr>
            </w:pPr>
            <w:r>
              <w:rPr>
                <w:rFonts w:ascii="Times New Roman" w:cs="Times New Roman" w:eastAsia="Times New Roman" w:hAnsi="Times New Roman"/>
                <w:sz w:val="12"/>
                <w:szCs w:val="12"/>
                <w:b w:val="1"/>
                <w:bCs w:val="1"/>
                <w:color w:val="auto"/>
              </w:rPr>
              <w:t>True Global Ventures 4 Plus Pte Ltd**</w:t>
            </w:r>
            <w:r>
              <w:rPr>
                <w:rFonts w:ascii="Times New Roman" w:cs="Times New Roman" w:eastAsia="Times New Roman" w:hAnsi="Times New Roman"/>
                <w:sz w:val="19"/>
                <w:szCs w:val="19"/>
                <w:b w:val="1"/>
                <w:bCs w:val="1"/>
                <w:color w:val="auto"/>
                <w:vertAlign w:val="superscript"/>
              </w:rPr>
              <w:t>(8)</w:t>
            </w:r>
          </w:p>
        </w:tc>
        <w:tc>
          <w:tcPr>
            <w:tcW w:w="20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9"/>
              </w:rPr>
              <w:t>Singapore, Singapore</w:t>
            </w: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4"/>
                <w:szCs w:val="14"/>
                <w:color w:val="auto"/>
              </w:rPr>
              <w:t>Limited Partner Fund Investment</w:t>
            </w:r>
          </w:p>
        </w:tc>
        <w:tc>
          <w:tcPr>
            <w:tcW w:w="1660" w:type="dxa"/>
            <w:vAlign w:val="bottom"/>
            <w:tcBorders>
              <w:top w:val="single" w:sz="8" w:color="CCEEFF"/>
            </w:tcBorders>
            <w:gridSpan w:val="6"/>
          </w:tcPr>
          <w:p>
            <w:pPr>
              <w:spacing w:after="0"/>
              <w:rPr>
                <w:sz w:val="15"/>
                <w:szCs w:val="15"/>
                <w:color w:val="auto"/>
              </w:rPr>
            </w:pPr>
          </w:p>
        </w:tc>
        <w:tc>
          <w:tcPr>
            <w:tcW w:w="2040" w:type="dxa"/>
            <w:vAlign w:val="bottom"/>
            <w:tcBorders>
              <w:top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Venture Investment Fund</w:t>
            </w:r>
          </w:p>
        </w:tc>
        <w:tc>
          <w:tcPr>
            <w:tcW w:w="9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8/27/2021</w:t>
            </w: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3,063,358</w:t>
            </w:r>
          </w:p>
        </w:tc>
        <w:tc>
          <w:tcPr>
            <w:tcW w:w="9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tcBorders>
              <w:bottom w:val="single" w:sz="8" w:color="auto"/>
            </w:tcBorders>
            <w:gridSpan w:val="12"/>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Residential Homes for Rent, LLC (d/b/a Second Avenue)</w:t>
            </w:r>
          </w:p>
        </w:tc>
        <w:tc>
          <w:tcPr>
            <w:tcW w:w="440" w:type="dxa"/>
            <w:vAlign w:val="bottom"/>
            <w:tcBorders>
              <w:bottom w:val="single" w:sz="8" w:color="CCEEFF"/>
            </w:tcBorders>
            <w:gridSpan w:val="3"/>
            <w:shd w:val="clear" w:color="auto" w:fill="CCEEFF"/>
          </w:tcPr>
          <w:p>
            <w:pPr>
              <w:spacing w:after="0"/>
              <w:rPr>
                <w:sz w:val="15"/>
                <w:szCs w:val="15"/>
                <w:color w:val="auto"/>
              </w:rPr>
            </w:pPr>
          </w:p>
        </w:tc>
        <w:tc>
          <w:tcPr>
            <w:tcW w:w="2040" w:type="dxa"/>
            <w:vAlign w:val="bottom"/>
            <w:tcBorders>
              <w:bottom w:val="single" w:sz="8" w:color="CCEEFF"/>
            </w:tcBorders>
            <w:gridSpan w:val="2"/>
            <w:shd w:val="clear" w:color="auto" w:fill="CCEEFF"/>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rPr>
              <w:t>Chicago, IL</w:t>
            </w:r>
          </w:p>
        </w:tc>
        <w:tc>
          <w:tcPr>
            <w:tcW w:w="9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20" w:type="dxa"/>
            <w:vAlign w:val="bottom"/>
            <w:gridSpan w:val="15"/>
          </w:tcPr>
          <w:p>
            <w:pPr>
              <w:spacing w:after="0" w:line="235" w:lineRule="exact"/>
              <w:rPr>
                <w:sz w:val="20"/>
                <w:szCs w:val="20"/>
                <w:color w:val="auto"/>
              </w:rPr>
            </w:pPr>
            <w:r>
              <w:rPr>
                <w:rFonts w:ascii="Times New Roman" w:cs="Times New Roman" w:eastAsia="Times New Roman" w:hAnsi="Times New Roman"/>
                <w:sz w:val="14"/>
                <w:szCs w:val="14"/>
                <w:color w:val="auto"/>
              </w:rPr>
              <w:t>Preferred shares, Series A</w:t>
            </w:r>
            <w:r>
              <w:rPr>
                <w:rFonts w:ascii="Times New Roman" w:cs="Times New Roman" w:eastAsia="Times New Roman" w:hAnsi="Times New Roman"/>
                <w:sz w:val="23"/>
                <w:szCs w:val="23"/>
                <w:color w:val="auto"/>
                <w:vertAlign w:val="superscript"/>
              </w:rPr>
              <w:t>(6)</w:t>
            </w: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Real Estate Platform</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12/23/2020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150,000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1,500,000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1,959,713</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15"/>
            <w:shd w:val="clear" w:color="auto" w:fill="CCEEFF"/>
          </w:tcPr>
          <w:p>
            <w:pPr>
              <w:spacing w:after="0" w:line="223" w:lineRule="exact"/>
              <w:rPr>
                <w:sz w:val="20"/>
                <w:szCs w:val="20"/>
                <w:color w:val="auto"/>
              </w:rPr>
            </w:pPr>
            <w:r>
              <w:rPr>
                <w:rFonts w:ascii="Times New Roman" w:cs="Times New Roman" w:eastAsia="Times New Roman" w:hAnsi="Times New Roman"/>
                <w:sz w:val="14"/>
                <w:szCs w:val="14"/>
                <w:color w:val="auto"/>
              </w:rPr>
              <w:t>Term loan 15%, Due 12/23/2023***</w:t>
            </w:r>
            <w:r>
              <w:rPr>
                <w:rFonts w:ascii="Times New Roman" w:cs="Times New Roman" w:eastAsia="Times New Roman" w:hAnsi="Times New Roman"/>
                <w:sz w:val="23"/>
                <w:szCs w:val="23"/>
                <w:color w:val="auto"/>
                <w:vertAlign w:val="superscript"/>
              </w:rPr>
              <w:t>(11)</w:t>
            </w:r>
          </w:p>
        </w:tc>
        <w:tc>
          <w:tcPr>
            <w:tcW w:w="1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12/23/2020</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1,000,000</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1,000,000</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1,000,000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tcBorders>
              <w:top w:val="single" w:sz="8" w:color="CCEEFF"/>
              <w:bottom w:val="single" w:sz="8" w:color="CCEEFF"/>
            </w:tcBorders>
            <w:gridSpan w:val="15"/>
          </w:tcPr>
          <w:p>
            <w:pPr>
              <w:ind w:left="140"/>
              <w:spacing w:after="0" w:line="160" w:lineRule="exact"/>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90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70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2,500,000</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2,959,713</w:t>
            </w:r>
          </w:p>
        </w:tc>
        <w:tc>
          <w:tcPr>
            <w:tcW w:w="32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1.41</w:t>
            </w:r>
          </w:p>
        </w:tc>
        <w:tc>
          <w:tcPr>
            <w:tcW w:w="120" w:type="dxa"/>
            <w:vAlign w:val="bottom"/>
            <w:tcBorders>
              <w:top w:val="single" w:sz="8" w:color="CCEEFF"/>
              <w:bottom w:val="single" w:sz="8" w:color="CCEEFF"/>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Borders>
              <w:bottom w:val="single" w:sz="8" w:color="auto"/>
              <w:right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Trax Ltd.**</w:t>
            </w:r>
          </w:p>
        </w:tc>
        <w:tc>
          <w:tcPr>
            <w:tcW w:w="3040" w:type="dxa"/>
            <w:vAlign w:val="bottom"/>
            <w:tcBorders>
              <w:bottom w:val="single" w:sz="8" w:color="CCEEFF"/>
            </w:tcBorders>
            <w:gridSpan w:val="14"/>
            <w:shd w:val="clear" w:color="auto" w:fill="CCEEFF"/>
          </w:tcPr>
          <w:p>
            <w:pPr>
              <w:spacing w:after="0"/>
              <w:rPr>
                <w:sz w:val="15"/>
                <w:szCs w:val="15"/>
                <w:color w:val="auto"/>
              </w:rPr>
            </w:pPr>
          </w:p>
        </w:tc>
        <w:tc>
          <w:tcPr>
            <w:tcW w:w="2040" w:type="dxa"/>
            <w:vAlign w:val="bottom"/>
            <w:tcBorders>
              <w:bottom w:val="single" w:sz="8" w:color="CCEEFF"/>
            </w:tcBorders>
            <w:gridSpan w:val="2"/>
            <w:shd w:val="clear" w:color="auto" w:fill="CCEEFF"/>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w w:val="99"/>
              </w:rPr>
              <w:t>Singapore, Singapore</w:t>
            </w:r>
          </w:p>
        </w:tc>
        <w:tc>
          <w:tcPr>
            <w:tcW w:w="9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Retail Technology</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6/9/2021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55,591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2,781,148</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280,797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Investec Series</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6/9/2021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144,409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7,224,600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2,647,017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20" w:type="dxa"/>
            <w:vAlign w:val="bottom"/>
            <w:tcBorders>
              <w:top w:val="single" w:sz="8" w:color="CCEEFF"/>
              <w:bottom w:val="single" w:sz="8" w:color="CCEEFF"/>
            </w:tcBorders>
            <w:gridSpan w:val="15"/>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90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70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10,005,748</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2,927,814</w:t>
            </w:r>
          </w:p>
        </w:tc>
        <w:tc>
          <w:tcPr>
            <w:tcW w:w="32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20" w:type="dxa"/>
            <w:vAlign w:val="bottom"/>
            <w:gridSpan w:val="15"/>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PayJoy, Inc.</w:t>
            </w:r>
          </w:p>
        </w:tc>
        <w:tc>
          <w:tcPr>
            <w:tcW w:w="2040" w:type="dxa"/>
            <w:vAlign w:val="bottom"/>
            <w:gridSpan w:val="2"/>
            <w:shd w:val="clear" w:color="auto" w:fill="CCEEFF"/>
          </w:tcPr>
          <w:p>
            <w:pPr>
              <w:jc w:val="center"/>
              <w:ind w:right="220"/>
              <w:spacing w:after="0" w:line="141" w:lineRule="exact"/>
              <w:rPr>
                <w:sz w:val="20"/>
                <w:szCs w:val="20"/>
                <w:color w:val="auto"/>
              </w:rPr>
            </w:pPr>
            <w:r>
              <w:rPr>
                <w:rFonts w:ascii="Times New Roman" w:cs="Times New Roman" w:eastAsia="Times New Roman" w:hAnsi="Times New Roman"/>
                <w:sz w:val="14"/>
                <w:szCs w:val="14"/>
                <w:color w:val="auto"/>
              </w:rPr>
              <w:t>San Francisco, CA</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Borders>
              <w:right w:val="single" w:sz="8" w:color="CCEEFF"/>
            </w:tcBorders>
            <w:shd w:val="clear" w:color="auto" w:fill="000000"/>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Preferred shares</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Mobile Access Technology</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7/23/2021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244,117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2,501,570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2,500,002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Borders>
              <w:bottom w:val="single" w:sz="8" w:color="auto"/>
            </w:tcBorders>
            <w:gridSpan w:val="8"/>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7"/>
              </w:rPr>
              <w:t>Aventine Property Group, Inc.</w:t>
            </w:r>
          </w:p>
        </w:tc>
        <w:tc>
          <w:tcPr>
            <w:tcW w:w="2000" w:type="dxa"/>
            <w:vAlign w:val="bottom"/>
            <w:tcBorders>
              <w:bottom w:val="single" w:sz="8" w:color="CCEEFF"/>
            </w:tcBorders>
            <w:gridSpan w:val="7"/>
            <w:shd w:val="clear" w:color="auto" w:fill="CCEEFF"/>
          </w:tcPr>
          <w:p>
            <w:pPr>
              <w:spacing w:after="0"/>
              <w:rPr>
                <w:sz w:val="13"/>
                <w:szCs w:val="13"/>
                <w:color w:val="auto"/>
              </w:rPr>
            </w:pPr>
          </w:p>
        </w:tc>
        <w:tc>
          <w:tcPr>
            <w:tcW w:w="2040" w:type="dxa"/>
            <w:vAlign w:val="bottom"/>
            <w:tcBorders>
              <w:bottom w:val="single" w:sz="8" w:color="CCEEFF"/>
            </w:tcBorders>
            <w:gridSpan w:val="2"/>
            <w:shd w:val="clear" w:color="auto" w:fill="CCEEFF"/>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rPr>
              <w:t>Chicago, IL</w:t>
            </w:r>
          </w:p>
        </w:tc>
        <w:tc>
          <w:tcPr>
            <w:tcW w:w="9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Cannabis REIT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9/11/2019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312,500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2,580,750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1,917,521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gridSpan w:val="15"/>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Varo Money, Inc.**</w:t>
            </w:r>
          </w:p>
        </w:tc>
        <w:tc>
          <w:tcPr>
            <w:tcW w:w="2040" w:type="dxa"/>
            <w:vAlign w:val="bottom"/>
            <w:gridSpan w:val="2"/>
            <w:shd w:val="clear" w:color="auto" w:fill="CCEEFF"/>
          </w:tcPr>
          <w:p>
            <w:pPr>
              <w:jc w:val="center"/>
              <w:ind w:right="220"/>
              <w:spacing w:after="0" w:line="141" w:lineRule="exact"/>
              <w:rPr>
                <w:sz w:val="20"/>
                <w:szCs w:val="20"/>
                <w:color w:val="auto"/>
              </w:rPr>
            </w:pPr>
            <w:r>
              <w:rPr>
                <w:rFonts w:ascii="Times New Roman" w:cs="Times New Roman" w:eastAsia="Times New Roman" w:hAnsi="Times New Roman"/>
                <w:sz w:val="14"/>
                <w:szCs w:val="14"/>
                <w:color w:val="auto"/>
              </w:rPr>
              <w:t>San Francisco, CA</w:t>
            </w: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780" w:type="dxa"/>
            <w:vAlign w:val="bottom"/>
            <w:tcBorders>
              <w:top w:val="single" w:sz="8" w:color="CCEEFF"/>
            </w:tcBorders>
            <w:gridSpan w:val="13"/>
          </w:tcPr>
          <w:p>
            <w:pPr>
              <w:spacing w:after="0"/>
              <w:rPr>
                <w:sz w:val="15"/>
                <w:szCs w:val="15"/>
                <w:color w:val="auto"/>
              </w:rPr>
            </w:pPr>
          </w:p>
        </w:tc>
        <w:tc>
          <w:tcPr>
            <w:tcW w:w="2040" w:type="dxa"/>
            <w:vAlign w:val="bottom"/>
            <w:tcBorders>
              <w:top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Financial Services</w:t>
            </w:r>
          </w:p>
        </w:tc>
        <w:tc>
          <w:tcPr>
            <w:tcW w:w="9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8/11/2021</w:t>
            </w: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1,079,266</w:t>
            </w: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10,005,548</w:t>
            </w:r>
          </w:p>
        </w:tc>
        <w:tc>
          <w:tcPr>
            <w:tcW w:w="1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1,286,783</w:t>
            </w:r>
          </w:p>
        </w:tc>
        <w:tc>
          <w:tcPr>
            <w:tcW w:w="9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80" w:type="dxa"/>
            <w:vAlign w:val="bottom"/>
          </w:tcPr>
          <w:p>
            <w:pPr>
              <w:spacing w:after="0"/>
              <w:rPr>
                <w:sz w:val="15"/>
                <w:szCs w:val="15"/>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4"/>
        </w:trPr>
        <w:tc>
          <w:tcPr>
            <w:tcW w:w="382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6"/>
                <w:szCs w:val="16"/>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tcBorders>
              <w:top w:val="single" w:sz="8" w:color="auto"/>
            </w:tcBorders>
            <w:gridSpan w:val="1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Skillsoft Corp.**</w:t>
            </w:r>
          </w:p>
        </w:tc>
        <w:tc>
          <w:tcPr>
            <w:tcW w:w="22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Nashua, NH</w:t>
            </w: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gridSpan w:val="14"/>
          </w:tcPr>
          <w:p>
            <w:pPr>
              <w:spacing w:after="0" w:line="211"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23"/>
                <w:szCs w:val="23"/>
                <w:color w:val="auto"/>
                <w:vertAlign w:val="superscript"/>
              </w:rPr>
              <w:t>(3)</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Online Education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6/8/2021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981,843</w:t>
            </w: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9,818,430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1,276,396</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Commercial Streaming Solutions Inc. (d/b/a BettorView)</w:t>
            </w:r>
            <w:r>
              <w:rPr>
                <w:rFonts w:ascii="Times New Roman" w:cs="Times New Roman" w:eastAsia="Times New Roman" w:hAnsi="Times New Roman"/>
                <w:sz w:val="20"/>
                <w:szCs w:val="20"/>
                <w:b w:val="1"/>
                <w:bCs w:val="1"/>
                <w:color w:val="auto"/>
                <w:vertAlign w:val="superscript"/>
              </w:rPr>
              <w:t>(7)</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Las Vegas, NV</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Simple Agreement for Future Equity</w:t>
            </w:r>
          </w:p>
        </w:tc>
        <w:tc>
          <w:tcPr>
            <w:tcW w:w="420" w:type="dxa"/>
            <w:vAlign w:val="bottom"/>
            <w:tcBorders>
              <w:top w:val="single" w:sz="8" w:color="CCEEFF"/>
            </w:tcBorders>
            <w:gridSpan w:val="2"/>
          </w:tcPr>
          <w:p>
            <w:pPr>
              <w:spacing w:after="0"/>
              <w:rPr>
                <w:sz w:val="15"/>
                <w:szCs w:val="15"/>
                <w:color w:val="auto"/>
              </w:rPr>
            </w:pPr>
          </w:p>
        </w:tc>
        <w:tc>
          <w:tcPr>
            <w:tcW w:w="2020" w:type="dxa"/>
            <w:vAlign w:val="bottom"/>
            <w:tcBorders>
              <w:top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Interactive Media &amp; Services</w:t>
            </w:r>
          </w:p>
        </w:tc>
        <w:tc>
          <w:tcPr>
            <w:tcW w:w="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3/26/2021</w:t>
            </w: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1,004,240</w:t>
            </w:r>
          </w:p>
        </w:tc>
        <w:tc>
          <w:tcPr>
            <w:tcW w:w="9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34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Rebric, Inc. (d/b/a Compliable)</w:t>
            </w:r>
            <w:r>
              <w:rPr>
                <w:rFonts w:ascii="Times New Roman" w:cs="Times New Roman" w:eastAsia="Times New Roman" w:hAnsi="Times New Roman"/>
                <w:sz w:val="20"/>
                <w:szCs w:val="20"/>
                <w:b w:val="1"/>
                <w:bCs w:val="1"/>
                <w:color w:val="auto"/>
                <w:vertAlign w:val="superscript"/>
              </w:rPr>
              <w:t>(7)</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Denver, CO</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6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Preferred shares, Series Seed-4</w:t>
            </w:r>
          </w:p>
        </w:tc>
        <w:tc>
          <w:tcPr>
            <w:tcW w:w="1940" w:type="dxa"/>
            <w:vAlign w:val="bottom"/>
            <w:tcBorders>
              <w:top w:val="single" w:sz="8" w:color="CCEEFF"/>
            </w:tcBorders>
            <w:gridSpan w:val="7"/>
          </w:tcPr>
          <w:p>
            <w:pPr>
              <w:spacing w:after="0"/>
              <w:rPr>
                <w:sz w:val="15"/>
                <w:szCs w:val="15"/>
                <w:color w:val="auto"/>
              </w:rPr>
            </w:pPr>
          </w:p>
        </w:tc>
        <w:tc>
          <w:tcPr>
            <w:tcW w:w="202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Gaming Licensing</w:t>
            </w:r>
          </w:p>
        </w:tc>
        <w:tc>
          <w:tcPr>
            <w:tcW w:w="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10/12/2021</w:t>
            </w: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2,064,409</w:t>
            </w:r>
          </w:p>
        </w:tc>
        <w:tc>
          <w:tcPr>
            <w:tcW w:w="34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1,002,755</w:t>
            </w:r>
          </w:p>
        </w:tc>
        <w:tc>
          <w:tcPr>
            <w:tcW w:w="9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34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Xgroup Holdings Limited (d/b/a Xpoint)**</w:t>
            </w:r>
            <w:r>
              <w:rPr>
                <w:rFonts w:ascii="Times New Roman" w:cs="Times New Roman" w:eastAsia="Times New Roman" w:hAnsi="Times New Roman"/>
                <w:sz w:val="20"/>
                <w:szCs w:val="20"/>
                <w:b w:val="1"/>
                <w:bCs w:val="1"/>
                <w:color w:val="auto"/>
                <w:vertAlign w:val="superscript"/>
              </w:rPr>
              <w:t>(7)</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9"/>
              </w:rPr>
              <w:t>Dubai, UAE</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4"/>
                <w:szCs w:val="14"/>
                <w:color w:val="auto"/>
              </w:rPr>
              <w:t>Convertible Note 6%, Due 8/17/2023***</w:t>
            </w:r>
          </w:p>
        </w:tc>
        <w:tc>
          <w:tcPr>
            <w:tcW w:w="1400" w:type="dxa"/>
            <w:vAlign w:val="bottom"/>
            <w:tcBorders>
              <w:top w:val="single" w:sz="8" w:color="CCEEFF"/>
            </w:tcBorders>
            <w:gridSpan w:val="5"/>
          </w:tcPr>
          <w:p>
            <w:pPr>
              <w:spacing w:after="0"/>
              <w:rPr>
                <w:sz w:val="15"/>
                <w:szCs w:val="15"/>
                <w:color w:val="auto"/>
              </w:rPr>
            </w:pPr>
          </w:p>
        </w:tc>
        <w:tc>
          <w:tcPr>
            <w:tcW w:w="2020" w:type="dxa"/>
            <w:vAlign w:val="bottom"/>
            <w:tcBorders>
              <w:top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Geolocation Technology</w:t>
            </w:r>
          </w:p>
        </w:tc>
        <w:tc>
          <w:tcPr>
            <w:tcW w:w="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8/17/2022</w:t>
            </w: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34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1,009,093</w:t>
            </w:r>
          </w:p>
        </w:tc>
        <w:tc>
          <w:tcPr>
            <w:tcW w:w="9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34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YouBet Technology, Inc. (d/b/a FanPower)</w:t>
            </w:r>
            <w:r>
              <w:rPr>
                <w:rFonts w:ascii="Times New Roman" w:cs="Times New Roman" w:eastAsia="Times New Roman" w:hAnsi="Times New Roman"/>
                <w:sz w:val="20"/>
                <w:szCs w:val="20"/>
                <w:b w:val="1"/>
                <w:bCs w:val="1"/>
                <w:color w:val="auto"/>
                <w:vertAlign w:val="superscript"/>
              </w:rPr>
              <w:t>(7)</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New York, NY</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4"/>
                <w:szCs w:val="14"/>
                <w:color w:val="auto"/>
              </w:rPr>
              <w:t>Preferred shares, Series Seed-2</w:t>
            </w:r>
          </w:p>
        </w:tc>
        <w:tc>
          <w:tcPr>
            <w:tcW w:w="1280" w:type="dxa"/>
            <w:vAlign w:val="bottom"/>
            <w:tcBorders>
              <w:top w:val="single" w:sz="8" w:color="CCEEFF"/>
            </w:tcBorders>
            <w:gridSpan w:val="4"/>
          </w:tcPr>
          <w:p>
            <w:pPr>
              <w:spacing w:after="0"/>
              <w:rPr>
                <w:sz w:val="15"/>
                <w:szCs w:val="15"/>
                <w:color w:val="auto"/>
              </w:rPr>
            </w:pPr>
          </w:p>
        </w:tc>
        <w:tc>
          <w:tcPr>
            <w:tcW w:w="2020" w:type="dxa"/>
            <w:vAlign w:val="bottom"/>
            <w:tcBorders>
              <w:top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Digital Media Technology</w:t>
            </w:r>
          </w:p>
        </w:tc>
        <w:tc>
          <w:tcPr>
            <w:tcW w:w="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8/26/2021</w:t>
            </w: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578,029</w:t>
            </w:r>
          </w:p>
        </w:tc>
        <w:tc>
          <w:tcPr>
            <w:tcW w:w="34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752,943</w:t>
            </w:r>
          </w:p>
        </w:tc>
        <w:tc>
          <w:tcPr>
            <w:tcW w:w="9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749,998</w:t>
            </w:r>
          </w:p>
        </w:tc>
        <w:tc>
          <w:tcPr>
            <w:tcW w:w="34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EDGE Markets, Inc.</w:t>
            </w:r>
            <w:r>
              <w:rPr>
                <w:rFonts w:ascii="Times New Roman" w:cs="Times New Roman" w:eastAsia="Times New Roman" w:hAnsi="Times New Roman"/>
                <w:sz w:val="20"/>
                <w:szCs w:val="20"/>
                <w:b w:val="1"/>
                <w:bCs w:val="1"/>
                <w:color w:val="auto"/>
                <w:vertAlign w:val="superscript"/>
              </w:rPr>
              <w:t>(7)</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San Diego, CA</w:t>
            </w: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Preferred shares, Series Seed</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Gaming Technology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5/18/2022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456,704</w:t>
            </w:r>
          </w:p>
        </w:tc>
        <w:tc>
          <w:tcPr>
            <w:tcW w:w="3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501,330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3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Churchill Sponsor VII LLC**</w:t>
            </w:r>
            <w:r>
              <w:rPr>
                <w:rFonts w:ascii="Times New Roman" w:cs="Times New Roman" w:eastAsia="Times New Roman" w:hAnsi="Times New Roman"/>
                <w:sz w:val="20"/>
                <w:szCs w:val="20"/>
                <w:b w:val="1"/>
                <w:bCs w:val="1"/>
                <w:color w:val="auto"/>
                <w:vertAlign w:val="superscript"/>
              </w:rPr>
              <w:t>(12)</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New York, NY</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2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Special Purpose Acquisition</w:t>
            </w:r>
          </w:p>
        </w:tc>
        <w:tc>
          <w:tcPr>
            <w:tcW w:w="8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Common share units</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Company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292,100</w:t>
            </w:r>
          </w:p>
        </w:tc>
        <w:tc>
          <w:tcPr>
            <w:tcW w:w="3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205,820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205,820</w:t>
            </w:r>
          </w:p>
        </w:tc>
        <w:tc>
          <w:tcPr>
            <w:tcW w:w="3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units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277,000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94,180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94,180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Borders>
              <w:top w:val="single" w:sz="8" w:color="CCEEFF"/>
              <w:bottom w:val="single" w:sz="8" w:color="CCEEFF"/>
            </w:tcBorders>
            <w:gridSpan w:val="14"/>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tcPr>
          <w:p>
            <w:pPr>
              <w:spacing w:after="0"/>
              <w:rPr>
                <w:sz w:val="14"/>
                <w:szCs w:val="14"/>
                <w:color w:val="auto"/>
              </w:rPr>
            </w:pPr>
          </w:p>
        </w:tc>
        <w:tc>
          <w:tcPr>
            <w:tcW w:w="220" w:type="dxa"/>
            <w:vAlign w:val="bottom"/>
            <w:tcBorders>
              <w:top w:val="single" w:sz="8" w:color="CCEEFF"/>
              <w:bottom w:val="single" w:sz="8" w:color="CCEEFF"/>
            </w:tcBorders>
          </w:tcPr>
          <w:p>
            <w:pPr>
              <w:spacing w:after="0"/>
              <w:rPr>
                <w:sz w:val="14"/>
                <w:szCs w:val="14"/>
                <w:color w:val="auto"/>
              </w:rPr>
            </w:pPr>
          </w:p>
        </w:tc>
        <w:tc>
          <w:tcPr>
            <w:tcW w:w="88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680" w:type="dxa"/>
            <w:vAlign w:val="bottom"/>
            <w:tcBorders>
              <w:top w:val="single" w:sz="8" w:color="CCEEFF"/>
              <w:bottom w:val="single" w:sz="8" w:color="CCEEFF"/>
            </w:tcBorders>
          </w:tcPr>
          <w:p>
            <w:pPr>
              <w:spacing w:after="0"/>
              <w:rPr>
                <w:sz w:val="14"/>
                <w:szCs w:val="14"/>
                <w:color w:val="auto"/>
              </w:rPr>
            </w:pPr>
          </w:p>
        </w:tc>
        <w:tc>
          <w:tcPr>
            <w:tcW w:w="34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34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00" w:type="dxa"/>
            <w:vAlign w:val="bottom"/>
            <w:gridSpan w:val="14"/>
            <w:shd w:val="clear" w:color="auto" w:fill="CCEEFF"/>
          </w:tcPr>
          <w:p>
            <w:pPr>
              <w:spacing w:after="0" w:line="164" w:lineRule="exact"/>
              <w:rPr>
                <w:sz w:val="20"/>
                <w:szCs w:val="20"/>
                <w:color w:val="auto"/>
              </w:rPr>
            </w:pPr>
            <w:r>
              <w:rPr>
                <w:rFonts w:ascii="Times New Roman" w:cs="Times New Roman" w:eastAsia="Times New Roman" w:hAnsi="Times New Roman"/>
                <w:sz w:val="12"/>
                <w:szCs w:val="12"/>
                <w:b w:val="1"/>
                <w:bCs w:val="1"/>
                <w:color w:val="auto"/>
              </w:rPr>
              <w:t>AltC Sponsor LLC**</w:t>
            </w:r>
            <w:r>
              <w:rPr>
                <w:rFonts w:ascii="Times New Roman" w:cs="Times New Roman" w:eastAsia="Times New Roman" w:hAnsi="Times New Roman"/>
                <w:sz w:val="19"/>
                <w:szCs w:val="19"/>
                <w:b w:val="1"/>
                <w:bCs w:val="1"/>
                <w:color w:val="auto"/>
                <w:vertAlign w:val="superscript"/>
              </w:rPr>
              <w:t>(12)</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New York, NY</w:t>
            </w: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2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Special Purpose Acquisition</w:t>
            </w:r>
          </w:p>
        </w:tc>
        <w:tc>
          <w:tcPr>
            <w:tcW w:w="8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Share units</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Company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7/21/2021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239,300</w:t>
            </w:r>
          </w:p>
        </w:tc>
        <w:tc>
          <w:tcPr>
            <w:tcW w:w="3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250,855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3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00" w:type="dxa"/>
            <w:vAlign w:val="bottom"/>
            <w:gridSpan w:val="14"/>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Rent the Runway, Inc.**</w:t>
            </w:r>
          </w:p>
        </w:tc>
        <w:tc>
          <w:tcPr>
            <w:tcW w:w="2020" w:type="dxa"/>
            <w:vAlign w:val="bottom"/>
            <w:gridSpan w:val="2"/>
            <w:shd w:val="clear" w:color="auto" w:fill="CCEEFF"/>
          </w:tcPr>
          <w:p>
            <w:pPr>
              <w:jc w:val="center"/>
              <w:ind w:right="240"/>
              <w:spacing w:after="0" w:line="146" w:lineRule="exact"/>
              <w:rPr>
                <w:sz w:val="20"/>
                <w:szCs w:val="20"/>
                <w:color w:val="auto"/>
              </w:rPr>
            </w:pPr>
            <w:r>
              <w:rPr>
                <w:rFonts w:ascii="Times New Roman" w:cs="Times New Roman" w:eastAsia="Times New Roman" w:hAnsi="Times New Roman"/>
                <w:sz w:val="14"/>
                <w:szCs w:val="14"/>
                <w:color w:val="auto"/>
              </w:rPr>
              <w:t>New York, NY</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60" w:type="dxa"/>
            <w:vAlign w:val="bottom"/>
            <w:tcBorders>
              <w:top w:val="single" w:sz="8" w:color="auto"/>
            </w:tcBorders>
            <w:gridSpan w:val="4"/>
          </w:tcPr>
          <w:p>
            <w:pPr>
              <w:spacing w:after="0" w:line="211"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23"/>
                <w:szCs w:val="23"/>
                <w:color w:val="auto"/>
                <w:vertAlign w:val="superscript"/>
              </w:rPr>
              <w:t>(3)</w:t>
            </w:r>
          </w:p>
        </w:tc>
        <w:tc>
          <w:tcPr>
            <w:tcW w:w="2440" w:type="dxa"/>
            <w:vAlign w:val="bottom"/>
            <w:tcBorders>
              <w:top w:val="single" w:sz="8" w:color="CCEEFF"/>
            </w:tcBorders>
            <w:gridSpan w:val="10"/>
          </w:tcPr>
          <w:p>
            <w:pPr>
              <w:spacing w:after="0"/>
              <w:rPr>
                <w:sz w:val="18"/>
                <w:szCs w:val="18"/>
                <w:color w:val="auto"/>
              </w:rPr>
            </w:pPr>
          </w:p>
        </w:tc>
        <w:tc>
          <w:tcPr>
            <w:tcW w:w="202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Subscription Fashion Rental</w:t>
            </w:r>
          </w:p>
        </w:tc>
        <w:tc>
          <w:tcPr>
            <w:tcW w:w="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8"/>
              </w:rPr>
              <w:t>6/17/2020</w:t>
            </w: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79,191</w:t>
            </w:r>
          </w:p>
        </w:tc>
        <w:tc>
          <w:tcPr>
            <w:tcW w:w="3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1,203,293</w:t>
            </w:r>
          </w:p>
        </w:tc>
        <w:tc>
          <w:tcPr>
            <w:tcW w:w="9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241,533</w:t>
            </w: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Churchill Sponsor VI LLC**</w:t>
            </w:r>
            <w:r>
              <w:rPr>
                <w:rFonts w:ascii="Times New Roman" w:cs="Times New Roman" w:eastAsia="Times New Roman" w:hAnsi="Times New Roman"/>
                <w:sz w:val="20"/>
                <w:szCs w:val="20"/>
                <w:b w:val="1"/>
                <w:bCs w:val="1"/>
                <w:color w:val="auto"/>
                <w:vertAlign w:val="superscript"/>
              </w:rPr>
              <w:t>(12)</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New York, NY</w:t>
            </w: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20" w:type="dxa"/>
            <w:vAlign w:val="bottom"/>
            <w:tcBorders>
              <w:top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Special Purpose Acquisition</w:t>
            </w:r>
          </w:p>
        </w:tc>
        <w:tc>
          <w:tcPr>
            <w:tcW w:w="8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82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Common share units</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Company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3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134,297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134,297</w:t>
            </w:r>
          </w:p>
        </w:tc>
        <w:tc>
          <w:tcPr>
            <w:tcW w:w="3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units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2/25/2021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199,100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65,703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65,703</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0" w:type="dxa"/>
            <w:vAlign w:val="bottom"/>
            <w:tcBorders>
              <w:top w:val="single" w:sz="8" w:color="CCEEFF"/>
              <w:bottom w:val="single" w:sz="8" w:color="CCEEFF"/>
            </w:tcBorders>
            <w:gridSpan w:val="14"/>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tcPr>
          <w:p>
            <w:pPr>
              <w:spacing w:after="0"/>
              <w:rPr>
                <w:sz w:val="14"/>
                <w:szCs w:val="14"/>
                <w:color w:val="auto"/>
              </w:rPr>
            </w:pPr>
          </w:p>
        </w:tc>
        <w:tc>
          <w:tcPr>
            <w:tcW w:w="220" w:type="dxa"/>
            <w:vAlign w:val="bottom"/>
            <w:tcBorders>
              <w:top w:val="single" w:sz="8" w:color="CCEEFF"/>
              <w:bottom w:val="single" w:sz="8" w:color="CCEEFF"/>
            </w:tcBorders>
          </w:tcPr>
          <w:p>
            <w:pPr>
              <w:spacing w:after="0"/>
              <w:rPr>
                <w:sz w:val="14"/>
                <w:szCs w:val="14"/>
                <w:color w:val="auto"/>
              </w:rPr>
            </w:pPr>
          </w:p>
        </w:tc>
        <w:tc>
          <w:tcPr>
            <w:tcW w:w="88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680" w:type="dxa"/>
            <w:vAlign w:val="bottom"/>
            <w:tcBorders>
              <w:top w:val="single" w:sz="8" w:color="CCEEFF"/>
              <w:bottom w:val="single" w:sz="8" w:color="CCEEFF"/>
            </w:tcBorders>
          </w:tcPr>
          <w:p>
            <w:pPr>
              <w:spacing w:after="0"/>
              <w:rPr>
                <w:sz w:val="14"/>
                <w:szCs w:val="14"/>
                <w:color w:val="auto"/>
              </w:rPr>
            </w:pPr>
          </w:p>
        </w:tc>
        <w:tc>
          <w:tcPr>
            <w:tcW w:w="34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34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0" w:type="dxa"/>
            <w:vAlign w:val="bottom"/>
            <w:gridSpan w:val="14"/>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Kahoot! ASA**</w:t>
            </w:r>
          </w:p>
        </w:tc>
        <w:tc>
          <w:tcPr>
            <w:tcW w:w="2020" w:type="dxa"/>
            <w:vAlign w:val="bottom"/>
            <w:gridSpan w:val="2"/>
            <w:shd w:val="clear" w:color="auto" w:fill="CCEEFF"/>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w w:val="99"/>
              </w:rPr>
              <w:t>Oslo, Norway</w:t>
            </w: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92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right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8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0" w:type="dxa"/>
            <w:vAlign w:val="bottom"/>
            <w:gridSpan w:val="14"/>
          </w:tcPr>
          <w:p>
            <w:pPr>
              <w:spacing w:after="0" w:line="211" w:lineRule="exact"/>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23"/>
                <w:szCs w:val="23"/>
                <w:color w:val="auto"/>
                <w:vertAlign w:val="superscript"/>
              </w:rPr>
              <w:t>(3)</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Education Software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12/5/2014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38,305</w:t>
            </w: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176,067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72,888</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Borders>
              <w:bottom w:val="single" w:sz="8" w:color="auto"/>
            </w:tcBorders>
            <w:gridSpan w:val="8"/>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8"/>
              </w:rPr>
              <w:t>Neutron Holdings, Inc. (d/b/a/ Lime)</w:t>
            </w:r>
          </w:p>
        </w:tc>
        <w:tc>
          <w:tcPr>
            <w:tcW w:w="1620" w:type="dxa"/>
            <w:vAlign w:val="bottom"/>
            <w:tcBorders>
              <w:bottom w:val="single" w:sz="8" w:color="CCEEFF"/>
            </w:tcBorders>
            <w:gridSpan w:val="6"/>
            <w:shd w:val="clear" w:color="auto" w:fill="CCEEFF"/>
          </w:tcPr>
          <w:p>
            <w:pPr>
              <w:spacing w:after="0"/>
              <w:rPr>
                <w:sz w:val="13"/>
                <w:szCs w:val="13"/>
                <w:color w:val="auto"/>
              </w:rPr>
            </w:pPr>
          </w:p>
        </w:tc>
        <w:tc>
          <w:tcPr>
            <w:tcW w:w="2020" w:type="dxa"/>
            <w:vAlign w:val="bottom"/>
            <w:tcBorders>
              <w:bottom w:val="single" w:sz="8" w:color="CCEEFF"/>
            </w:tcBorders>
            <w:gridSpan w:val="2"/>
            <w:shd w:val="clear" w:color="auto" w:fill="CCEEFF"/>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rPr>
              <w:t>San Francisco, CA</w:t>
            </w:r>
          </w:p>
        </w:tc>
        <w:tc>
          <w:tcPr>
            <w:tcW w:w="8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Junior Preferred shares, Series 1-D</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Micromobility</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1/25/2019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41,237,113</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10,007,322</w:t>
            </w:r>
          </w:p>
        </w:tc>
        <w:tc>
          <w:tcPr>
            <w:tcW w:w="160" w:type="dxa"/>
            <w:vAlign w:val="bottom"/>
          </w:tcPr>
          <w:p>
            <w:pPr>
              <w:spacing w:after="0"/>
              <w:rPr>
                <w:sz w:val="15"/>
                <w:szCs w:val="15"/>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00" w:type="dxa"/>
            <w:vAlign w:val="bottom"/>
            <w:gridSpan w:val="14"/>
            <w:shd w:val="clear" w:color="auto" w:fill="CCEEFF"/>
          </w:tcPr>
          <w:p>
            <w:pPr>
              <w:spacing w:after="0" w:line="235" w:lineRule="exact"/>
              <w:rPr>
                <w:sz w:val="20"/>
                <w:szCs w:val="20"/>
                <w:color w:val="auto"/>
              </w:rPr>
            </w:pPr>
            <w:r>
              <w:rPr>
                <w:rFonts w:ascii="Times New Roman" w:cs="Times New Roman" w:eastAsia="Times New Roman" w:hAnsi="Times New Roman"/>
                <w:sz w:val="14"/>
                <w:szCs w:val="14"/>
                <w:color w:val="auto"/>
              </w:rPr>
              <w:t>Junior Preferred Convertible Note 4% Due 5/11/2027</w:t>
            </w:r>
            <w:r>
              <w:rPr>
                <w:rFonts w:ascii="Times New Roman" w:cs="Times New Roman" w:eastAsia="Times New Roman" w:hAnsi="Times New Roman"/>
                <w:sz w:val="23"/>
                <w:szCs w:val="23"/>
                <w:color w:val="auto"/>
                <w:vertAlign w:val="superscript"/>
              </w:rPr>
              <w:t>(4)</w:t>
            </w:r>
          </w:p>
        </w:tc>
        <w:tc>
          <w:tcPr>
            <w:tcW w:w="1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5/11/2020</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506,339</w:t>
            </w:r>
          </w:p>
        </w:tc>
        <w:tc>
          <w:tcPr>
            <w:tcW w:w="3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506,339</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5/11/2027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5/11/2020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2,032,967</w:t>
            </w:r>
          </w:p>
        </w:tc>
        <w:tc>
          <w:tcPr>
            <w:tcW w:w="3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bottom w:val="single" w:sz="8" w:color="CCEEFF"/>
            </w:tcBorders>
            <w:gridSpan w:val="1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10,513,661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20" w:type="dxa"/>
            <w:vAlign w:val="bottom"/>
            <w:tcBorders>
              <w:bottom w:val="single" w:sz="8" w:color="auto"/>
            </w:tcBorders>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6"/>
              </w:rPr>
              <w:t>Fullbridge, Inc.</w:t>
            </w:r>
          </w:p>
        </w:tc>
        <w:tc>
          <w:tcPr>
            <w:tcW w:w="2880" w:type="dxa"/>
            <w:vAlign w:val="bottom"/>
            <w:gridSpan w:val="13"/>
          </w:tcPr>
          <w:p>
            <w:pPr>
              <w:spacing w:after="0"/>
              <w:rPr>
                <w:sz w:val="10"/>
                <w:szCs w:val="10"/>
                <w:color w:val="auto"/>
              </w:rPr>
            </w:pPr>
          </w:p>
        </w:tc>
        <w:tc>
          <w:tcPr>
            <w:tcW w:w="20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color w:val="auto"/>
              </w:rPr>
              <w:t>Cambridge, MA</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9"/>
              </w:rPr>
              <w:t>Business Education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5/13/2012</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517,917</w:t>
            </w:r>
          </w:p>
        </w:tc>
        <w:tc>
          <w:tcPr>
            <w:tcW w:w="3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6,150,506</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800" w:type="dxa"/>
            <w:vAlign w:val="bottom"/>
            <w:gridSpan w:val="14"/>
          </w:tcPr>
          <w:p>
            <w:pPr>
              <w:spacing w:after="0" w:line="223" w:lineRule="exact"/>
              <w:rPr>
                <w:sz w:val="20"/>
                <w:szCs w:val="20"/>
                <w:color w:val="auto"/>
              </w:rPr>
            </w:pPr>
            <w:r>
              <w:rPr>
                <w:rFonts w:ascii="Times New Roman" w:cs="Times New Roman" w:eastAsia="Times New Roman" w:hAnsi="Times New Roman"/>
                <w:sz w:val="14"/>
                <w:szCs w:val="14"/>
                <w:color w:val="auto"/>
              </w:rPr>
              <w:t>Promissory Note 1.47%, Due 11/9/2021</w:t>
            </w:r>
            <w:r>
              <w:rPr>
                <w:rFonts w:ascii="Times New Roman" w:cs="Times New Roman" w:eastAsia="Times New Roman" w:hAnsi="Times New Roman"/>
                <w:sz w:val="23"/>
                <w:szCs w:val="23"/>
                <w:color w:val="auto"/>
                <w:vertAlign w:val="superscript"/>
              </w:rPr>
              <w:t>(4)(13)</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3/3/2016</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2,270,458</w:t>
            </w: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2,270,858</w:t>
            </w:r>
          </w:p>
        </w:tc>
        <w:tc>
          <w:tcPr>
            <w:tcW w:w="160" w:type="dxa"/>
            <w:vAlign w:val="bottom"/>
          </w:tcPr>
          <w:p>
            <w:pPr>
              <w:spacing w:after="0"/>
              <w:rPr>
                <w:sz w:val="19"/>
                <w:szCs w:val="19"/>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bottom w:val="single" w:sz="8" w:color="CCEEFF"/>
            </w:tcBorders>
            <w:gridSpan w:val="1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8,421,364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00" w:type="dxa"/>
            <w:vAlign w:val="bottom"/>
            <w:gridSpan w:val="14"/>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Treehouse Real Estate Investment Trust, Inc.</w:t>
            </w:r>
          </w:p>
        </w:tc>
        <w:tc>
          <w:tcPr>
            <w:tcW w:w="20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color w:val="auto"/>
              </w:rPr>
              <w:t>Chicago, IL</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80" w:type="dxa"/>
            <w:vAlign w:val="bottom"/>
            <w:tcBorders>
              <w:top w:val="single" w:sz="8" w:color="auto"/>
            </w:tcBorders>
            <w:gridSpan w:val="11"/>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1120" w:type="dxa"/>
            <w:vAlign w:val="bottom"/>
            <w:gridSpan w:val="3"/>
            <w:shd w:val="clear" w:color="auto" w:fill="CCEEFF"/>
          </w:tcPr>
          <w:p>
            <w:pPr>
              <w:spacing w:after="0"/>
              <w:rPr>
                <w:sz w:val="16"/>
                <w:szCs w:val="16"/>
                <w:color w:val="auto"/>
              </w:rPr>
            </w:pP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Cannabis REIT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9/11/2019</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3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4,919,250</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00" w:type="dxa"/>
            <w:vAlign w:val="bottom"/>
            <w:gridSpan w:val="14"/>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Kinetiq Holdings, LLC</w:t>
            </w:r>
          </w:p>
        </w:tc>
        <w:tc>
          <w:tcPr>
            <w:tcW w:w="202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w w:val="99"/>
              </w:rPr>
              <w:t>Philadelphia, PA</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8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 Class A</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Social Data Platform</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3/30/2012</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112,374</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14"/>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Non-controlled/Non-affiliate</w:t>
            </w: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6"/>
              </w:rPr>
              <w:t>$ 155,103,810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$ 130,901,546</w:t>
            </w: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 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4"/>
        </w:trPr>
        <w:tc>
          <w:tcPr>
            <w:tcW w:w="38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6"/>
                <w:szCs w:val="16"/>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2"/>
        </w:trPr>
        <w:tc>
          <w:tcPr>
            <w:tcW w:w="3600" w:type="dxa"/>
            <w:vAlign w:val="bottom"/>
            <w:tcBorders>
              <w:top w:val="single" w:sz="8" w:color="auto"/>
            </w:tcBorders>
            <w:gridSpan w:val="7"/>
            <w:shd w:val="clear" w:color="auto" w:fill="CCEEFF"/>
          </w:tcPr>
          <w:p>
            <w:pPr>
              <w:spacing w:after="0" w:line="211" w:lineRule="exact"/>
              <w:rPr>
                <w:sz w:val="20"/>
                <w:szCs w:val="20"/>
                <w:color w:val="auto"/>
              </w:rPr>
            </w:pPr>
            <w:r>
              <w:rPr>
                <w:rFonts w:ascii="Times New Roman" w:cs="Times New Roman" w:eastAsia="Times New Roman" w:hAnsi="Times New Roman"/>
                <w:sz w:val="14"/>
                <w:szCs w:val="14"/>
                <w:b w:val="1"/>
                <w:bCs w:val="1"/>
                <w:color w:val="auto"/>
              </w:rPr>
              <w:t>NON-CONTROLLED/AFFILIATE</w:t>
            </w:r>
            <w:r>
              <w:rPr>
                <w:rFonts w:ascii="Times New Roman" w:cs="Times New Roman" w:eastAsia="Times New Roman" w:hAnsi="Times New Roman"/>
                <w:sz w:val="23"/>
                <w:szCs w:val="23"/>
                <w:b w:val="1"/>
                <w:bCs w:val="1"/>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StormWind, LLC</w:t>
            </w:r>
          </w:p>
        </w:tc>
        <w:tc>
          <w:tcPr>
            <w:tcW w:w="140" w:type="dxa"/>
            <w:vAlign w:val="bottom"/>
            <w:tcBorders>
              <w:bottom w:val="single" w:sz="8" w:color="auto"/>
            </w:tcBorders>
            <w:gridSpan w:val="2"/>
          </w:tcPr>
          <w:p>
            <w:pPr>
              <w:jc w:val="right"/>
              <w:spacing w:after="0" w:line="98" w:lineRule="exact"/>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vMerge w:val="restart"/>
          </w:tcPr>
          <w:p>
            <w:pPr>
              <w:spacing w:after="0"/>
              <w:rPr>
                <w:sz w:val="10"/>
                <w:szCs w:val="10"/>
                <w:color w:val="auto"/>
              </w:rPr>
            </w:pPr>
          </w:p>
        </w:tc>
        <w:tc>
          <w:tcPr>
            <w:tcW w:w="880" w:type="dxa"/>
            <w:vAlign w:val="bottom"/>
            <w:vMerge w:val="restart"/>
          </w:tcPr>
          <w:p>
            <w:pPr>
              <w:spacing w:after="0"/>
              <w:rPr>
                <w:sz w:val="10"/>
                <w:szCs w:val="10"/>
                <w:color w:val="auto"/>
              </w:rPr>
            </w:pPr>
          </w:p>
        </w:tc>
        <w:tc>
          <w:tcPr>
            <w:tcW w:w="1640" w:type="dxa"/>
            <w:vAlign w:val="bottom"/>
            <w:gridSpan w:val="2"/>
            <w:vMerge w:val="restart"/>
          </w:tcPr>
          <w:p>
            <w:pPr>
              <w:spacing w:after="0"/>
              <w:rPr>
                <w:sz w:val="10"/>
                <w:szCs w:val="10"/>
                <w:color w:val="auto"/>
              </w:rPr>
            </w:pPr>
          </w:p>
        </w:tc>
        <w:tc>
          <w:tcPr>
            <w:tcW w:w="2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Scottsdale, AZ</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060" w:type="dxa"/>
            <w:vAlign w:val="bottom"/>
            <w:tcBorders>
              <w:bottom w:val="single" w:sz="8" w:color="auto"/>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202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8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D 8%</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Interactive Learning</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11/26/2019</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329,337</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257,267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533,429</w:t>
            </w:r>
          </w:p>
        </w:tc>
        <w:tc>
          <w:tcPr>
            <w:tcW w:w="3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76"/>
        </w:trPr>
        <w:tc>
          <w:tcPr>
            <w:tcW w:w="3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1/7/2014</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2,779,134</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4,000,787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5,675,081</w:t>
            </w:r>
          </w:p>
        </w:tc>
        <w:tc>
          <w:tcPr>
            <w:tcW w:w="3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76"/>
        </w:trPr>
        <w:tc>
          <w:tcPr>
            <w:tcW w:w="38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 8%</w:t>
            </w: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12/16/2011</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3,279,629</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2,019,687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3,550,631</w:t>
            </w:r>
          </w:p>
        </w:tc>
        <w:tc>
          <w:tcPr>
            <w:tcW w:w="3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92"/>
        </w:trPr>
        <w:tc>
          <w:tcPr>
            <w:tcW w:w="3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2/25/2014</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366,666</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110,000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191,694</w:t>
            </w:r>
          </w:p>
        </w:tc>
        <w:tc>
          <w:tcPr>
            <w:tcW w:w="3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bottom w:val="single" w:sz="8" w:color="CCEEFF"/>
            </w:tcBorders>
            <w:gridSpan w:val="8"/>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6,387,741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9,950,835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5"/>
        </w:trPr>
        <w:tc>
          <w:tcPr>
            <w:tcW w:w="3820" w:type="dxa"/>
            <w:vAlign w:val="bottom"/>
            <w:gridSpan w:val="8"/>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OneValley, Inc. (f/k/a NestGSV, Inc.)</w:t>
            </w:r>
          </w:p>
        </w:tc>
        <w:tc>
          <w:tcPr>
            <w:tcW w:w="20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color w:val="auto"/>
              </w:rPr>
              <w:t>San Mateo, CA</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820" w:type="dxa"/>
            <w:vAlign w:val="bottom"/>
            <w:gridSpan w:val="8"/>
            <w:shd w:val="clear" w:color="auto" w:fill="CCEEFF"/>
          </w:tcPr>
          <w:p>
            <w:pPr>
              <w:spacing w:after="0" w:line="226" w:lineRule="exact"/>
              <w:rPr>
                <w:sz w:val="20"/>
                <w:szCs w:val="20"/>
                <w:color w:val="auto"/>
              </w:rPr>
            </w:pPr>
            <w:r>
              <w:rPr>
                <w:rFonts w:ascii="Times New Roman" w:cs="Times New Roman" w:eastAsia="Times New Roman" w:hAnsi="Times New Roman"/>
                <w:sz w:val="14"/>
                <w:szCs w:val="14"/>
                <w:color w:val="auto"/>
              </w:rPr>
              <w:t>Derivative Security, Expiration Date 8/23/2024</w:t>
            </w:r>
            <w:r>
              <w:rPr>
                <w:rFonts w:ascii="Times New Roman" w:cs="Times New Roman" w:eastAsia="Times New Roman" w:hAnsi="Times New Roman"/>
                <w:sz w:val="23"/>
                <w:szCs w:val="23"/>
                <w:color w:val="auto"/>
                <w:vertAlign w:val="superscript"/>
              </w:rPr>
              <w:t>(10)</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Global Innovation Platform</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8/23/2019</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8,555,124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652,127</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212"/>
        </w:trPr>
        <w:tc>
          <w:tcPr>
            <w:tcW w:w="3820" w:type="dxa"/>
            <w:vAlign w:val="bottom"/>
            <w:gridSpan w:val="8"/>
          </w:tcPr>
          <w:p>
            <w:pPr>
              <w:spacing w:after="0" w:line="211" w:lineRule="exact"/>
              <w:rPr>
                <w:sz w:val="20"/>
                <w:szCs w:val="20"/>
                <w:color w:val="auto"/>
              </w:rPr>
            </w:pPr>
            <w:r>
              <w:rPr>
                <w:rFonts w:ascii="Times New Roman" w:cs="Times New Roman" w:eastAsia="Times New Roman" w:hAnsi="Times New Roman"/>
                <w:sz w:val="14"/>
                <w:szCs w:val="14"/>
                <w:color w:val="auto"/>
              </w:rPr>
              <w:t>Convertible Promissory Note 8% Due 8/23/2024</w:t>
            </w:r>
            <w:r>
              <w:rPr>
                <w:rFonts w:ascii="Times New Roman" w:cs="Times New Roman" w:eastAsia="Times New Roman" w:hAnsi="Times New Roman"/>
                <w:sz w:val="23"/>
                <w:szCs w:val="23"/>
                <w:color w:val="auto"/>
                <w:vertAlign w:val="superscript"/>
              </w:rPr>
              <w:t>(4)(10)</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2/17/2016</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1,010,198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1,030,176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1,988,200</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0" w:type="dxa"/>
            <w:vAlign w:val="bottom"/>
          </w:tcPr>
          <w:p>
            <w:pPr>
              <w:spacing w:after="0"/>
              <w:rPr>
                <w:sz w:val="1"/>
                <w:szCs w:val="1"/>
                <w:color w:val="auto"/>
              </w:rPr>
            </w:pPr>
          </w:p>
        </w:tc>
      </w:tr>
      <w:tr>
        <w:trPr>
          <w:trHeight w:val="164"/>
        </w:trPr>
        <w:tc>
          <w:tcPr>
            <w:tcW w:w="38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Warrant Series B, Strike Price $2.31, Expiration Date</w:t>
            </w:r>
          </w:p>
        </w:tc>
        <w:tc>
          <w:tcPr>
            <w:tcW w:w="1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12/31/2023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12/31/2018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820" w:type="dxa"/>
            <w:vAlign w:val="bottom"/>
            <w:tcBorders>
              <w:top w:val="single" w:sz="8" w:color="CCEEFF"/>
              <w:bottom w:val="single" w:sz="8" w:color="CCEEFF"/>
            </w:tcBorders>
            <w:gridSpan w:val="8"/>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tcPr>
          <w:p>
            <w:pPr>
              <w:spacing w:after="0"/>
              <w:rPr>
                <w:sz w:val="14"/>
                <w:szCs w:val="14"/>
                <w:color w:val="auto"/>
              </w:rPr>
            </w:pPr>
          </w:p>
        </w:tc>
        <w:tc>
          <w:tcPr>
            <w:tcW w:w="220" w:type="dxa"/>
            <w:vAlign w:val="bottom"/>
            <w:tcBorders>
              <w:top w:val="single" w:sz="8" w:color="CCEEFF"/>
              <w:bottom w:val="single" w:sz="8" w:color="CCEEFF"/>
            </w:tcBorders>
          </w:tcPr>
          <w:p>
            <w:pPr>
              <w:spacing w:after="0"/>
              <w:rPr>
                <w:sz w:val="14"/>
                <w:szCs w:val="14"/>
                <w:color w:val="auto"/>
              </w:rPr>
            </w:pPr>
          </w:p>
        </w:tc>
        <w:tc>
          <w:tcPr>
            <w:tcW w:w="88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CCEEFF"/>
              <w:bottom w:val="single" w:sz="8" w:color="CCEEFF"/>
            </w:tcBorders>
          </w:tcPr>
          <w:p>
            <w:pPr>
              <w:spacing w:after="0"/>
              <w:rPr>
                <w:sz w:val="14"/>
                <w:szCs w:val="14"/>
                <w:color w:val="auto"/>
              </w:rPr>
            </w:pPr>
          </w:p>
        </w:tc>
        <w:tc>
          <w:tcPr>
            <w:tcW w:w="760" w:type="dxa"/>
            <w:vAlign w:val="bottom"/>
            <w:tcBorders>
              <w:top w:val="single" w:sz="8" w:color="CCEEFF"/>
              <w:bottom w:val="single" w:sz="8" w:color="CCEEFF"/>
            </w:tcBorders>
          </w:tcPr>
          <w:p>
            <w:pPr>
              <w:spacing w:after="0"/>
              <w:rPr>
                <w:sz w:val="14"/>
                <w:szCs w:val="14"/>
                <w:color w:val="auto"/>
              </w:rPr>
            </w:pPr>
          </w:p>
        </w:tc>
        <w:tc>
          <w:tcPr>
            <w:tcW w:w="34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9,590,380</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2,640,327</w:t>
            </w:r>
          </w:p>
        </w:tc>
        <w:tc>
          <w:tcPr>
            <w:tcW w:w="34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4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6"/>
        </w:trPr>
        <w:tc>
          <w:tcPr>
            <w:tcW w:w="96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w w:val="98"/>
              </w:rPr>
              <w:t>Ozy Media, Inc.</w:t>
            </w:r>
          </w:p>
        </w:tc>
        <w:tc>
          <w:tcPr>
            <w:tcW w:w="2860" w:type="dxa"/>
            <w:vAlign w:val="bottom"/>
            <w:tcBorders>
              <w:bottom w:val="single" w:sz="8" w:color="CCEEFF"/>
            </w:tcBorders>
            <w:gridSpan w:val="7"/>
            <w:shd w:val="clear" w:color="auto" w:fill="CCEEFF"/>
          </w:tcPr>
          <w:p>
            <w:pPr>
              <w:spacing w:after="0"/>
              <w:rPr>
                <w:sz w:val="13"/>
                <w:szCs w:val="13"/>
                <w:color w:val="auto"/>
              </w:rPr>
            </w:pPr>
          </w:p>
        </w:tc>
        <w:tc>
          <w:tcPr>
            <w:tcW w:w="2020" w:type="dxa"/>
            <w:vAlign w:val="bottom"/>
            <w:tcBorders>
              <w:bottom w:val="single" w:sz="8" w:color="CCEEFF"/>
            </w:tcBorders>
            <w:gridSpan w:val="2"/>
            <w:shd w:val="clear" w:color="auto" w:fill="CCEEFF"/>
          </w:tcPr>
          <w:p>
            <w:pPr>
              <w:jc w:val="center"/>
              <w:ind w:right="240"/>
              <w:spacing w:after="0" w:line="141" w:lineRule="exact"/>
              <w:rPr>
                <w:sz w:val="20"/>
                <w:szCs w:val="20"/>
                <w:color w:val="auto"/>
              </w:rPr>
            </w:pPr>
            <w:r>
              <w:rPr>
                <w:rFonts w:ascii="Times New Roman" w:cs="Times New Roman" w:eastAsia="Times New Roman" w:hAnsi="Times New Roman"/>
                <w:sz w:val="14"/>
                <w:szCs w:val="14"/>
                <w:color w:val="auto"/>
                <w:w w:val="99"/>
              </w:rPr>
              <w:t>Mountain View, CA</w:t>
            </w:r>
          </w:p>
        </w:tc>
        <w:tc>
          <w:tcPr>
            <w:tcW w:w="8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Preferred shares, Series C-2 6%</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Digital Media Platform</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8/31/2016</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683,482</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2,414,178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8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B 6%</w:t>
            </w: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10/3/2014</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922,509</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4,999,999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3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Preferred shares, Series A 6%</w:t>
            </w: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12/11/2013</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1,090,909</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3,000,200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8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Seed 6%</w:t>
            </w:r>
          </w:p>
        </w:tc>
        <w:tc>
          <w:tcPr>
            <w:tcW w:w="1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11/2/2012</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500,000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4"/>
        </w:trPr>
        <w:tc>
          <w:tcPr>
            <w:tcW w:w="3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4/9/2028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4/9/2018</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295,565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30,647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bottom w:val="single" w:sz="8" w:color="CCEEFF"/>
            </w:tcBorders>
            <w:gridSpan w:val="8"/>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10,945,024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5"/>
        </w:trPr>
        <w:tc>
          <w:tcPr>
            <w:tcW w:w="1300" w:type="dxa"/>
            <w:vAlign w:val="bottom"/>
            <w:tcBorders>
              <w:bottom w:val="single" w:sz="8" w:color="auto"/>
            </w:tcBorders>
            <w:gridSpan w:val="5"/>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8"/>
              </w:rPr>
              <w:t>Maven Research, Inc.</w:t>
            </w:r>
          </w:p>
        </w:tc>
        <w:tc>
          <w:tcPr>
            <w:tcW w:w="2520" w:type="dxa"/>
            <w:vAlign w:val="bottom"/>
            <w:gridSpan w:val="3"/>
          </w:tcPr>
          <w:p>
            <w:pPr>
              <w:spacing w:after="0"/>
              <w:rPr>
                <w:sz w:val="10"/>
                <w:szCs w:val="10"/>
                <w:color w:val="auto"/>
              </w:rPr>
            </w:pPr>
          </w:p>
        </w:tc>
        <w:tc>
          <w:tcPr>
            <w:tcW w:w="202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color w:val="auto"/>
              </w:rPr>
              <w:t>San Francisco, CA</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8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shares, Series C</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Knowledge Networks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7/2/2012</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318,979</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2,000,447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2/28/2012</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49,505</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217,206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bottom w:val="single" w:sz="8" w:color="CCEEFF"/>
            </w:tcBorders>
            <w:gridSpan w:val="8"/>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2,217,653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5"/>
        </w:trPr>
        <w:tc>
          <w:tcPr>
            <w:tcW w:w="1080" w:type="dxa"/>
            <w:vAlign w:val="bottom"/>
            <w:tcBorders>
              <w:bottom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9"/>
              </w:rPr>
              <w:t>Curious.com, Inc.</w:t>
            </w:r>
          </w:p>
        </w:tc>
        <w:tc>
          <w:tcPr>
            <w:tcW w:w="2740" w:type="dxa"/>
            <w:vAlign w:val="bottom"/>
            <w:gridSpan w:val="5"/>
          </w:tcPr>
          <w:p>
            <w:pPr>
              <w:spacing w:after="0"/>
              <w:rPr>
                <w:sz w:val="10"/>
                <w:szCs w:val="10"/>
                <w:color w:val="auto"/>
              </w:rPr>
            </w:pPr>
          </w:p>
        </w:tc>
        <w:tc>
          <w:tcPr>
            <w:tcW w:w="202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color w:val="auto"/>
              </w:rPr>
              <w:t>Menlo Park, CA</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8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9"/>
              </w:rPr>
              <w:t>Online Education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11/22/2013</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1,135,944</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12,000,006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5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Non-controlled/Affiliate</w:t>
            </w:r>
          </w:p>
        </w:tc>
        <w:tc>
          <w:tcPr>
            <w:tcW w:w="2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41,140,804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12,591,162</w:t>
            </w:r>
          </w:p>
        </w:tc>
        <w:tc>
          <w:tcPr>
            <w:tcW w:w="3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80" w:type="dxa"/>
            <w:vAlign w:val="bottom"/>
            <w:gridSpan w:val="5"/>
            <w:shd w:val="clear" w:color="auto" w:fill="CCEEFF"/>
          </w:tcPr>
          <w:p>
            <w:pPr>
              <w:spacing w:after="0" w:line="211" w:lineRule="exact"/>
              <w:rPr>
                <w:sz w:val="20"/>
                <w:szCs w:val="20"/>
                <w:color w:val="auto"/>
              </w:rPr>
            </w:pPr>
            <w:r>
              <w:rPr>
                <w:rFonts w:ascii="Times New Roman" w:cs="Times New Roman" w:eastAsia="Times New Roman" w:hAnsi="Times New Roman"/>
                <w:sz w:val="14"/>
                <w:szCs w:val="14"/>
                <w:b w:val="1"/>
                <w:bCs w:val="1"/>
                <w:color w:val="auto"/>
              </w:rPr>
              <w:t>CONTROLLED</w:t>
            </w:r>
            <w:r>
              <w:rPr>
                <w:rFonts w:ascii="Times New Roman" w:cs="Times New Roman" w:eastAsia="Times New Roman" w:hAnsi="Times New Roman"/>
                <w:sz w:val="23"/>
                <w:szCs w:val="23"/>
                <w:b w:val="1"/>
                <w:bCs w:val="1"/>
                <w:color w:val="auto"/>
                <w:vertAlign w:val="superscript"/>
              </w:rPr>
              <w:t>(2)</w:t>
            </w:r>
          </w:p>
        </w:tc>
        <w:tc>
          <w:tcPr>
            <w:tcW w:w="2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580" w:type="dxa"/>
            <w:vAlign w:val="bottom"/>
            <w:gridSpan w:val="5"/>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Architect Capital PayJoy SPV, LLC**</w:t>
            </w:r>
          </w:p>
        </w:tc>
        <w:tc>
          <w:tcPr>
            <w:tcW w:w="2140" w:type="dxa"/>
            <w:vAlign w:val="bottom"/>
          </w:tcPr>
          <w:p>
            <w:pPr>
              <w:jc w:val="center"/>
              <w:ind w:left="9"/>
              <w:spacing w:after="0" w:line="141" w:lineRule="exact"/>
              <w:rPr>
                <w:sz w:val="20"/>
                <w:szCs w:val="20"/>
                <w:color w:val="auto"/>
              </w:rPr>
            </w:pPr>
            <w:r>
              <w:rPr>
                <w:rFonts w:ascii="Times New Roman" w:cs="Times New Roman" w:eastAsia="Times New Roman" w:hAnsi="Times New Roman"/>
                <w:sz w:val="14"/>
                <w:szCs w:val="14"/>
                <w:color w:val="auto"/>
              </w:rPr>
              <w:t>San Francisco, CA</w:t>
            </w: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Membership Interest in Lending SPV***</w:t>
            </w:r>
          </w:p>
        </w:tc>
        <w:tc>
          <w:tcPr>
            <w:tcW w:w="21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Mobile Finance Technology</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3/24/2021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10,000,000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10,006,745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3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80" w:type="dxa"/>
            <w:vAlign w:val="bottom"/>
            <w:gridSpan w:val="5"/>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Colombier Sponsor LLC**</w:t>
            </w:r>
            <w:r>
              <w:rPr>
                <w:rFonts w:ascii="Times New Roman" w:cs="Times New Roman" w:eastAsia="Times New Roman" w:hAnsi="Times New Roman"/>
                <w:sz w:val="20"/>
                <w:szCs w:val="20"/>
                <w:b w:val="1"/>
                <w:bCs w:val="1"/>
                <w:color w:val="auto"/>
                <w:vertAlign w:val="superscript"/>
              </w:rPr>
              <w:t>(12)</w:t>
            </w:r>
          </w:p>
        </w:tc>
        <w:tc>
          <w:tcPr>
            <w:tcW w:w="21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New York, NY</w:t>
            </w: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14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Special Purpose Acquisition</w:t>
            </w: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Units</w:t>
            </w:r>
          </w:p>
        </w:tc>
        <w:tc>
          <w:tcPr>
            <w:tcW w:w="21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Company</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4/1/2021</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1,976,033</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1,556,587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1,554,355</w:t>
            </w:r>
          </w:p>
        </w:tc>
        <w:tc>
          <w:tcPr>
            <w:tcW w:w="3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Class W Units</w:t>
            </w:r>
          </w:p>
        </w:tc>
        <w:tc>
          <w:tcPr>
            <w:tcW w:w="2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4/1/2021</w:t>
            </w:r>
          </w:p>
        </w:tc>
        <w:tc>
          <w:tcPr>
            <w:tcW w:w="280" w:type="dxa"/>
            <w:vAlign w:val="bottom"/>
          </w:tcPr>
          <w:p>
            <w:pPr>
              <w:spacing w:after="0"/>
              <w:rPr>
                <w:sz w:val="16"/>
                <w:szCs w:val="16"/>
                <w:color w:val="auto"/>
              </w:rPr>
            </w:pP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2,700,000</w:t>
            </w: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1,159,150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1,157,487</w:t>
            </w:r>
          </w:p>
        </w:tc>
        <w:tc>
          <w:tcPr>
            <w:tcW w:w="340" w:type="dxa"/>
            <w:vAlign w:val="bottom"/>
          </w:tcPr>
          <w:p>
            <w:pPr>
              <w:spacing w:after="0"/>
              <w:rPr>
                <w:sz w:val="16"/>
                <w:szCs w:val="16"/>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bottom w:val="single" w:sz="8" w:color="CCEEFF"/>
            </w:tcBorders>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14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2,715,737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2,711,842</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60" w:type="dxa"/>
            <w:vAlign w:val="bottom"/>
            <w:tcBorders>
              <w:bottom w:val="single" w:sz="8" w:color="auto"/>
            </w:tcBorders>
            <w:gridSpan w:val="4"/>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9"/>
              </w:rPr>
              <w:t>SPBRX, INC. (f/k/a GSV Sustainability Partners, Inc.)</w:t>
            </w:r>
          </w:p>
        </w:tc>
        <w:tc>
          <w:tcPr>
            <w:tcW w:w="320" w:type="dxa"/>
            <w:vAlign w:val="bottom"/>
          </w:tcPr>
          <w:p>
            <w:pPr>
              <w:spacing w:after="0"/>
              <w:rPr>
                <w:sz w:val="10"/>
                <w:szCs w:val="10"/>
                <w:color w:val="auto"/>
              </w:rPr>
            </w:pPr>
          </w:p>
        </w:tc>
        <w:tc>
          <w:tcPr>
            <w:tcW w:w="2140" w:type="dxa"/>
            <w:vAlign w:val="bottom"/>
          </w:tcPr>
          <w:p>
            <w:pPr>
              <w:jc w:val="center"/>
              <w:ind w:left="9"/>
              <w:spacing w:after="0" w:line="125" w:lineRule="exact"/>
              <w:rPr>
                <w:sz w:val="20"/>
                <w:szCs w:val="20"/>
                <w:color w:val="auto"/>
              </w:rPr>
            </w:pPr>
            <w:r>
              <w:rPr>
                <w:rFonts w:ascii="Times New Roman" w:cs="Times New Roman" w:eastAsia="Times New Roman" w:hAnsi="Times New Roman"/>
                <w:sz w:val="14"/>
                <w:szCs w:val="14"/>
                <w:color w:val="auto"/>
                <w:w w:val="99"/>
              </w:rPr>
              <w:t>Cupertino, CA</w:t>
            </w: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80" w:type="dxa"/>
            <w:vAlign w:val="bottom"/>
            <w:gridSpan w:val="5"/>
            <w:shd w:val="clear" w:color="auto" w:fill="CCEEFF"/>
          </w:tcPr>
          <w:p>
            <w:pPr>
              <w:spacing w:after="0" w:line="226" w:lineRule="exact"/>
              <w:rPr>
                <w:sz w:val="20"/>
                <w:szCs w:val="20"/>
                <w:color w:val="auto"/>
              </w:rPr>
            </w:pPr>
            <w:r>
              <w:rPr>
                <w:rFonts w:ascii="Times New Roman" w:cs="Times New Roman" w:eastAsia="Times New Roman" w:hAnsi="Times New Roman"/>
                <w:sz w:val="14"/>
                <w:szCs w:val="14"/>
                <w:color w:val="auto"/>
              </w:rPr>
              <w:t>Preferred shares, Class A</w:t>
            </w:r>
            <w:r>
              <w:rPr>
                <w:rFonts w:ascii="Times New Roman" w:cs="Times New Roman" w:eastAsia="Times New Roman" w:hAnsi="Times New Roman"/>
                <w:sz w:val="23"/>
                <w:szCs w:val="23"/>
                <w:color w:val="auto"/>
                <w:vertAlign w:val="superscript"/>
              </w:rPr>
              <w:t>(9)</w:t>
            </w:r>
          </w:p>
        </w:tc>
        <w:tc>
          <w:tcPr>
            <w:tcW w:w="21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8"/>
              </w:rPr>
              <w:t>Clean Technology</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4/15/2014</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14,300,000</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7,151,412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984,028</w:t>
            </w:r>
          </w:p>
        </w:tc>
        <w:tc>
          <w:tcPr>
            <w:tcW w:w="3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Common shares</w:t>
            </w:r>
          </w:p>
        </w:tc>
        <w:tc>
          <w:tcPr>
            <w:tcW w:w="2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4/15/2014</w:t>
            </w:r>
          </w:p>
        </w:tc>
        <w:tc>
          <w:tcPr>
            <w:tcW w:w="280" w:type="dxa"/>
            <w:vAlign w:val="bottom"/>
          </w:tcPr>
          <w:p>
            <w:pPr>
              <w:spacing w:after="0"/>
              <w:rPr>
                <w:sz w:val="16"/>
                <w:szCs w:val="16"/>
                <w:color w:val="auto"/>
              </w:rPr>
            </w:pP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80" w:type="dxa"/>
            <w:vAlign w:val="bottom"/>
            <w:tcBorders>
              <w:top w:val="single" w:sz="8" w:color="CCEEFF"/>
              <w:bottom w:val="single" w:sz="8" w:color="CCEEFF"/>
            </w:tcBorders>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1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7,161,412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984,028</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1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Controlled</w:t>
            </w:r>
          </w:p>
        </w:tc>
        <w:tc>
          <w:tcPr>
            <w:tcW w:w="2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19,883,894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13,695,870</w:t>
            </w:r>
          </w:p>
        </w:tc>
        <w:tc>
          <w:tcPr>
            <w:tcW w:w="3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1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2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216,128,508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157,188,578</w:t>
            </w:r>
          </w:p>
        </w:tc>
        <w:tc>
          <w:tcPr>
            <w:tcW w:w="3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74.84%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3580" w:type="dxa"/>
            <w:vAlign w:val="bottom"/>
            <w:gridSpan w:val="5"/>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U.S. Treasury</w:t>
            </w:r>
          </w:p>
        </w:tc>
        <w:tc>
          <w:tcPr>
            <w:tcW w:w="2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580" w:type="dxa"/>
            <w:vAlign w:val="bottom"/>
            <w:gridSpan w:val="5"/>
          </w:tcPr>
          <w:p>
            <w:pPr>
              <w:spacing w:after="0" w:line="211" w:lineRule="exact"/>
              <w:rPr>
                <w:sz w:val="20"/>
                <w:szCs w:val="20"/>
                <w:color w:val="auto"/>
              </w:rPr>
            </w:pPr>
            <w:r>
              <w:rPr>
                <w:rFonts w:ascii="Times New Roman" w:cs="Times New Roman" w:eastAsia="Times New Roman" w:hAnsi="Times New Roman"/>
                <w:sz w:val="14"/>
                <w:szCs w:val="14"/>
                <w:color w:val="auto"/>
              </w:rPr>
              <w:t>U.S. Treasury bill, 0%, due 3/30/2023***</w:t>
            </w:r>
            <w:r>
              <w:rPr>
                <w:rFonts w:ascii="Times New Roman" w:cs="Times New Roman" w:eastAsia="Times New Roman" w:hAnsi="Times New Roman"/>
                <w:sz w:val="23"/>
                <w:szCs w:val="23"/>
                <w:color w:val="auto"/>
                <w:vertAlign w:val="superscript"/>
              </w:rPr>
              <w:t>(3)</w:t>
            </w:r>
          </w:p>
        </w:tc>
        <w:tc>
          <w:tcPr>
            <w:tcW w:w="21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12/29/2022</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45,492,000</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45,000,118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45,026,162</w:t>
            </w:r>
          </w:p>
        </w:tc>
        <w:tc>
          <w:tcPr>
            <w:tcW w:w="34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80" w:type="dxa"/>
            <w:vAlign w:val="bottom"/>
            <w:gridSpan w:val="5"/>
            <w:shd w:val="clear" w:color="auto" w:fill="CCEEFF"/>
          </w:tcPr>
          <w:p>
            <w:pPr>
              <w:spacing w:after="0" w:line="223" w:lineRule="exact"/>
              <w:rPr>
                <w:sz w:val="20"/>
                <w:szCs w:val="20"/>
                <w:color w:val="auto"/>
              </w:rPr>
            </w:pPr>
            <w:r>
              <w:rPr>
                <w:rFonts w:ascii="Times New Roman" w:cs="Times New Roman" w:eastAsia="Times New Roman" w:hAnsi="Times New Roman"/>
                <w:sz w:val="14"/>
                <w:szCs w:val="14"/>
                <w:color w:val="auto"/>
              </w:rPr>
              <w:t>U.S. Treasury bill, 0%, due 6/29/2023***</w:t>
            </w:r>
            <w:r>
              <w:rPr>
                <w:rFonts w:ascii="Times New Roman" w:cs="Times New Roman" w:eastAsia="Times New Roman" w:hAnsi="Times New Roman"/>
                <w:sz w:val="23"/>
                <w:szCs w:val="23"/>
                <w:color w:val="auto"/>
                <w:vertAlign w:val="superscript"/>
              </w:rPr>
              <w:t>(3)</w:t>
            </w:r>
          </w:p>
        </w:tc>
        <w:tc>
          <w:tcPr>
            <w:tcW w:w="214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12/29/2022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40,937,000</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39,999,480</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40,030,655</w:t>
            </w:r>
          </w:p>
        </w:tc>
        <w:tc>
          <w:tcPr>
            <w:tcW w:w="34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80" w:type="dxa"/>
            <w:vAlign w:val="bottom"/>
            <w:tcBorders>
              <w:top w:val="single" w:sz="8" w:color="CCEEFF"/>
              <w:bottom w:val="single" w:sz="8" w:color="CCEEFF"/>
            </w:tcBorders>
            <w:gridSpan w:val="5"/>
          </w:tcPr>
          <w:p>
            <w:pPr>
              <w:ind w:left="140"/>
              <w:spacing w:after="0" w:line="160" w:lineRule="exact"/>
              <w:rPr>
                <w:sz w:val="20"/>
                <w:szCs w:val="20"/>
                <w:color w:val="auto"/>
              </w:rPr>
            </w:pPr>
            <w:r>
              <w:rPr>
                <w:rFonts w:ascii="Times New Roman" w:cs="Times New Roman" w:eastAsia="Times New Roman" w:hAnsi="Times New Roman"/>
                <w:sz w:val="14"/>
                <w:szCs w:val="14"/>
                <w:color w:val="auto"/>
              </w:rPr>
              <w:t>Total</w:t>
            </w:r>
          </w:p>
        </w:tc>
        <w:tc>
          <w:tcPr>
            <w:tcW w:w="2140" w:type="dxa"/>
            <w:vAlign w:val="bottom"/>
            <w:tcBorders>
              <w:top w:val="single" w:sz="8" w:color="CCEEFF"/>
              <w:bottom w:val="single" w:sz="8" w:color="CCEEFF"/>
            </w:tcBorders>
          </w:tcPr>
          <w:p>
            <w:pPr>
              <w:spacing w:after="0"/>
              <w:rPr>
                <w:sz w:val="14"/>
                <w:szCs w:val="14"/>
                <w:color w:val="auto"/>
              </w:rPr>
            </w:pPr>
          </w:p>
        </w:tc>
        <w:tc>
          <w:tcPr>
            <w:tcW w:w="1040" w:type="dxa"/>
            <w:vAlign w:val="bottom"/>
            <w:tcBorders>
              <w:top w:val="single" w:sz="8" w:color="CCEEFF"/>
              <w:bottom w:val="single" w:sz="8" w:color="CCEEFF"/>
            </w:tcBorders>
          </w:tcPr>
          <w:p>
            <w:pPr>
              <w:spacing w:after="0"/>
              <w:rPr>
                <w:sz w:val="14"/>
                <w:szCs w:val="14"/>
                <w:color w:val="auto"/>
              </w:rPr>
            </w:pPr>
          </w:p>
        </w:tc>
        <w:tc>
          <w:tcPr>
            <w:tcW w:w="280" w:type="dxa"/>
            <w:vAlign w:val="bottom"/>
            <w:tcBorders>
              <w:top w:val="single" w:sz="8" w:color="CCEEFF"/>
              <w:bottom w:val="single" w:sz="8" w:color="CCEEFF"/>
            </w:tcBorders>
          </w:tcPr>
          <w:p>
            <w:pPr>
              <w:spacing w:after="0"/>
              <w:rPr>
                <w:sz w:val="14"/>
                <w:szCs w:val="14"/>
                <w:color w:val="auto"/>
              </w:rPr>
            </w:pPr>
          </w:p>
        </w:tc>
        <w:tc>
          <w:tcPr>
            <w:tcW w:w="100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84,999,598</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85,056,817</w:t>
            </w:r>
          </w:p>
        </w:tc>
        <w:tc>
          <w:tcPr>
            <w:tcW w:w="340" w:type="dxa"/>
            <w:vAlign w:val="bottom"/>
            <w:tcBorders>
              <w:top w:val="single" w:sz="8" w:color="CCEEFF"/>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40.50</w:t>
            </w:r>
          </w:p>
        </w:tc>
        <w:tc>
          <w:tcPr>
            <w:tcW w:w="140" w:type="dxa"/>
            <w:vAlign w:val="bottom"/>
            <w:tcBorders>
              <w:top w:val="single" w:sz="8" w:color="CCEEFF"/>
              <w:bottom w:val="single" w:sz="8" w:color="CCEEFF"/>
            </w:tcBorders>
            <w:gridSpan w:val="2"/>
          </w:tcPr>
          <w:p>
            <w:pPr>
              <w:jc w:val="right"/>
              <w:ind w:right="20"/>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301,128,106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242,245,395</w:t>
            </w:r>
          </w:p>
        </w:tc>
        <w:tc>
          <w:tcPr>
            <w:tcW w:w="3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115.34%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81" w:name="page82"/>
    <w:bookmarkEnd w:id="81"/>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 continued</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9133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92" w:lineRule="exact"/>
        <w:rPr>
          <w:sz w:val="20"/>
          <w:szCs w:val="20"/>
          <w:color w:val="auto"/>
        </w:rPr>
      </w:pPr>
    </w:p>
    <w:p>
      <w:pPr>
        <w:jc w:val="both"/>
        <w:ind w:left="566" w:hanging="566"/>
        <w:spacing w:after="0" w:line="252" w:lineRule="auto"/>
        <w:tabs>
          <w:tab w:leader="none" w:pos="566"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w:t>
      </w:r>
    </w:p>
    <w:p>
      <w:pPr>
        <w:jc w:val="both"/>
        <w:ind w:left="566"/>
        <w:spacing w:after="0" w:line="245" w:lineRule="auto"/>
        <w:rPr>
          <w:sz w:val="20"/>
          <w:szCs w:val="20"/>
          <w:color w:val="auto"/>
        </w:rPr>
      </w:pPr>
      <w:r>
        <w:rPr>
          <w:rFonts w:ascii="Times New Roman" w:cs="Times New Roman" w:eastAsia="Times New Roman" w:hAnsi="Times New Roman"/>
          <w:sz w:val="16"/>
          <w:szCs w:val="16"/>
          <w:color w:val="auto"/>
        </w:rPr>
        <w:t>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566" w:hanging="566"/>
        <w:spacing w:after="0" w:line="245" w:lineRule="auto"/>
        <w:tabs>
          <w:tab w:leader="none" w:pos="56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Investment Company Act of 1940, as amended (the “1940 Act”). Of the Company’s total investments as of December 31, 2022, 14.47% of its total investments are non-qualifying assets.</w:t>
      </w:r>
    </w:p>
    <w:p>
      <w:pPr>
        <w:ind w:left="566" w:hanging="566"/>
        <w:spacing w:after="0"/>
        <w:tabs>
          <w:tab w:leader="none" w:pos="56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177" w:lineRule="exact"/>
        <w:rPr>
          <w:sz w:val="20"/>
          <w:szCs w:val="20"/>
          <w:color w:val="auto"/>
        </w:rPr>
      </w:pPr>
    </w:p>
    <w:p>
      <w:pPr>
        <w:jc w:val="both"/>
        <w:ind w:left="566" w:right="20" w:hanging="566"/>
        <w:spacing w:after="0" w:line="253" w:lineRule="auto"/>
        <w:tabs>
          <w:tab w:leader="none" w:pos="56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164" w:lineRule="exact"/>
        <w:rPr>
          <w:rFonts w:ascii="Times New Roman" w:cs="Times New Roman" w:eastAsia="Times New Roman" w:hAnsi="Times New Roman"/>
          <w:sz w:val="16"/>
          <w:szCs w:val="16"/>
          <w:color w:val="auto"/>
        </w:rPr>
      </w:pPr>
    </w:p>
    <w:p>
      <w:pPr>
        <w:jc w:val="both"/>
        <w:ind w:left="566" w:hanging="566"/>
        <w:spacing w:after="0" w:line="253" w:lineRule="auto"/>
        <w:tabs>
          <w:tab w:leader="none" w:pos="56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6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 Refer to “Note 4—Investments at Fair Value”.</w:t>
      </w:r>
    </w:p>
    <w:p>
      <w:pPr>
        <w:spacing w:after="0" w:line="192"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2022, the investments noted had been placed on non-accrual status.</w:t>
      </w:r>
    </w:p>
    <w:p>
      <w:pPr>
        <w:spacing w:after="0" w:line="192"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192" w:lineRule="exact"/>
        <w:rPr>
          <w:rFonts w:ascii="Times New Roman" w:cs="Times New Roman" w:eastAsia="Times New Roman" w:hAnsi="Times New Roman"/>
          <w:sz w:val="16"/>
          <w:szCs w:val="16"/>
          <w:color w:val="auto"/>
        </w:rPr>
      </w:pPr>
    </w:p>
    <w:p>
      <w:pPr>
        <w:ind w:left="566" w:right="20" w:hanging="566"/>
        <w:spacing w:after="0" w:line="270" w:lineRule="auto"/>
        <w:tabs>
          <w:tab w:leader="none" w:pos="56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preferred shares of Residential Homes for Rent, LLC (d/b/a Second Avenue) are held through SuRo Capital Corp.’s wholly owned subsidiary, GSVC AV Holdings, Inc.</w:t>
      </w:r>
    </w:p>
    <w:p>
      <w:pPr>
        <w:spacing w:after="0" w:line="150" w:lineRule="exact"/>
        <w:rPr>
          <w:rFonts w:ascii="Times New Roman" w:cs="Times New Roman" w:eastAsia="Times New Roman" w:hAnsi="Times New Roman"/>
          <w:sz w:val="16"/>
          <w:szCs w:val="16"/>
          <w:color w:val="auto"/>
        </w:rPr>
      </w:pPr>
    </w:p>
    <w:p>
      <w:pPr>
        <w:jc w:val="both"/>
        <w:ind w:left="566" w:hanging="566"/>
        <w:spacing w:after="0" w:line="258" w:lineRule="auto"/>
        <w:tabs>
          <w:tab w:leader="none" w:pos="56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Commercial Streaming Solutions Inc. (d/b/a BettorView), YouBet Technology, Inc. (d/b/a FanPower), Rebric, Inc. (d/b/a Compliable), EDGE Markets, Inc., and Xgroup Holdings Limited (d/b/a Xpoint) are held through SuRo Capital Corp.’s wholly owned subsidiary, SuRo Capital Sports, LLC (“SuRo Sports”).</w:t>
      </w:r>
    </w:p>
    <w:p>
      <w:pPr>
        <w:spacing w:after="0" w:line="158" w:lineRule="exact"/>
        <w:rPr>
          <w:rFonts w:ascii="Times New Roman" w:cs="Times New Roman" w:eastAsia="Times New Roman" w:hAnsi="Times New Roman"/>
          <w:sz w:val="16"/>
          <w:szCs w:val="16"/>
          <w:color w:val="auto"/>
        </w:rPr>
      </w:pPr>
    </w:p>
    <w:p>
      <w:pPr>
        <w:ind w:left="566" w:right="20" w:hanging="566"/>
        <w:spacing w:after="0" w:line="270" w:lineRule="auto"/>
        <w:tabs>
          <w:tab w:leader="none" w:pos="56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True Global Ventures 4 Plus Pte Ltd are held through SuRo Capital Corp.’s wholly owned subsidiary, GSVC SVDS Holdings, Inc. As of December 31, 2022, $0.7 million of a $2.0 million capital commitment to True Global Ventures 4 Plus Fund LP had been called and funded.</w:t>
      </w:r>
    </w:p>
    <w:p>
      <w:pPr>
        <w:spacing w:after="0" w:line="150" w:lineRule="exact"/>
        <w:rPr>
          <w:rFonts w:ascii="Times New Roman" w:cs="Times New Roman" w:eastAsia="Times New Roman" w:hAnsi="Times New Roman"/>
          <w:sz w:val="16"/>
          <w:szCs w:val="16"/>
          <w:color w:val="auto"/>
        </w:rPr>
      </w:pPr>
    </w:p>
    <w:p>
      <w:pPr>
        <w:ind w:left="566" w:right="20" w:hanging="566"/>
        <w:spacing w:after="0" w:line="270" w:lineRule="auto"/>
        <w:tabs>
          <w:tab w:leader="none" w:pos="56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150" w:lineRule="exact"/>
        <w:rPr>
          <w:rFonts w:ascii="Times New Roman" w:cs="Times New Roman" w:eastAsia="Times New Roman" w:hAnsi="Times New Roman"/>
          <w:sz w:val="16"/>
          <w:szCs w:val="16"/>
          <w:color w:val="auto"/>
        </w:rPr>
      </w:pPr>
    </w:p>
    <w:p>
      <w:pPr>
        <w:jc w:val="both"/>
        <w:ind w:left="566" w:right="20" w:hanging="566"/>
        <w:spacing w:after="0" w:line="283" w:lineRule="auto"/>
        <w:tabs>
          <w:tab w:leader="none" w:pos="566"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42" w:lineRule="exact"/>
        <w:rPr>
          <w:rFonts w:ascii="Times New Roman" w:cs="Times New Roman" w:eastAsia="Times New Roman" w:hAnsi="Times New Roman"/>
          <w:sz w:val="15"/>
          <w:szCs w:val="15"/>
          <w:color w:val="auto"/>
        </w:rPr>
      </w:pPr>
    </w:p>
    <w:p>
      <w:pPr>
        <w:jc w:val="both"/>
        <w:ind w:left="566" w:hanging="566"/>
        <w:spacing w:after="0" w:line="258" w:lineRule="auto"/>
        <w:tabs>
          <w:tab w:leader="none" w:pos="56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2022, approximately $1.2 million has been received from Residential Homes for Rent, LLC (d/b/a Second Avenue) related to the 15% term loan due December 23, 2023. Of the proceeds received, approximately $1.0 million repaid a portion of the outstanding principal and the remaining was attributed to interest.</w:t>
      </w:r>
    </w:p>
    <w:p>
      <w:pPr>
        <w:spacing w:after="0" w:line="158" w:lineRule="exact"/>
        <w:rPr>
          <w:rFonts w:ascii="Times New Roman" w:cs="Times New Roman" w:eastAsia="Times New Roman" w:hAnsi="Times New Roman"/>
          <w:sz w:val="16"/>
          <w:szCs w:val="16"/>
          <w:color w:val="auto"/>
        </w:rPr>
      </w:pPr>
    </w:p>
    <w:p>
      <w:pPr>
        <w:ind w:left="566" w:right="20" w:hanging="566"/>
        <w:spacing w:after="0" w:line="270" w:lineRule="auto"/>
        <w:tabs>
          <w:tab w:leader="none" w:pos="56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50"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9, 2021, Fullbridge, Inc.’s obligations under its financing arrangements with the Company became past due.</w:t>
      </w:r>
    </w:p>
    <w:p>
      <w:pPr>
        <w:spacing w:after="0" w:line="192" w:lineRule="exact"/>
        <w:rPr>
          <w:rFonts w:ascii="Times New Roman" w:cs="Times New Roman" w:eastAsia="Times New Roman" w:hAnsi="Times New Roman"/>
          <w:sz w:val="16"/>
          <w:szCs w:val="16"/>
          <w:color w:val="auto"/>
        </w:rPr>
      </w:pPr>
    </w:p>
    <w:p>
      <w:pPr>
        <w:jc w:val="both"/>
        <w:ind w:left="566" w:hanging="566"/>
        <w:spacing w:after="0" w:line="249" w:lineRule="auto"/>
        <w:tabs>
          <w:tab w:leader="none" w:pos="56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22, 2022, Forge Global Holdings, Inc., completed its business combination with Motive Capital Corp. As a result of the transaction, each share of Forge Global, Inc.’s capital stock outstanding prior to the business combination was exchanged at the designated exchange ratio of approximately 3.123. In addition, each warrant of Forge Global, Inc. was exchanged into warrants exercisable into common stock based on the exchange ratio of 3.123. The exercise price of each converted warrant was determined by dividing the exercise price of the respective Forge Global, Inc. warrants by the exchange ratio, rounded to the nearest whole cent. On and effective August 5, 2022, SuRo Capital Corp. notified Forge Global, Inc. of its intent to net exercise via cashless settlement its 230,144 common warrants in Forge Global, Inc. into 53,283 shares of Forge Global, Inc.’s public common stock, pursuant to the net exercise formula in the warrant agreement. The exercise was effectuated on September 30, 2022.</w:t>
      </w:r>
    </w:p>
    <w:p>
      <w:pPr>
        <w:spacing w:after="0" w:line="16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1—NATURE OF OPERATIONS</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SuRo Capital Corp. (“we”, “us”, “our”, “Company” or “SuRo Capital”), formerly known as Sutter Rock Capital Corp. and as GSV Capital Corp. and formed in September 2010 as a Maryland corporation, is an internally 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64"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The Company’s date of inception was January 6, 2011, which is the date it commenced development stage activities. The Company’s common stock is currently listed on the Nasdaq Global Select Market under the symbol “SSSS” (formerly “GSVC”). Prior to November 24, 2021, the Company’s common stock traded on the Nasdaq Capital Market under the same symbol (“SSSS”). The Company began its investment operations during the second quarter of 2011.</w:t>
      </w:r>
    </w:p>
    <w:p>
      <w:pPr>
        <w:spacing w:after="0" w:line="159"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 table below displays the Company’s subsidiaries as of December 31, 2023, which, other than GSV Capital Lending, LLC (“GCL”) and SuRo Capital Sports, LLC,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 Significant Accounting Policies—</w:t>
      </w:r>
      <w:r>
        <w:rPr>
          <w:rFonts w:ascii="Times New Roman" w:cs="Times New Roman" w:eastAsia="Times New Roman" w:hAnsi="Times New Roman"/>
          <w:sz w:val="16"/>
          <w:szCs w:val="16"/>
          <w:i w:val="1"/>
          <w:iCs w:val="1"/>
          <w:color w:val="auto"/>
        </w:rPr>
        <w:t>Basis of Consolidation</w:t>
      </w:r>
      <w:r>
        <w:rPr>
          <w:rFonts w:ascii="Times New Roman" w:cs="Times New Roman" w:eastAsia="Times New Roman" w:hAnsi="Times New Roman"/>
          <w:sz w:val="16"/>
          <w:szCs w:val="16"/>
          <w:color w:val="auto"/>
        </w:rPr>
        <w:t>” below for further detail.</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Jurisdiction of</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Formation</w:t>
            </w: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Percentage</w:t>
            </w:r>
          </w:p>
        </w:tc>
      </w:tr>
      <w:tr>
        <w:trPr>
          <w:trHeight w:val="210"/>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24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Incorporation</w:t>
            </w:r>
          </w:p>
        </w:tc>
        <w:tc>
          <w:tcPr>
            <w:tcW w:w="22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2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40" w:type="dxa"/>
            <w:vAlign w:val="bottom"/>
            <w:tcBorders>
              <w:bottom w:val="single" w:sz="8" w:color="CCEEFF"/>
            </w:tcBorders>
          </w:tcPr>
          <w:p>
            <w:pPr>
              <w:spacing w:after="0"/>
              <w:rPr>
                <w:sz w:val="18"/>
                <w:szCs w:val="18"/>
                <w:color w:val="auto"/>
              </w:rPr>
            </w:pPr>
          </w:p>
        </w:tc>
      </w:tr>
      <w:tr>
        <w:trPr>
          <w:trHeight w:val="18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GCL</w:t>
            </w:r>
          </w:p>
        </w:tc>
        <w:tc>
          <w:tcPr>
            <w:tcW w:w="240" w:type="dxa"/>
            <w:vAlign w:val="bottom"/>
            <w:shd w:val="clear" w:color="auto" w:fill="CCEEFF"/>
          </w:tcPr>
          <w:p>
            <w:pPr>
              <w:spacing w:after="0"/>
              <w:rPr>
                <w:sz w:val="16"/>
                <w:szCs w:val="16"/>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220" w:type="dxa"/>
            <w:vAlign w:val="bottom"/>
            <w:shd w:val="clear" w:color="auto" w:fill="CCEEFF"/>
          </w:tcPr>
          <w:p>
            <w:pPr>
              <w:spacing w:after="0"/>
              <w:rPr>
                <w:sz w:val="16"/>
                <w:szCs w:val="16"/>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April 13, 2012</w:t>
            </w:r>
          </w:p>
        </w:tc>
        <w:tc>
          <w:tcPr>
            <w:tcW w:w="2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8"/>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SuRo Capital Sports, LLC (“SuRo Sports”)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Delaware</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March 19, 2021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70"/>
        </w:trPr>
        <w:tc>
          <w:tcPr>
            <w:tcW w:w="42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Subsidiaries below are referred to collectively as the</w:t>
            </w:r>
          </w:p>
        </w:tc>
        <w:tc>
          <w:tcPr>
            <w:tcW w:w="2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07"/>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“Taxable Subsidiaries”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88"/>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GSVC AE Holdings, Inc. (“GAE”)</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Delaware</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November 28, 2012</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8"/>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GSVC AV Holdings, Inc. (“GAV”)</w:t>
            </w: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Delaware</w:t>
            </w: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November 28, 2012</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8"/>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GSVC SW Holdings, Inc. (“GSW”)</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Delaware</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November 28, 2012</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88"/>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GSVC SVDS Holdings, Inc. (“SVDS”)</w:t>
            </w: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Delaware</w:t>
            </w:r>
          </w:p>
        </w:tc>
        <w:tc>
          <w:tcPr>
            <w:tcW w:w="24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August 13, 2013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bl>
    <w:p>
      <w:pPr>
        <w:spacing w:after="0" w:line="172"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 capital-backed emerging companies. The Company may invest in these portfolio companies through offerings of the prospective portfolio companies, transactions on secondary marketplaces for private companies, or negotiations with selling stockholders. In addition, the Company may invest in private credit and in founders equity, founders warrants, forward purchase agreements, and private investment in public equity transactions of special purpose acquisition companies (“SPACs”). The Company may also invest on an opportunistic basis in select publicly traded equity securities or certain non-U.S. companies that otherwise meet its investment criteria, subject to any applicable limitations under the 1940 Act.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2—SIGNIFICANT ACCOUNTING POLICIES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19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 xml:space="preserve">The consolidated financial statements of the Company are prepared on the accrual basis of accounting in conformity with U.S. generally accepted accounting principles (“GAAP”) and pursuant to the requirements for reporting on Form 10-K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6"/>
          <w:szCs w:val="16"/>
          <w:i w:val="1"/>
          <w:iCs w:val="1"/>
          <w:color w:val="auto"/>
        </w:rPr>
        <w:t>Financial Services—Investment Companies</w:t>
      </w:r>
      <w:r>
        <w:rPr>
          <w:rFonts w:ascii="Times New Roman" w:cs="Times New Roman" w:eastAsia="Times New Roman" w:hAnsi="Times New Roman"/>
          <w:sz w:val="16"/>
          <w:szCs w:val="16"/>
          <w:color w:val="auto"/>
        </w:rPr>
        <w:t>. In the opinion of management, all adjustments, all of which were of a normal recurring nature, were considered necessary for the fair presentation of consolidated financial statements for the period have been included.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Consolidation</w:t>
      </w:r>
    </w:p>
    <w:p>
      <w:pPr>
        <w:spacing w:after="0" w:line="19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Consolidated Financial Statements include its accounts and the accounts of the Taxable Subsidiaries, GCL, and SuRo Sports, its wholly owned subsidiaries. All intercompany balances and transactions have been eliminated in consolidation.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The preparation of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may occur in the near term. The Company’s estimates are inherently subjective in nature and actual results could differ materially from such estimates.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Uncertainties and Risk Factors</w:t>
      </w:r>
    </w:p>
    <w:p>
      <w:pPr>
        <w:spacing w:after="0" w:line="194"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The Company is subject to a number of risks and uncertainties in the nature of its operations, as well as vulnerability due to certain concentrations. Refer to “Risk Factors” in Part I, Item 1A of this Form 10-K for a detailed discussion of the risks and uncertainties inherent in the nature of the Company’s operations. Refer to “Note 4—Investments at Fair Value” for an overview of the Company’s industry and geographic concentrations.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 at Fair Value</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50"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62"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b w:val="1"/>
          <w:bCs w:val="1"/>
          <w:color w:val="auto"/>
        </w:rPr>
        <w:t>Level 1</w:t>
      </w:r>
      <w:r>
        <w:rPr>
          <w:rFonts w:ascii="Times New Roman" w:cs="Times New Roman" w:eastAsia="Times New Roman" w:hAnsi="Times New Roman"/>
          <w:sz w:val="16"/>
          <w:szCs w:val="16"/>
          <w:color w:val="auto"/>
        </w:rPr>
        <w:t>—Valuations based on unadjusted quoted prices for identical assets or liabilities in an active market that the Company has the ability to access at the measurement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date.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b w:val="1"/>
          <w:bCs w:val="1"/>
          <w:color w:val="auto"/>
        </w:rPr>
        <w:t>Level 2</w:t>
      </w:r>
      <w:r>
        <w:rPr>
          <w:rFonts w:ascii="Times New Roman" w:cs="Times New Roman" w:eastAsia="Times New Roman" w:hAnsi="Times New Roman"/>
          <w:sz w:val="16"/>
          <w:szCs w:val="16"/>
          <w:color w:val="auto"/>
        </w:rPr>
        <w:t>—Valuations based on observable inputs other than Level 1 prices, such as quoted prices for similar assets or liabilities; quoted prices in markets that are not active;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inputs that are observable or can be corroborated by observable market data at the measurement date for substantially the full term of the assets or liabilities.</w:t>
      </w:r>
    </w:p>
    <w:p>
      <w:pPr>
        <w:spacing w:after="0" w:line="146"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b w:val="1"/>
          <w:bCs w:val="1"/>
          <w:color w:val="auto"/>
        </w:rPr>
        <w:t>Level 3</w:t>
      </w:r>
      <w:r>
        <w:rPr>
          <w:rFonts w:ascii="Times New Roman" w:cs="Times New Roman" w:eastAsia="Times New Roman" w:hAnsi="Times New Roman"/>
          <w:sz w:val="16"/>
          <w:szCs w:val="16"/>
          <w:color w:val="auto"/>
        </w:rPr>
        <w:t>—Valuations based on unobservable inputs that reflect management’s best estimate of what market participants would use in pricing the asset or liability 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59"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6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6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6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Securities for which reliable market quotations are not readily available or for which the pricing source does not provide a valuation or methodology, or provides a valuation or methodology that, in the judgment of management, the Company’s Board of Directors or the valuation committee of the Company’s Board of Directors (the “Valuation Committee”), does not reliably represent fair value, shall each be valued as follows:</w:t>
      </w:r>
    </w:p>
    <w:p>
      <w:pPr>
        <w:spacing w:after="0" w:line="159" w:lineRule="exact"/>
        <w:rPr>
          <w:sz w:val="20"/>
          <w:szCs w:val="20"/>
          <w:color w:val="auto"/>
        </w:rPr>
      </w:pPr>
    </w:p>
    <w:p>
      <w:pPr>
        <w:ind w:left="560" w:right="20" w:hanging="284"/>
        <w:spacing w:after="0" w:line="270" w:lineRule="auto"/>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valuation process begins with each portfolio company or investment being initially valued by the internal investment professionals responsible for the portfolio investment;</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Preliminary valuation estimates are then documented and discussed with senior management;</w:t>
      </w:r>
    </w:p>
    <w:p>
      <w:pPr>
        <w:spacing w:after="0" w:line="192"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p>
      <w:pPr>
        <w:spacing w:after="0" w:line="150" w:lineRule="exact"/>
        <w:rPr>
          <w:rFonts w:ascii="Times New Roman" w:cs="Times New Roman" w:eastAsia="Times New Roman" w:hAnsi="Times New Roman"/>
          <w:sz w:val="16"/>
          <w:szCs w:val="16"/>
          <w:color w:val="auto"/>
        </w:rPr>
      </w:pPr>
    </w:p>
    <w:p>
      <w:pPr>
        <w:jc w:val="both"/>
        <w:ind w:left="560" w:hanging="284"/>
        <w:spacing w:after="0" w:line="258" w:lineRule="auto"/>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Valuation Committee applies the appropriate valuation methodology to each portfolio asset in a consistent manner, considers the inputs provided by management and the independent third-party valuation firm, discusses the valuations and recommends to the Company’s Board of Directors a fair value for each investment in the portfolio; and</w:t>
      </w:r>
    </w:p>
    <w:p>
      <w:pPr>
        <w:spacing w:after="0" w:line="158"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Board of Directors then discusses the valuations recommended by the Valuation Committee and determines in good faith the fair value of each investment in the portfolio.</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7"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In making a good faith determination of the fair value of investments, the Board of Directors applies valuation methodologies consistent with industry practice. Valuation methods utilized include, but are not limited to, the following: comparisons to prices from secondary market transactions; venture capital financings; public offerings; purchase or sales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assist the Board of Directors in determining the fair value of each investment.</w:t>
      </w:r>
    </w:p>
    <w:p>
      <w:pPr>
        <w:spacing w:after="0" w:line="16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6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 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6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Board of Directors applies the appropriate respective valuation methodology for the asset class or portfolio holding, which may involve analyzing the relevant portfolio company’s most recently available historical and projected financial results, public market comparables, and other factors. The Board of Directors may also consider other events, including the transaction in which the Company acquired its securities, subsequent equity sales by the portfolio company, and mergers or acquisitions affecting the portfolio company. In addition, the Board of Directors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68"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 determining the fair value of equity or equity-linked securities (including simple agreement for future equity (“SAFE”) notes and warrants to purchase common or preferred stock) in a portfolio company, the Board of Directors considers the rights, preferences and limitations of such securities. In cases where a portfolio company’s capital structure includes multiple classes of preferred and common stock and equity-linked securities with different rights and preferences, the Board of Directors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Consolidated Statements of Operations and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Consolidated Statements of Cash Flows.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Investments</w:t>
      </w:r>
    </w:p>
    <w:p>
      <w:pPr>
        <w:spacing w:after="0" w:line="196"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Given the nature of the Company’s current debt investments (excluding U.S. Treasuries), principally convertible and promissory notes issued by venture 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in good faith by the Company’s Board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Options</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The Company’s Board of Directors determines the fair value of options based on methodologies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in good faith by the Company’s Board of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Special Purpose Acquisition Companies</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 Company’s Board of Directors measures its SPAC sponsor investments at fair value, which is equivalent to cost until a SPAC transaction is announced. After a SPAC transaction is announced, the Company’s Board of Directors will determine the fair value of SPAC investments based on fair value analyses that can include option pricing models, probability-weighted expected return method analyses and other techniques as deemed appropriate. Upon completion of the SPAC transaction, the Board of Directors utilizes the public share price of the entity, less a DLOM if there are restrictions on selling. The Company’s SPAC investments are valued at estimated fair value as determined in good faith by the Company’s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Venture Investment Funds</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In valuing the Company’s investments in venture investment funds (“Venture Investment Funds”), the Company applies the practical expedient provided by the ASC Topic 820 relating to investments in certain entities that calculate net asset value (“NAV”) per share (or its equivalent). ASC Topic 820 permits an entity holding investments in certain entities that either are investment companies, or have attributes similar to an investment company, and calculate NAV per share or its equivalent for which the fair value is not readily determinable, to measure the fair value of such investments on the basis of that NAV per share, or its equivalent, without adjustment.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Company Investment Classification</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Company is a non-diversified company within the meaning of the 1940 Act. The Company classifies its investments by level of control. As defined in the 1940 Act, control investments are those where the investor retains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Consolidated Schedules of Investments as of December 31, 2023 and December 31, 2022 for details regarding the nature and composition of the Company’s investment portfolio.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Levelling Policy</w:t>
      </w:r>
    </w:p>
    <w:p>
      <w:pPr>
        <w:spacing w:after="0" w:line="19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Transactions</w:t>
      </w:r>
    </w:p>
    <w:p>
      <w:pPr>
        <w:spacing w:after="0" w:line="192"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Valuation of Other Financial Instruments</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carrying amounts of the Company’s other, non-investment financial instruments, consisting of cash, receivables, accounts payable, and accrued expenses, approximate fair value due to their short-term nature.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w:t>
      </w:r>
    </w:p>
    <w:p>
      <w:pPr>
        <w:spacing w:after="0" w:line="196"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The Company custodies its cash with Western Alliance Trust Company, N.A., and may place cash in demand deposit accounts with other high-quality financial institutions. The cash held in these accounts may exceed the Federal Deposit Insurance Corporation insured limit. The Company believes the risk of loss associated with any uninsured balance is remote.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Escrow Proceeds Receivable</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 (losses) on investments in the Consolidated Statements of Operations for the period in which they occurred and are adjusted as needed. Any remaining escrow proceeds balances from these transactions reasonably expected to be received are reflected on the Consolidated Statement of Assets and Liabilities as escrow proceeds receivable. Escrow proceeds receivable resulting from contingent consideration are to be recognized when the amount of the contingent consideration becomes realized or realizable. As of December 31, 2023 and December 31, 2022, the Company had $309,293 and $628,332, respectively, in escrow proceeds receivable.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Financing Costs</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December 31, 2023 and December 31, 2022, the Company had deferred financing costs of $594,726 and $555,761, respectively, on the Consolidated Statement of Assets and Liabilities.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 &amp; Related Deposits</w:t>
      </w:r>
    </w:p>
    <w:p>
      <w:pPr>
        <w:spacing w:after="0" w:line="19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 xml:space="preserve">The Company accounts for its operating leases as prescribed by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Times New Roman" w:cs="Times New Roman" w:eastAsia="Times New Roman" w:hAnsi="Times New Roman"/>
          <w:sz w:val="16"/>
          <w:szCs w:val="16"/>
          <w:i w:val="1"/>
          <w:iCs w:val="1"/>
          <w:color w:val="auto"/>
        </w:rPr>
        <w:t>Operating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Leases and Related Deposits</w:t>
      </w:r>
      <w:r>
        <w:rPr>
          <w:rFonts w:ascii="Times New Roman" w:cs="Times New Roman" w:eastAsia="Times New Roman" w:hAnsi="Times New Roman"/>
          <w:sz w:val="16"/>
          <w:szCs w:val="16"/>
          <w:color w:val="auto"/>
        </w:rPr>
        <w:t>” for further detail.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94"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 xml:space="preserve">Using the fair value recognition provisions as prescribed by ASC 718, </w:t>
      </w:r>
      <w:r>
        <w:rPr>
          <w:rFonts w:ascii="Times New Roman" w:cs="Times New Roman" w:eastAsia="Times New Roman" w:hAnsi="Times New Roman"/>
          <w:sz w:val="16"/>
          <w:szCs w:val="16"/>
          <w:i w:val="1"/>
          <w:iCs w:val="1"/>
          <w:color w:val="auto"/>
        </w:rPr>
        <w:t>Stock Compensation</w:t>
      </w:r>
      <w:r>
        <w:rPr>
          <w:rFonts w:ascii="Times New Roman" w:cs="Times New Roman" w:eastAsia="Times New Roman" w:hAnsi="Times New Roman"/>
          <w:sz w:val="16"/>
          <w:szCs w:val="16"/>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the Company’s stock price. Differences between actual results and these estimates could have a material effect on the Company’s financial results. Forfeitures are accounted for as they occur. Refer to “Note 11—Stock-Based Compensation” for further detail.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Transaction Costs and Escrow Deposits</w:t>
      </w:r>
    </w:p>
    <w:p>
      <w:pPr>
        <w:spacing w:after="0" w:line="19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Consolidated Statement of Assets and Liabilities as escrow deposits. As of December 31, 2023 and December 31, 2022, the Company had no escrow deposits.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Unrealized Appreciation or Depreciation of Investments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Unrealized appreciation or depreciation is calculated as the difference between the fair value of the investment and the cost basis of such investment.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Federal and State Income Taxes</w:t>
      </w:r>
    </w:p>
    <w:p>
      <w:pPr>
        <w:spacing w:after="0" w:line="194"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The Company elected to be treated as a RIC under Subchapter M of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the sum of 90% of its investment company taxable income (“ICTI”), including payment-in-kind interest income, as defined by the Code, and 90% of its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7"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If the Company meets the Annual Distribution Requirement, but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68"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166"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9—Income Taxes” for further details.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 Share Information</w:t>
      </w:r>
    </w:p>
    <w:p>
      <w:pPr>
        <w:spacing w:after="0" w:line="19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w:t>
      </w:r>
      <w:r>
        <w:rPr>
          <w:rFonts w:ascii="Times New Roman" w:cs="Times New Roman" w:eastAsia="Times New Roman" w:hAnsi="Times New Roman"/>
          <w:sz w:val="16"/>
          <w:szCs w:val="16"/>
          <w:i w:val="1"/>
          <w:iCs w:val="1"/>
          <w:color w:val="auto"/>
        </w:rPr>
        <w:t>, Earnings Per Share</w:t>
      </w:r>
      <w:r>
        <w:rPr>
          <w:rFonts w:ascii="Times New Roman" w:cs="Times New Roman" w:eastAsia="Times New Roman" w:hAnsi="Times New Roman"/>
          <w:sz w:val="16"/>
          <w:szCs w:val="16"/>
          <w:color w:val="auto"/>
        </w:rPr>
        <w:t xml:space="preserve"> (“ASC 260”) to determine the number of potentially dilutive shares outstanding. Refer to “Note 6—Net Increase in Net Assets Resulting from Operations per Common Share—Basic and Diluted” for further detail.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Standards</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In June 2022, the FASB issued ASU No. 2022-03, “Fair Value Measurements (Topic 820): Fair Value Measurement of Equity Securities Subject to Contractual Sale Restrictions.” This change prohibits entities from taking into account contractual restrictions on the sale of equity securities when estimating fair value and introduces required disclosures for such transactions. The standard is effective for annual periods beginning after December 15, 2023, and should be applied prospectively. Early adoption is permitted. The adoption of ASU 2022-03 is not expected to have a material impact on the Company’s future financial statements.</w:t>
      </w:r>
    </w:p>
    <w:p>
      <w:pPr>
        <w:spacing w:after="0" w:line="164"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In December 2023, the FASB issued ASU 2023-09, “Improvements to Income Tax Disclosures.” The amendments in this update require more disaggregated information on income taxes paid. The standard is effective for annual periods beginning after December 15, 2024. Early adoption is permitted; however, the Company has not elected to adopt this provision as of the date of the financial statements contained in this Annual Report on Form 10-K. The Company is still assessing the impact of the new guidance. However, it does not expect ASU 2023-09 to have a material impact on the Consolidated Financial Statements and the notes thereto.</w:t>
      </w:r>
    </w:p>
    <w:p>
      <w:pPr>
        <w:spacing w:after="0" w:line="164"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3—RELATED-PARTY ARRANGEMENTS</w:t>
      </w:r>
    </w:p>
    <w:p>
      <w:pPr>
        <w:spacing w:after="0" w:line="194"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59"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64"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6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Company’s investment in Churchill Sponsor VI LLC, the sponsor of Churchill Capital Corp. VI, a SPAC, constituted a “remote-affiliate” transaction for purposes of the 1940 Act in light of the fact that Mark D. Klein, the Company’s Chairman, Chief Executive Officer and President, has a non-controlling interest in the entity that controlled Churchill Sponsor VI LLC, and was a non-controlling member of the board of directors of Churchill Capital Corp. VI. In addition, Mr. Klein’s brother, Michael Klein, was a control person of such Churchill entities. On November 17, 2023, Churchill Capital Corp. VI announced that it would not consummate an initial business combination within the time period required by its Amended and Restated Certificate of Incorporation, as amended, and the Company realized a loss on the entirety of its Churchill Sponsor VI LLC common share units and warrant units in the amount of $200,000.</w:t>
      </w:r>
    </w:p>
    <w:p>
      <w:pPr>
        <w:spacing w:after="0" w:line="16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The Company’s investment in Churchill Sponsor VII LLC, the sponsor of Churchill Capital Corp. VII, a SPAC, constituted a “remote-affiliate” transaction for purposes of the 1940 Act in light of the fact that Mark D. Klein, the Company’s Chairman, Chief Executive Officer and President, has a non-controlling interest in the entity that controls Churchill Sponsor VII LLC, and is a non-controlling member of the board of directors of Churchill Capital Corp. VII. In addition, Mr. Klein’s brother, Michael Klein, is a control person of such Churchill entities. As of December 31, 2023, the fair value of the Company’s investment in Churchill Sponsor VII LLC was $363,026.</w:t>
      </w:r>
    </w:p>
    <w:p>
      <w:pPr>
        <w:spacing w:after="0" w:line="16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 Company’s investment in Skillsoft Corp. (f/k/a Software Luxembourg Holding S.A.) (“Skillsoft”) constituted a “remote-affiliate” transaction for purposes of the 1940 Act in light of the fact that Mr. Klein has a non-controlling interest in the entity that controlled Churchill Sponsor II LLC, the sponsor of Churchill Capital Corp. II, a SPAC, and was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was a control person of such Churchill entities. As of December 31, 2023, the fair value of the Company’s investment in Skillsoft Corp. was $863,037.</w:t>
      </w:r>
    </w:p>
    <w:p>
      <w:pPr>
        <w:spacing w:after="0" w:line="16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The Company’s initial investment in Shogun Enterprises, Inc. (d/b/a Hearth) on February 26, 2021 constituted a “remote-affiliate” transaction for purposes of the 1940 Act in light of the fact that Keri Findley, a former senior managing director of the Company until her departure on March 9, 2022, was at the time of investment a non-controlling member of the board of directors of Shogun Enterprises, Inc., and held a minority equity interest in such portfolio company. The Company’s investment in Architect Capital PayJoy SPV, LLC also constituted a “remote-affiliate” transaction for purposes of the 1940 Act in light of the fact that Ms. Findley, at the time of investment, was a non-controlling member of the board of directors of the investment manager to Architect Capital PayJoy SPV, LLC, and held a minority equity interest in such investment manager. As of December 31, 2023, the fair values of the Company’s remote-affiliate investments in Shogun Enterprises, Inc. (d/b/a Hearth) and Architect Capital PayJoy SPV, LLC were $7,083,557 and $10,000,000, respectively.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7"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In addition, Ms. Findley and Claire Councill, a former investment professional of the Company until her departure on April 15, 2022, were non-controlling members of the board of directors of Colombier Acquisition Corp., a SPAC, which was sponsored by Colombier Sponsor LLC, one of the Company’s portfolio companies until its dissolution upon completion of Colombier Acquisition Corp.’s business combination into PSQ Holdings, Inc. (d/b/a PublicSquare). The Company’s investment in AltC Sponsor LLC, the sponsor of AltC Acquisition Corp, a SPAC, constituted a “remote-affiliate” transaction for purposes of the 1940 Act in light of the fact that Mr. Klein has a non-controlling interest in one of the entities that controls AltC Sponsor LLC, and Allison Green, the Company’s Chief Financial Officer, Chief Compliance Officer, Treasurer and Secretary, is a non-controlling member of the board of directors of AltC Acquisition Corp. As of December 31, 2023, the fair values of the Company’s aggregate investments in each of PSQ Holdings, Inc. (d/b/a PublicSquare) and AltC Sponsor LLC were $10,507,136 and $935,391,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4—INVESTMENTS AT FAIR VALUE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Portfolio Composition</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December 31, 2023, the Company had 63 positions in 38 portfolio companies. As of December 31, 2022, the Company had 64 positions in 39 portfolio companies.</w:t>
      </w:r>
    </w:p>
    <w:p>
      <w:pPr>
        <w:spacing w:after="0" w:line="164" w:lineRule="exact"/>
        <w:rPr>
          <w:sz w:val="20"/>
          <w:szCs w:val="20"/>
          <w:color w:val="auto"/>
        </w:rPr>
      </w:pPr>
    </w:p>
    <w:p>
      <w:pPr>
        <w:jc w:val="both"/>
        <w:ind w:right="20" w:firstLine="282"/>
        <w:spacing w:after="0" w:line="255" w:lineRule="auto"/>
        <w:rPr>
          <w:sz w:val="20"/>
          <w:szCs w:val="20"/>
          <w:color w:val="auto"/>
        </w:rPr>
      </w:pPr>
      <w:r>
        <w:rPr>
          <w:rFonts w:ascii="Times New Roman" w:cs="Times New Roman" w:eastAsia="Times New Roman" w:hAnsi="Times New Roman"/>
          <w:sz w:val="16"/>
          <w:szCs w:val="16"/>
          <w:color w:val="auto"/>
        </w:rPr>
        <w:t>The following tables summarize the composition of the Company’s investment portfolio by security type at cost and fair value as of December 31, 2023 and December 31,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1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70"/>
        </w:trPr>
        <w:tc>
          <w:tcPr>
            <w:tcW w:w="3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62"/>
              <w:spacing w:after="0" w:line="170"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82"/>
              <w:spacing w:after="0" w:line="170"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40" w:type="dxa"/>
            <w:vAlign w:val="bottom"/>
          </w:tcPr>
          <w:p>
            <w:pPr>
              <w:spacing w:after="0"/>
              <w:rPr>
                <w:sz w:val="14"/>
                <w:szCs w:val="14"/>
                <w:color w:val="auto"/>
              </w:rPr>
            </w:pPr>
          </w:p>
        </w:tc>
      </w:tr>
      <w:tr>
        <w:trPr>
          <w:trHeight w:val="210"/>
        </w:trPr>
        <w:tc>
          <w:tcPr>
            <w:tcW w:w="352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60" w:type="dxa"/>
            <w:vAlign w:val="bottom"/>
            <w:gridSpan w:val="2"/>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80" w:type="dxa"/>
            <w:vAlign w:val="bottom"/>
          </w:tcPr>
          <w:p>
            <w:pPr>
              <w:spacing w:after="0"/>
              <w:rPr>
                <w:sz w:val="18"/>
                <w:szCs w:val="18"/>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6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188"/>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188"/>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Stock</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5"/>
              </w:rPr>
              <w:t>$ 107,209,010</w:t>
            </w: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$ 122,744,564</w:t>
            </w:r>
          </w:p>
        </w:tc>
        <w:tc>
          <w:tcPr>
            <w:tcW w:w="80" w:type="dxa"/>
            <w:vAlign w:val="bottom"/>
          </w:tcPr>
          <w:p>
            <w:pPr>
              <w:spacing w:after="0"/>
              <w:rPr>
                <w:sz w:val="16"/>
                <w:szCs w:val="16"/>
                <w:color w:val="auto"/>
              </w:rPr>
            </w:pPr>
          </w:p>
        </w:tc>
        <w:tc>
          <w:tcPr>
            <w:tcW w:w="13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60.4%</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$ 118,472,118</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$ 117,214,465</w:t>
            </w:r>
          </w:p>
        </w:tc>
        <w:tc>
          <w:tcPr>
            <w:tcW w:w="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188"/>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73,003,835</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39,086,792</w:t>
            </w: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19.2%</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50,601,512</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18,692,931</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188"/>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Debt Investments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5,146,349</w:t>
            </w: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3,098,734</w:t>
            </w:r>
          </w:p>
        </w:tc>
        <w:tc>
          <w:tcPr>
            <w:tcW w:w="80" w:type="dxa"/>
            <w:vAlign w:val="bottom"/>
          </w:tcPr>
          <w:p>
            <w:pPr>
              <w:spacing w:after="0"/>
              <w:rPr>
                <w:sz w:val="16"/>
                <w:szCs w:val="16"/>
                <w:color w:val="auto"/>
              </w:rPr>
            </w:pPr>
          </w:p>
        </w:tc>
        <w:tc>
          <w:tcPr>
            <w:tcW w:w="13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1.5%</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6,316,466</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4,488,200</w:t>
            </w:r>
          </w:p>
        </w:tc>
        <w:tc>
          <w:tcPr>
            <w:tcW w:w="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20"/>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12,057,878</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3,638,161</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11,415,787</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3,469,497</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175"/>
        </w:trPr>
        <w:tc>
          <w:tcPr>
            <w:tcW w:w="3520" w:type="dxa"/>
            <w:vAlign w:val="bottom"/>
            <w:tcBorders>
              <w:top w:val="single" w:sz="8" w:color="CCEEFF"/>
              <w:bottom w:val="single" w:sz="8" w:color="CCEEFF"/>
            </w:tcBorders>
          </w:tcPr>
          <w:p>
            <w:pPr>
              <w:ind w:left="160"/>
              <w:spacing w:after="0" w:line="171" w:lineRule="exact"/>
              <w:rPr>
                <w:sz w:val="20"/>
                <w:szCs w:val="20"/>
                <w:color w:val="auto"/>
              </w:rPr>
            </w:pPr>
            <w:r>
              <w:rPr>
                <w:rFonts w:ascii="Times New Roman" w:cs="Times New Roman" w:eastAsia="Times New Roman" w:hAnsi="Times New Roman"/>
                <w:sz w:val="16"/>
                <w:szCs w:val="16"/>
                <w:b w:val="1"/>
                <w:bCs w:val="1"/>
                <w:color w:val="auto"/>
              </w:rPr>
              <w:t>Total Private Portfolio Companies</w:t>
            </w:r>
          </w:p>
        </w:tc>
        <w:tc>
          <w:tcPr>
            <w:tcW w:w="9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197,417,072</w:t>
            </w:r>
          </w:p>
        </w:tc>
        <w:tc>
          <w:tcPr>
            <w:tcW w:w="14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168,568,251</w:t>
            </w:r>
          </w:p>
        </w:tc>
        <w:tc>
          <w:tcPr>
            <w:tcW w:w="3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82.9</w:t>
            </w:r>
          </w:p>
        </w:tc>
        <w:tc>
          <w:tcPr>
            <w:tcW w:w="240" w:type="dxa"/>
            <w:vAlign w:val="bottom"/>
            <w:tcBorders>
              <w:top w:val="single" w:sz="8" w:color="CCEEFF"/>
              <w:bottom w:val="single" w:sz="8" w:color="CCEEFF"/>
            </w:tcBorders>
          </w:tcPr>
          <w:p>
            <w:pPr>
              <w:jc w:val="right"/>
              <w:ind w:right="22"/>
              <w:spacing w:after="0" w:line="171" w:lineRule="exact"/>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186,805,883</w:t>
            </w:r>
          </w:p>
        </w:tc>
        <w:tc>
          <w:tcPr>
            <w:tcW w:w="14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143,865,093</w:t>
            </w:r>
          </w:p>
        </w:tc>
        <w:tc>
          <w:tcPr>
            <w:tcW w:w="3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68.5</w:t>
            </w:r>
          </w:p>
        </w:tc>
        <w:tc>
          <w:tcPr>
            <w:tcW w:w="140" w:type="dxa"/>
            <w:vAlign w:val="bottom"/>
            <w:tcBorders>
              <w:top w:val="single" w:sz="8" w:color="CCEEFF"/>
              <w:bottom w:val="single" w:sz="8" w:color="CCEEFF"/>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r>
      <w:tr>
        <w:trPr>
          <w:trHeight w:val="18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3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14,095,473</w:t>
            </w: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13,548,248</w:t>
            </w:r>
          </w:p>
        </w:tc>
        <w:tc>
          <w:tcPr>
            <w:tcW w:w="80" w:type="dxa"/>
            <w:vAlign w:val="bottom"/>
          </w:tcPr>
          <w:p>
            <w:pPr>
              <w:spacing w:after="0"/>
              <w:rPr>
                <w:sz w:val="16"/>
                <w:szCs w:val="16"/>
                <w:color w:val="auto"/>
              </w:rPr>
            </w:pPr>
          </w:p>
        </w:tc>
        <w:tc>
          <w:tcPr>
            <w:tcW w:w="136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6.7%</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29,322,625</w:t>
            </w: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13,323,485</w:t>
            </w:r>
          </w:p>
        </w:tc>
        <w:tc>
          <w:tcPr>
            <w:tcW w:w="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20"/>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1,028,653</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1,964,750</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5"/>
        </w:trPr>
        <w:tc>
          <w:tcPr>
            <w:tcW w:w="3520" w:type="dxa"/>
            <w:vAlign w:val="bottom"/>
            <w:tcBorders>
              <w:top w:val="single" w:sz="8" w:color="CCEEFF"/>
              <w:bottom w:val="single" w:sz="8" w:color="CCEEFF"/>
            </w:tcBorders>
          </w:tcPr>
          <w:p>
            <w:pPr>
              <w:ind w:left="160"/>
              <w:spacing w:after="0" w:line="171" w:lineRule="exact"/>
              <w:rPr>
                <w:sz w:val="20"/>
                <w:szCs w:val="20"/>
                <w:color w:val="auto"/>
              </w:rPr>
            </w:pPr>
            <w:r>
              <w:rPr>
                <w:rFonts w:ascii="Times New Roman" w:cs="Times New Roman" w:eastAsia="Times New Roman" w:hAnsi="Times New Roman"/>
                <w:sz w:val="16"/>
                <w:szCs w:val="16"/>
                <w:b w:val="1"/>
                <w:bCs w:val="1"/>
                <w:color w:val="auto"/>
              </w:rPr>
              <w:t>Total Publicly Traded Portfolio Companies</w:t>
            </w:r>
          </w:p>
        </w:tc>
        <w:tc>
          <w:tcPr>
            <w:tcW w:w="9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15,124,126</w:t>
            </w:r>
          </w:p>
        </w:tc>
        <w:tc>
          <w:tcPr>
            <w:tcW w:w="14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15,512,998</w:t>
            </w:r>
          </w:p>
        </w:tc>
        <w:tc>
          <w:tcPr>
            <w:tcW w:w="3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7.7</w:t>
            </w:r>
          </w:p>
        </w:tc>
        <w:tc>
          <w:tcPr>
            <w:tcW w:w="240" w:type="dxa"/>
            <w:vAlign w:val="bottom"/>
            <w:tcBorders>
              <w:top w:val="single" w:sz="8" w:color="CCEEFF"/>
              <w:bottom w:val="single" w:sz="8" w:color="CCEEFF"/>
            </w:tcBorders>
          </w:tcPr>
          <w:p>
            <w:pPr>
              <w:jc w:val="right"/>
              <w:ind w:right="22"/>
              <w:spacing w:after="0" w:line="171" w:lineRule="exact"/>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29,322,625</w:t>
            </w:r>
          </w:p>
        </w:tc>
        <w:tc>
          <w:tcPr>
            <w:tcW w:w="14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CCEEFF"/>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13,323,485</w:t>
            </w:r>
          </w:p>
        </w:tc>
        <w:tc>
          <w:tcPr>
            <w:tcW w:w="3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6.3</w:t>
            </w:r>
          </w:p>
        </w:tc>
        <w:tc>
          <w:tcPr>
            <w:tcW w:w="140" w:type="dxa"/>
            <w:vAlign w:val="bottom"/>
            <w:tcBorders>
              <w:top w:val="single" w:sz="8" w:color="CCEEFF"/>
              <w:bottom w:val="single" w:sz="8" w:color="CCEEFF"/>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r>
      <w:tr>
        <w:trPr>
          <w:trHeight w:val="208"/>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Portfolio Investments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212,541,198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184,081,249</w:t>
            </w: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2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216,128,508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157,188,578</w:t>
            </w: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72"/>
        </w:trPr>
        <w:tc>
          <w:tcPr>
            <w:tcW w:w="352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Non-Portfolio Investments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20"/>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U.S. Treasury Bills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63,792,704</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63,810,855</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31.4%</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84,999,598</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85,056,817</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183"/>
        </w:trPr>
        <w:tc>
          <w:tcPr>
            <w:tcW w:w="3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$ 276,333,902</w:t>
            </w: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$ 247,892,104</w:t>
            </w:r>
          </w:p>
        </w:tc>
        <w:tc>
          <w:tcPr>
            <w:tcW w:w="32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240" w:type="dxa"/>
            <w:vAlign w:val="bottom"/>
            <w:tcBorders>
              <w:top w:val="single" w:sz="8" w:color="CCEEFF"/>
            </w:tcBorders>
          </w:tcPr>
          <w:p>
            <w:pPr>
              <w:jc w:val="right"/>
              <w:ind w:right="22"/>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$ 301,128,106</w:t>
            </w: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$ 242,245,395</w:t>
            </w:r>
          </w:p>
        </w:tc>
        <w:tc>
          <w:tcPr>
            <w:tcW w:w="32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5"/>
        </w:trPr>
        <w:tc>
          <w:tcPr>
            <w:tcW w:w="3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17"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geographic and industrial compositions of the Company’s portfolio at fair value as of December 31, 2023 and December 31, 2022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w w:val="99"/>
              </w:rPr>
              <w:t>As of December 31, 2023</w:t>
            </w:r>
          </w:p>
        </w:tc>
        <w:tc>
          <w:tcPr>
            <w:tcW w:w="11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70"/>
        </w:trPr>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3"/>
          </w:tcPr>
          <w:p>
            <w:pPr>
              <w:jc w:val="center"/>
              <w:ind w:right="440"/>
              <w:spacing w:after="0" w:line="170" w:lineRule="exact"/>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1120" w:type="dxa"/>
            <w:vAlign w:val="bottom"/>
          </w:tcPr>
          <w:p>
            <w:pPr>
              <w:jc w:val="right"/>
              <w:ind w:right="82"/>
              <w:spacing w:after="0" w:line="170"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center"/>
              <w:ind w:right="460"/>
              <w:spacing w:after="0" w:line="170" w:lineRule="exact"/>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1120" w:type="dxa"/>
            <w:vAlign w:val="bottom"/>
          </w:tcPr>
          <w:p>
            <w:pPr>
              <w:jc w:val="right"/>
              <w:ind w:right="82"/>
              <w:spacing w:after="0" w:line="170"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40" w:type="dxa"/>
            <w:vAlign w:val="bottom"/>
          </w:tcPr>
          <w:p>
            <w:pPr>
              <w:spacing w:after="0"/>
              <w:rPr>
                <w:sz w:val="14"/>
                <w:szCs w:val="14"/>
                <w:color w:val="auto"/>
              </w:rPr>
            </w:pPr>
          </w:p>
        </w:tc>
      </w:tr>
      <w:tr>
        <w:trPr>
          <w:trHeight w:val="210"/>
        </w:trPr>
        <w:tc>
          <w:tcPr>
            <w:tcW w:w="276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80" w:type="dxa"/>
            <w:vAlign w:val="bottom"/>
          </w:tcPr>
          <w:p>
            <w:pPr>
              <w:spacing w:after="0"/>
              <w:rPr>
                <w:sz w:val="18"/>
                <w:szCs w:val="18"/>
                <w:color w:val="auto"/>
              </w:rPr>
            </w:pPr>
          </w:p>
        </w:tc>
        <w:tc>
          <w:tcPr>
            <w:tcW w:w="166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5"/>
              </w:rPr>
              <w:t>Portfolio</w:t>
            </w:r>
          </w:p>
        </w:tc>
        <w:tc>
          <w:tcPr>
            <w:tcW w:w="1480" w:type="dxa"/>
            <w:vAlign w:val="bottom"/>
            <w:gridSpan w:val="2"/>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5"/>
              </w:rPr>
              <w:t>Portfolio</w:t>
            </w:r>
          </w:p>
        </w:tc>
        <w:tc>
          <w:tcPr>
            <w:tcW w:w="126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188"/>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Geographic Region</w:t>
            </w: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188"/>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West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$ 108,500,197</w:t>
            </w:r>
          </w:p>
        </w:tc>
        <w:tc>
          <w:tcPr>
            <w:tcW w:w="140" w:type="dxa"/>
            <w:vAlign w:val="bottom"/>
          </w:tcPr>
          <w:p>
            <w:pPr>
              <w:spacing w:after="0"/>
              <w:rPr>
                <w:sz w:val="16"/>
                <w:szCs w:val="16"/>
                <w:color w:val="auto"/>
              </w:rPr>
            </w:pPr>
          </w:p>
        </w:tc>
        <w:tc>
          <w:tcPr>
            <w:tcW w:w="1740" w:type="dxa"/>
            <w:vAlign w:val="bottom"/>
            <w:gridSpan w:val="3"/>
          </w:tcPr>
          <w:p>
            <w:pPr>
              <w:jc w:val="right"/>
              <w:ind w:right="142"/>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Pr>
          <w:p>
            <w:pPr>
              <w:spacing w:after="0"/>
              <w:rPr>
                <w:sz w:val="16"/>
                <w:szCs w:val="16"/>
                <w:color w:val="auto"/>
              </w:rPr>
            </w:pPr>
          </w:p>
        </w:tc>
        <w:tc>
          <w:tcPr>
            <w:tcW w:w="148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94,996,805</w:t>
            </w:r>
          </w:p>
        </w:tc>
        <w:tc>
          <w:tcPr>
            <w:tcW w:w="1760" w:type="dxa"/>
            <w:vAlign w:val="bottom"/>
            <w:gridSpan w:val="3"/>
          </w:tcPr>
          <w:p>
            <w:pPr>
              <w:jc w:val="right"/>
              <w:ind w:right="162"/>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188"/>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Northeast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41,538,359</w:t>
            </w:r>
          </w:p>
        </w:tc>
        <w:tc>
          <w:tcPr>
            <w:tcW w:w="174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46,944,432</w:t>
            </w:r>
          </w:p>
        </w:tc>
        <w:tc>
          <w:tcPr>
            <w:tcW w:w="176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188"/>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Southeast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12,107,136</w:t>
            </w:r>
          </w:p>
        </w:tc>
        <w:tc>
          <w:tcPr>
            <w:tcW w:w="1740" w:type="dxa"/>
            <w:vAlign w:val="bottom"/>
            <w:gridSpan w:val="3"/>
          </w:tcPr>
          <w:p>
            <w:pPr>
              <w:jc w:val="right"/>
              <w:ind w:right="142"/>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6"/>
                <w:szCs w:val="16"/>
                <w:color w:val="auto"/>
              </w:rPr>
            </w:pPr>
          </w:p>
        </w:tc>
        <w:tc>
          <w:tcPr>
            <w:tcW w:w="148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6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Midwest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17,881,248</w:t>
            </w:r>
          </w:p>
        </w:tc>
        <w:tc>
          <w:tcPr>
            <w:tcW w:w="174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8,183,281</w:t>
            </w:r>
          </w:p>
        </w:tc>
        <w:tc>
          <w:tcPr>
            <w:tcW w:w="140" w:type="dxa"/>
            <w:vAlign w:val="bottom"/>
            <w:shd w:val="clear" w:color="auto" w:fill="CCEEFF"/>
          </w:tcPr>
          <w:p>
            <w:pPr>
              <w:spacing w:after="0"/>
              <w:rPr>
                <w:sz w:val="16"/>
                <w:szCs w:val="16"/>
                <w:color w:val="auto"/>
              </w:rPr>
            </w:pPr>
          </w:p>
        </w:tc>
        <w:tc>
          <w:tcPr>
            <w:tcW w:w="176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4,054,309</w:t>
            </w:r>
          </w:p>
        </w:tc>
        <w:tc>
          <w:tcPr>
            <w:tcW w:w="1740" w:type="dxa"/>
            <w:vAlign w:val="bottom"/>
            <w:gridSpan w:val="3"/>
          </w:tcPr>
          <w:p>
            <w:pPr>
              <w:jc w:val="right"/>
              <w:ind w:right="14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148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7,064,060</w:t>
            </w:r>
          </w:p>
        </w:tc>
        <w:tc>
          <w:tcPr>
            <w:tcW w:w="140" w:type="dxa"/>
            <w:vAlign w:val="bottom"/>
          </w:tcPr>
          <w:p>
            <w:pPr>
              <w:spacing w:after="0"/>
              <w:rPr>
                <w:sz w:val="17"/>
                <w:szCs w:val="17"/>
                <w:color w:val="auto"/>
              </w:rPr>
            </w:pPr>
          </w:p>
        </w:tc>
        <w:tc>
          <w:tcPr>
            <w:tcW w:w="1760" w:type="dxa"/>
            <w:vAlign w:val="bottom"/>
            <w:gridSpan w:val="3"/>
          </w:tcPr>
          <w:p>
            <w:pPr>
              <w:jc w:val="right"/>
              <w:ind w:right="162"/>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0"/>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$ 184,081,249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360" w:type="dxa"/>
            <w:vAlign w:val="bottom"/>
            <w:tcBorders>
              <w:top w:val="single" w:sz="8" w:color="CCEEFF"/>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157,188,578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tcBorders>
              <w:top w:val="single" w:sz="8" w:color="CCEEFF"/>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gridSpan w:val="5"/>
          </w:tcPr>
          <w:p>
            <w:pPr>
              <w:jc w:val="right"/>
              <w:ind w:right="1442"/>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70"/>
        </w:trPr>
        <w:tc>
          <w:tcPr>
            <w:tcW w:w="27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right"/>
              <w:ind w:right="422"/>
              <w:spacing w:after="0" w:line="170"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220" w:type="dxa"/>
            <w:vAlign w:val="bottom"/>
            <w:tcBorders>
              <w:top w:val="single" w:sz="8" w:color="auto"/>
            </w:tcBorders>
          </w:tcPr>
          <w:p>
            <w:pPr>
              <w:jc w:val="right"/>
              <w:ind w:right="82"/>
              <w:spacing w:after="0" w:line="170"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3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3"/>
          </w:tcPr>
          <w:p>
            <w:pPr>
              <w:jc w:val="center"/>
              <w:ind w:right="460"/>
              <w:spacing w:after="0" w:line="170" w:lineRule="exact"/>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1120" w:type="dxa"/>
            <w:vAlign w:val="bottom"/>
            <w:tcBorders>
              <w:top w:val="single" w:sz="8" w:color="auto"/>
            </w:tcBorders>
          </w:tcPr>
          <w:p>
            <w:pPr>
              <w:jc w:val="right"/>
              <w:ind w:right="82"/>
              <w:spacing w:after="0" w:line="170"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40" w:type="dxa"/>
            <w:vAlign w:val="bottom"/>
          </w:tcPr>
          <w:p>
            <w:pPr>
              <w:spacing w:after="0"/>
              <w:rPr>
                <w:sz w:val="14"/>
                <w:szCs w:val="14"/>
                <w:color w:val="auto"/>
              </w:rPr>
            </w:pPr>
          </w:p>
        </w:tc>
      </w:tr>
      <w:tr>
        <w:trPr>
          <w:trHeight w:val="210"/>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8"/>
                <w:szCs w:val="18"/>
                <w:color w:val="auto"/>
              </w:rPr>
            </w:pPr>
          </w:p>
        </w:tc>
        <w:tc>
          <w:tcPr>
            <w:tcW w:w="1560" w:type="dxa"/>
            <w:vAlign w:val="bottom"/>
            <w:gridSpan w:val="2"/>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580" w:type="dxa"/>
            <w:vAlign w:val="bottom"/>
            <w:gridSpan w:val="2"/>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5"/>
              </w:rPr>
              <w:t>Portfolio</w:t>
            </w:r>
          </w:p>
        </w:tc>
        <w:tc>
          <w:tcPr>
            <w:tcW w:w="126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188"/>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Industry</w:t>
            </w: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188"/>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Education Technology</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69,381,463</w:t>
            </w:r>
          </w:p>
        </w:tc>
        <w:tc>
          <w:tcPr>
            <w:tcW w:w="1740" w:type="dxa"/>
            <w:vAlign w:val="bottom"/>
            <w:gridSpan w:val="3"/>
          </w:tcPr>
          <w:p>
            <w:pPr>
              <w:jc w:val="right"/>
              <w:ind w:right="142"/>
              <w:spacing w:after="0"/>
              <w:rPr>
                <w:sz w:val="20"/>
                <w:szCs w:val="20"/>
                <w:color w:val="auto"/>
              </w:rPr>
            </w:pPr>
            <w:r>
              <w:rPr>
                <w:rFonts w:ascii="Times New Roman" w:cs="Times New Roman" w:eastAsia="Times New Roman" w:hAnsi="Times New Roman"/>
                <w:sz w:val="16"/>
                <w:szCs w:val="16"/>
                <w:color w:val="auto"/>
              </w:rPr>
              <w:t>37.7%</w:t>
            </w:r>
          </w:p>
        </w:tc>
        <w:tc>
          <w:tcPr>
            <w:tcW w:w="158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61,841,493</w:t>
            </w:r>
          </w:p>
        </w:tc>
        <w:tc>
          <w:tcPr>
            <w:tcW w:w="1760" w:type="dxa"/>
            <w:vAlign w:val="bottom"/>
            <w:gridSpan w:val="3"/>
          </w:tcPr>
          <w:p>
            <w:pPr>
              <w:jc w:val="right"/>
              <w:ind w:right="162"/>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188"/>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Marketplaces</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36,386,519</w:t>
            </w:r>
          </w:p>
        </w:tc>
        <w:tc>
          <w:tcPr>
            <w:tcW w:w="174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19.8%</w:t>
            </w:r>
          </w:p>
        </w:tc>
        <w:tc>
          <w:tcPr>
            <w:tcW w:w="15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27,291,467</w:t>
            </w:r>
          </w:p>
        </w:tc>
        <w:tc>
          <w:tcPr>
            <w:tcW w:w="176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188"/>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Financial Technology</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32,201,947</w:t>
            </w:r>
          </w:p>
        </w:tc>
        <w:tc>
          <w:tcPr>
            <w:tcW w:w="1740" w:type="dxa"/>
            <w:vAlign w:val="bottom"/>
            <w:gridSpan w:val="3"/>
          </w:tcPr>
          <w:p>
            <w:pPr>
              <w:jc w:val="right"/>
              <w:ind w:right="142"/>
              <w:spacing w:after="0"/>
              <w:rPr>
                <w:sz w:val="20"/>
                <w:szCs w:val="20"/>
                <w:color w:val="auto"/>
              </w:rPr>
            </w:pPr>
            <w:r>
              <w:rPr>
                <w:rFonts w:ascii="Times New Roman" w:cs="Times New Roman" w:eastAsia="Times New Roman" w:hAnsi="Times New Roman"/>
                <w:sz w:val="16"/>
                <w:szCs w:val="16"/>
                <w:color w:val="auto"/>
              </w:rPr>
              <w:t>17.5%</w:t>
            </w:r>
          </w:p>
        </w:tc>
        <w:tc>
          <w:tcPr>
            <w:tcW w:w="158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38,096,753</w:t>
            </w:r>
          </w:p>
        </w:tc>
        <w:tc>
          <w:tcPr>
            <w:tcW w:w="1760" w:type="dxa"/>
            <w:vAlign w:val="bottom"/>
            <w:gridSpan w:val="3"/>
          </w:tcPr>
          <w:p>
            <w:pPr>
              <w:jc w:val="right"/>
              <w:ind w:right="162"/>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188"/>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Big Data/Cloud</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31,687,240</w:t>
            </w:r>
          </w:p>
        </w:tc>
        <w:tc>
          <w:tcPr>
            <w:tcW w:w="174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17.2%</w:t>
            </w:r>
          </w:p>
        </w:tc>
        <w:tc>
          <w:tcPr>
            <w:tcW w:w="15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14,927,819</w:t>
            </w:r>
          </w:p>
        </w:tc>
        <w:tc>
          <w:tcPr>
            <w:tcW w:w="176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188"/>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Social/Mobile</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14,041,699</w:t>
            </w:r>
          </w:p>
        </w:tc>
        <w:tc>
          <w:tcPr>
            <w:tcW w:w="1740" w:type="dxa"/>
            <w:vAlign w:val="bottom"/>
            <w:gridSpan w:val="3"/>
          </w:tcPr>
          <w:p>
            <w:pPr>
              <w:jc w:val="right"/>
              <w:ind w:right="142"/>
              <w:spacing w:after="0"/>
              <w:rPr>
                <w:sz w:val="20"/>
                <w:szCs w:val="20"/>
                <w:color w:val="auto"/>
              </w:rPr>
            </w:pPr>
            <w:r>
              <w:rPr>
                <w:rFonts w:ascii="Times New Roman" w:cs="Times New Roman" w:eastAsia="Times New Roman" w:hAnsi="Times New Roman"/>
                <w:sz w:val="16"/>
                <w:szCs w:val="16"/>
                <w:color w:val="auto"/>
              </w:rPr>
              <w:t>7.6%</w:t>
            </w:r>
          </w:p>
        </w:tc>
        <w:tc>
          <w:tcPr>
            <w:tcW w:w="158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14,047,018</w:t>
            </w:r>
          </w:p>
        </w:tc>
        <w:tc>
          <w:tcPr>
            <w:tcW w:w="1760" w:type="dxa"/>
            <w:vAlign w:val="bottom"/>
            <w:gridSpan w:val="3"/>
          </w:tcPr>
          <w:p>
            <w:pPr>
              <w:jc w:val="right"/>
              <w:ind w:right="162"/>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2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Sustainability</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382,381</w:t>
            </w:r>
          </w:p>
        </w:tc>
        <w:tc>
          <w:tcPr>
            <w:tcW w:w="1740" w:type="dxa"/>
            <w:vAlign w:val="bottom"/>
            <w:gridSpan w:val="3"/>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0.2%</w:t>
            </w:r>
          </w:p>
        </w:tc>
        <w:tc>
          <w:tcPr>
            <w:tcW w:w="15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984,028</w:t>
            </w:r>
          </w:p>
        </w:tc>
        <w:tc>
          <w:tcPr>
            <w:tcW w:w="14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183"/>
        </w:trPr>
        <w:tc>
          <w:tcPr>
            <w:tcW w:w="2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4"/>
              </w:rPr>
              <w:t>184,081,249</w:t>
            </w: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tcBorders>
              <w:top w:val="single" w:sz="8" w:color="CCEEFF"/>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360" w:type="dxa"/>
            <w:vAlign w:val="bottom"/>
            <w:tcBorders>
              <w:top w:val="single" w:sz="8" w:color="CCEEFF"/>
            </w:tcBorders>
          </w:tcPr>
          <w:p>
            <w:pPr>
              <w:jc w:val="right"/>
              <w:ind w:right="142"/>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157,188,578</w:t>
            </w: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tcBorders>
              <w:top w:val="single" w:sz="8" w:color="CCEEFF"/>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5"/>
        </w:trPr>
        <w:tc>
          <w:tcPr>
            <w:tcW w:w="2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6"/>
                <w:szCs w:val="16"/>
                <w:color w:val="auto"/>
                <w:w w:val="99"/>
              </w:rPr>
              <w:t>90</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17"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details the composition of the Company’s industrial themes presented in the preceding tables:</w:t>
      </w:r>
    </w:p>
    <w:p>
      <w:pPr>
        <w:sectPr>
          <w:pgSz w:w="11900" w:h="16838" w:orient="portrait"/>
          <w:cols w:equalWidth="0" w:num="1">
            <w:col w:w="10139"/>
          </w:cols>
          <w:pgMar w:left="320" w:top="217" w:right="1440"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Industry Theme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Education Technology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Big Data/Cloud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Marketplaces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Financial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Social/Mobile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Sustainability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14605</wp:posOffset>
            </wp:positionV>
            <wp:extent cx="7150100" cy="514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100" cy="514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Education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Education Software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Interactive Learning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Online Education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Contractor Management Software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Gaming Licensing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Geolocation Technology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Retail Technology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Supply Chain Technology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Warehouse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10795</wp:posOffset>
            </wp:positionV>
            <wp:extent cx="7150100" cy="9925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100" cy="99250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E-Commerce Marketplace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Global Innovation Platform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Knowledge Networks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Micromobility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Pharmaceutical Technology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Real Estate Platform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Sports Betting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Subscription Fashion Rental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Cannabis REIT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Services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Gaming Technology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Home Improvement Finance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Mobile Finance Technology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Online Marketplace Finance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Special Purpose Acquisition Company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10795</wp:posOffset>
            </wp:positionV>
            <wp:extent cx="7150100" cy="8731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100" cy="87312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Digital Media Platform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Digital Media Technology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Fitness Technology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Interactive Media &amp; Services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Mobile Access Technology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Data Platform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Networking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Clean Technology</w:t>
      </w:r>
    </w:p>
    <w:p>
      <w:pPr>
        <w:spacing w:after="0" w:line="192" w:lineRule="exact"/>
        <w:rPr>
          <w:sz w:val="20"/>
          <w:szCs w:val="20"/>
          <w:color w:val="auto"/>
        </w:rPr>
      </w:pPr>
    </w:p>
    <w:p>
      <w:pPr>
        <w:jc w:val="center"/>
        <w:ind w:right="36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13335</wp:posOffset>
            </wp:positionV>
            <wp:extent cx="715010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2">
            <w:col w:w="4020" w:space="720"/>
            <w:col w:w="5399"/>
          </w:cols>
          <w:pgMar w:left="320" w:top="217" w:right="1440"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Valuation Inputs</w:t>
      </w:r>
    </w:p>
    <w:p>
      <w:pPr>
        <w:spacing w:after="0" w:line="194" w:lineRule="exact"/>
        <w:rPr>
          <w:sz w:val="20"/>
          <w:szCs w:val="20"/>
          <w:color w:val="auto"/>
        </w:rPr>
      </w:pPr>
    </w:p>
    <w:p>
      <w:pPr>
        <w:ind w:right="20" w:firstLine="282"/>
        <w:spacing w:after="0" w:line="270" w:lineRule="auto"/>
        <w:rPr>
          <w:sz w:val="20"/>
          <w:szCs w:val="20"/>
          <w:color w:val="auto"/>
        </w:rPr>
      </w:pPr>
      <w:r>
        <w:rPr>
          <w:rFonts w:ascii="Times New Roman" w:cs="Times New Roman" w:eastAsia="Times New Roman" w:hAnsi="Times New Roman"/>
          <w:sz w:val="16"/>
          <w:szCs w:val="16"/>
          <w:color w:val="auto"/>
        </w:rPr>
        <w:t>The fair values of the Company’s investments disaggregated into the three levels of the fair value hierarchy based upon the lowest level of significant input used in the valuation as of December 31, 2023 and December 31, 2022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0"/>
        </w:trPr>
        <w:tc>
          <w:tcPr>
            <w:tcW w:w="3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460"/>
              <w:spacing w:after="0" w:line="170" w:lineRule="exact"/>
              <w:rPr>
                <w:sz w:val="20"/>
                <w:szCs w:val="20"/>
                <w:color w:val="auto"/>
              </w:rPr>
            </w:pPr>
            <w:r>
              <w:rPr>
                <w:rFonts w:ascii="Times New Roman" w:cs="Times New Roman" w:eastAsia="Times New Roman" w:hAnsi="Times New Roman"/>
                <w:sz w:val="16"/>
                <w:szCs w:val="16"/>
                <w:b w:val="1"/>
                <w:bCs w:val="1"/>
                <w:color w:val="auto"/>
                <w:w w:val="98"/>
              </w:rPr>
              <w:t>Quoted Prices in</w:t>
            </w:r>
          </w:p>
        </w:tc>
        <w:tc>
          <w:tcPr>
            <w:tcW w:w="80" w:type="dxa"/>
            <w:vAlign w:val="bottom"/>
          </w:tcPr>
          <w:p>
            <w:pPr>
              <w:spacing w:after="0"/>
              <w:rPr>
                <w:sz w:val="14"/>
                <w:szCs w:val="14"/>
                <w:color w:val="auto"/>
              </w:rPr>
            </w:pPr>
          </w:p>
        </w:tc>
        <w:tc>
          <w:tcPr>
            <w:tcW w:w="1440" w:type="dxa"/>
            <w:vAlign w:val="bottom"/>
            <w:gridSpan w:val="2"/>
          </w:tcPr>
          <w:p>
            <w:pPr>
              <w:jc w:val="center"/>
              <w:ind w:right="240"/>
              <w:spacing w:after="0" w:line="170" w:lineRule="exact"/>
              <w:rPr>
                <w:sz w:val="20"/>
                <w:szCs w:val="20"/>
                <w:color w:val="auto"/>
              </w:rPr>
            </w:pPr>
            <w:r>
              <w:rPr>
                <w:rFonts w:ascii="Times New Roman" w:cs="Times New Roman" w:eastAsia="Times New Roman" w:hAnsi="Times New Roman"/>
                <w:sz w:val="16"/>
                <w:szCs w:val="16"/>
                <w:b w:val="1"/>
                <w:bCs w:val="1"/>
                <w:color w:val="auto"/>
                <w:w w:val="97"/>
              </w:rPr>
              <w:t>Significant 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70"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3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Active Markets for</w:t>
            </w:r>
          </w:p>
        </w:tc>
        <w:tc>
          <w:tcPr>
            <w:tcW w:w="8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3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Identical Securities</w:t>
            </w:r>
          </w:p>
        </w:tc>
        <w:tc>
          <w:tcPr>
            <w:tcW w:w="8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3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8"/>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Investments at Fair Value</w:t>
            </w:r>
          </w:p>
        </w:tc>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Stock</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122,744,564</w:t>
            </w:r>
          </w:p>
        </w:tc>
        <w:tc>
          <w:tcPr>
            <w:tcW w:w="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122,744,564</w:t>
            </w:r>
          </w:p>
        </w:tc>
      </w:tr>
      <w:tr>
        <w:trPr>
          <w:trHeight w:val="188"/>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39,086,792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39,086,792</w:t>
            </w:r>
          </w:p>
        </w:tc>
      </w:tr>
      <w:tr>
        <w:trPr>
          <w:trHeight w:val="188"/>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Debt Investments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3,098,734</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3,098,734</w:t>
            </w:r>
          </w:p>
        </w:tc>
      </w:tr>
      <w:tr>
        <w:trPr>
          <w:trHeight w:val="203"/>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3,638,161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3,638,161</w:t>
            </w:r>
          </w:p>
        </w:tc>
      </w:tr>
      <w:tr>
        <w:trPr>
          <w:trHeight w:val="208"/>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168,568,251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168,568,251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2"/>
        </w:trPr>
        <w:tc>
          <w:tcPr>
            <w:tcW w:w="362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5,005,862</w:t>
            </w: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8,542,386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13,548,248</w:t>
            </w:r>
          </w:p>
        </w:tc>
      </w:tr>
      <w:tr>
        <w:trPr>
          <w:trHeight w:val="203"/>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1,964,750</w:t>
            </w:r>
          </w:p>
        </w:tc>
        <w:tc>
          <w:tcPr>
            <w:tcW w:w="8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1,964,750</w:t>
            </w:r>
          </w:p>
        </w:tc>
      </w:tr>
      <w:tr>
        <w:trPr>
          <w:trHeight w:val="208"/>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6,970,612</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8,542,386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15,512,998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362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Total Portfolio Investments</w:t>
            </w: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6,970,612</w:t>
            </w: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8,542,386</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168,568,251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184,081,249</w:t>
            </w:r>
          </w:p>
        </w:tc>
        <w:tc>
          <w:tcPr>
            <w:tcW w:w="120" w:type="dxa"/>
            <w:vAlign w:val="bottom"/>
            <w:tcBorders>
              <w:bottom w:val="single" w:sz="8" w:color="CCEEFF"/>
            </w:tcBorders>
          </w:tcPr>
          <w:p>
            <w:pPr>
              <w:spacing w:after="0"/>
              <w:rPr>
                <w:sz w:val="15"/>
                <w:szCs w:val="15"/>
                <w:color w:val="auto"/>
              </w:rPr>
            </w:pPr>
          </w:p>
        </w:tc>
      </w:tr>
      <w:tr>
        <w:trPr>
          <w:trHeight w:val="188"/>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Non-Portfolio Investments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U.S. Treasury bills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63,810,855</w:t>
            </w:r>
          </w:p>
        </w:tc>
        <w:tc>
          <w:tcPr>
            <w:tcW w:w="8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63,810,855</w:t>
            </w:r>
          </w:p>
        </w:tc>
      </w:tr>
      <w:tr>
        <w:trPr>
          <w:trHeight w:val="20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70,781,467</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8,542,386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168,568,251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247,892,104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7"/>
        </w:trPr>
        <w:tc>
          <w:tcPr>
            <w:tcW w:w="3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0"/>
        </w:trPr>
        <w:tc>
          <w:tcPr>
            <w:tcW w:w="3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460"/>
              <w:spacing w:after="0" w:line="170" w:lineRule="exact"/>
              <w:rPr>
                <w:sz w:val="20"/>
                <w:szCs w:val="20"/>
                <w:color w:val="auto"/>
              </w:rPr>
            </w:pPr>
            <w:r>
              <w:rPr>
                <w:rFonts w:ascii="Times New Roman" w:cs="Times New Roman" w:eastAsia="Times New Roman" w:hAnsi="Times New Roman"/>
                <w:sz w:val="16"/>
                <w:szCs w:val="16"/>
                <w:b w:val="1"/>
                <w:bCs w:val="1"/>
                <w:color w:val="auto"/>
                <w:w w:val="98"/>
              </w:rPr>
              <w:t>Quoted Prices in</w:t>
            </w:r>
          </w:p>
        </w:tc>
        <w:tc>
          <w:tcPr>
            <w:tcW w:w="80" w:type="dxa"/>
            <w:vAlign w:val="bottom"/>
          </w:tcPr>
          <w:p>
            <w:pPr>
              <w:spacing w:after="0"/>
              <w:rPr>
                <w:sz w:val="14"/>
                <w:szCs w:val="14"/>
                <w:color w:val="auto"/>
              </w:rPr>
            </w:pPr>
          </w:p>
        </w:tc>
        <w:tc>
          <w:tcPr>
            <w:tcW w:w="1440" w:type="dxa"/>
            <w:vAlign w:val="bottom"/>
            <w:gridSpan w:val="2"/>
          </w:tcPr>
          <w:p>
            <w:pPr>
              <w:jc w:val="center"/>
              <w:ind w:right="240"/>
              <w:spacing w:after="0" w:line="170" w:lineRule="exact"/>
              <w:rPr>
                <w:sz w:val="20"/>
                <w:szCs w:val="20"/>
                <w:color w:val="auto"/>
              </w:rPr>
            </w:pPr>
            <w:r>
              <w:rPr>
                <w:rFonts w:ascii="Times New Roman" w:cs="Times New Roman" w:eastAsia="Times New Roman" w:hAnsi="Times New Roman"/>
                <w:sz w:val="16"/>
                <w:szCs w:val="16"/>
                <w:b w:val="1"/>
                <w:bCs w:val="1"/>
                <w:color w:val="auto"/>
                <w:w w:val="97"/>
              </w:rPr>
              <w:t>Significant 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70"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3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Active Markets for</w:t>
            </w:r>
          </w:p>
        </w:tc>
        <w:tc>
          <w:tcPr>
            <w:tcW w:w="8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3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Identical Securities</w:t>
            </w:r>
          </w:p>
        </w:tc>
        <w:tc>
          <w:tcPr>
            <w:tcW w:w="8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3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8"/>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Investments at Fair Value</w:t>
            </w:r>
          </w:p>
        </w:tc>
        <w:tc>
          <w:tcPr>
            <w:tcW w:w="1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Stock</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117,214,465</w:t>
            </w:r>
          </w:p>
        </w:tc>
        <w:tc>
          <w:tcPr>
            <w:tcW w:w="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117,214,465</w:t>
            </w:r>
          </w:p>
        </w:tc>
      </w:tr>
      <w:tr>
        <w:trPr>
          <w:trHeight w:val="188"/>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18,692,931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18,692,931</w:t>
            </w:r>
          </w:p>
        </w:tc>
      </w:tr>
      <w:tr>
        <w:trPr>
          <w:trHeight w:val="188"/>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Debt Investments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4,488,200</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4,488,200</w:t>
            </w:r>
          </w:p>
        </w:tc>
      </w:tr>
      <w:tr>
        <w:trPr>
          <w:trHeight w:val="203"/>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Options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3,469,497</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3,469,497</w:t>
            </w:r>
          </w:p>
        </w:tc>
      </w:tr>
      <w:tr>
        <w:trPr>
          <w:trHeight w:val="208"/>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Private Portfolio Companies</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143,865,093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143,865,093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2"/>
        </w:trPr>
        <w:tc>
          <w:tcPr>
            <w:tcW w:w="362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Publicly Traded Portfolio Companies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13,298,992</w:t>
            </w: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24,493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13,323,485</w:t>
            </w:r>
          </w:p>
        </w:tc>
      </w:tr>
      <w:tr>
        <w:trPr>
          <w:trHeight w:val="188"/>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Non-Portfolio Investments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Treasury bills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85,056,817</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85,056,817</w:t>
            </w:r>
          </w:p>
        </w:tc>
      </w:tr>
      <w:tr>
        <w:trPr>
          <w:trHeight w:val="183"/>
        </w:trPr>
        <w:tc>
          <w:tcPr>
            <w:tcW w:w="3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11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98,355,809</w:t>
            </w:r>
          </w:p>
        </w:tc>
        <w:tc>
          <w:tcPr>
            <w:tcW w:w="36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24,493</w:t>
            </w: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143,865,093</w:t>
            </w: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242,245,395</w:t>
            </w:r>
          </w:p>
        </w:tc>
        <w:tc>
          <w:tcPr>
            <w:tcW w:w="120" w:type="dxa"/>
            <w:vAlign w:val="bottom"/>
            <w:tcBorders>
              <w:top w:val="single" w:sz="8" w:color="CCEEFF"/>
            </w:tcBorders>
          </w:tcPr>
          <w:p>
            <w:pPr>
              <w:spacing w:after="0"/>
              <w:rPr>
                <w:sz w:val="15"/>
                <w:szCs w:val="15"/>
                <w:color w:val="auto"/>
              </w:rPr>
            </w:pPr>
          </w:p>
        </w:tc>
      </w:tr>
      <w:tr>
        <w:trPr>
          <w:trHeight w:val="20"/>
        </w:trPr>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5"/>
        </w:trPr>
        <w:tc>
          <w:tcPr>
            <w:tcW w:w="36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rPr>
              <w:t>92</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17" w:right="319" w:bottom="1440" w:gutter="0" w:footer="0" w:header="0"/>
        </w:sectPr>
      </w:pPr>
    </w:p>
    <w:bookmarkStart w:id="95" w:name="page96"/>
    <w:bookmarkEnd w:id="95"/>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Significant Unobservable Inputs for Level 3 Assets and Liabilities</w:t>
      </w:r>
    </w:p>
    <w:p>
      <w:pPr>
        <w:spacing w:after="0" w:line="194" w:lineRule="exact"/>
        <w:rPr>
          <w:sz w:val="20"/>
          <w:szCs w:val="20"/>
          <w:color w:val="auto"/>
        </w:rPr>
      </w:pPr>
    </w:p>
    <w:p>
      <w:pPr>
        <w:jc w:val="both"/>
        <w:ind w:left="6" w:right="20" w:firstLine="282"/>
        <w:spacing w:after="0" w:line="250" w:lineRule="auto"/>
        <w:rPr>
          <w:sz w:val="20"/>
          <w:szCs w:val="20"/>
          <w:color w:val="auto"/>
        </w:rPr>
      </w:pPr>
      <w:r>
        <w:rPr>
          <w:rFonts w:ascii="Times New Roman" w:cs="Times New Roman" w:eastAsia="Times New Roman" w:hAnsi="Times New Roman"/>
          <w:sz w:val="16"/>
          <w:szCs w:val="16"/>
          <w:color w:val="auto"/>
        </w:rPr>
        <w:t xml:space="preserve">In accordance with FASB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the tables below provide quantitative information about the fair value measurements of the Company’s Level 3 assets as of December 31, 2023 and December 31, 2022. In addition to the techniques and inputs noted in the tables below, according to the Company’s valuation policy, the Board of Directors may also use other valuation techniques and methodologies when determining the fair value measurements of the Company’s assets. The tables below are not intended to be all-inclusive, but rather provide information on the significant Level 3 inputs as they relate to the fair value measurements of the Company’s assets. To the extent an unobservable input is not reflected in the tables below, such input is deemed insignificant with respect to the Company’s Level 3 fair value measurements as of December 31, 2023 and December 31, 2022. Significant changes in the inputs in isolation would result in a significant change in the fair value measurement, depending on the input and the materiality of the investment.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163" w:lineRule="exact"/>
        <w:rPr>
          <w:sz w:val="20"/>
          <w:szCs w:val="20"/>
          <w:color w:val="auto"/>
        </w:rPr>
      </w:pPr>
    </w:p>
    <w:tbl>
      <w:tblPr>
        <w:tblLayout w:type="fixed"/>
        <w:tblInd w:w="6" w:type="dxa"/>
        <w:tblCellMar>
          <w:top w:w="0" w:type="dxa"/>
          <w:left w:w="0" w:type="dxa"/>
          <w:bottom w:w="0" w:type="dxa"/>
          <w:right w:w="0" w:type="dxa"/>
        </w:tblCellMar>
      </w:tblPr>
      <w:tr>
        <w:trPr>
          <w:trHeight w:val="206"/>
        </w:trPr>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Asset</w:t>
            </w:r>
          </w:p>
        </w:tc>
        <w:tc>
          <w:tcPr>
            <w:tcW w:w="220" w:type="dxa"/>
            <w:vAlign w:val="bottom"/>
          </w:tcPr>
          <w:p>
            <w:pPr>
              <w:spacing w:after="0"/>
              <w:rPr>
                <w:sz w:val="24"/>
                <w:szCs w:val="24"/>
                <w:color w:val="auto"/>
              </w:rPr>
            </w:pPr>
          </w:p>
        </w:tc>
        <w:tc>
          <w:tcPr>
            <w:tcW w:w="160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24"/>
                <w:szCs w:val="24"/>
                <w:color w:val="auto"/>
              </w:rPr>
            </w:pPr>
          </w:p>
        </w:tc>
        <w:tc>
          <w:tcPr>
            <w:tcW w:w="2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Valuation Approach/ Technique</w:t>
            </w:r>
            <w:r>
              <w:rPr>
                <w:rFonts w:ascii="Times New Roman" w:cs="Times New Roman" w:eastAsia="Times New Roman" w:hAnsi="Times New Roman"/>
                <w:sz w:val="26"/>
                <w:szCs w:val="26"/>
                <w:b w:val="1"/>
                <w:bCs w:val="1"/>
                <w:color w:val="auto"/>
                <w:w w:val="94"/>
                <w:vertAlign w:val="superscript"/>
              </w:rPr>
              <w:t>(1)</w:t>
            </w:r>
          </w:p>
        </w:tc>
        <w:tc>
          <w:tcPr>
            <w:tcW w:w="2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Unobservable Inputs</w:t>
            </w:r>
            <w:r>
              <w:rPr>
                <w:rFonts w:ascii="Times New Roman" w:cs="Times New Roman" w:eastAsia="Times New Roman" w:hAnsi="Times New Roman"/>
                <w:sz w:val="26"/>
                <w:szCs w:val="26"/>
                <w:b w:val="1"/>
                <w:bCs w:val="1"/>
                <w:color w:val="auto"/>
                <w:w w:val="94"/>
                <w:vertAlign w:val="superscript"/>
              </w:rPr>
              <w:t>(2)</w:t>
            </w:r>
          </w:p>
        </w:tc>
        <w:tc>
          <w:tcPr>
            <w:tcW w:w="1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6"/>
              </w:rPr>
              <w:t>Range (Weighted Average)</w:t>
            </w:r>
          </w:p>
        </w:tc>
        <w:tc>
          <w:tcPr>
            <w:tcW w:w="0" w:type="dxa"/>
            <w:vAlign w:val="bottom"/>
          </w:tcPr>
          <w:p>
            <w:pPr>
              <w:spacing w:after="0"/>
              <w:rPr>
                <w:sz w:val="1"/>
                <w:szCs w:val="1"/>
                <w:color w:val="auto"/>
              </w:rPr>
            </w:pPr>
          </w:p>
        </w:tc>
      </w:tr>
      <w:tr>
        <w:trPr>
          <w:trHeight w:val="195"/>
        </w:trPr>
        <w:tc>
          <w:tcPr>
            <w:tcW w:w="2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188"/>
        </w:trPr>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Common stock in private companies</w:t>
            </w:r>
          </w:p>
        </w:tc>
        <w:tc>
          <w:tcPr>
            <w:tcW w:w="2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$39,086,792</w:t>
            </w:r>
          </w:p>
        </w:tc>
        <w:tc>
          <w:tcPr>
            <w:tcW w:w="2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Market approach</w:t>
            </w:r>
          </w:p>
        </w:tc>
        <w:tc>
          <w:tcPr>
            <w:tcW w:w="22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22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0.15x - 11.13x (9.29x)</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240"/>
              <w:spacing w:after="0" w:line="223" w:lineRule="exact"/>
              <w:rPr>
                <w:sz w:val="20"/>
                <w:szCs w:val="20"/>
                <w:color w:val="auto"/>
              </w:rPr>
            </w:pPr>
            <w:r>
              <w:rPr>
                <w:rFonts w:ascii="Times New Roman" w:cs="Times New Roman" w:eastAsia="Times New Roman" w:hAnsi="Times New Roman"/>
                <w:sz w:val="15"/>
                <w:szCs w:val="15"/>
                <w:color w:val="auto"/>
                <w:w w:val="96"/>
              </w:rPr>
              <w:t>PWERM</w:t>
            </w:r>
            <w:r>
              <w:rPr>
                <w:rFonts w:ascii="Times New Roman" w:cs="Times New Roman" w:eastAsia="Times New Roman" w:hAnsi="Times New Roman"/>
                <w:sz w:val="25"/>
                <w:szCs w:val="25"/>
                <w:color w:val="auto"/>
                <w:w w:val="96"/>
                <w:vertAlign w:val="superscript"/>
              </w:rPr>
              <w:t>(5)</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7"/>
              </w:rPr>
              <w:t>DLOM</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15.0% - 25.0% (18.5%)</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240"/>
              <w:spacing w:after="0" w:line="223" w:lineRule="exact"/>
              <w:rPr>
                <w:sz w:val="20"/>
                <w:szCs w:val="20"/>
                <w:color w:val="auto"/>
              </w:rPr>
            </w:pPr>
            <w:r>
              <w:rPr>
                <w:rFonts w:ascii="Times New Roman" w:cs="Times New Roman" w:eastAsia="Times New Roman" w:hAnsi="Times New Roman"/>
                <w:sz w:val="15"/>
                <w:szCs w:val="15"/>
                <w:color w:val="auto"/>
                <w:w w:val="98"/>
              </w:rPr>
              <w:t>AFFO</w:t>
            </w:r>
            <w:r>
              <w:rPr>
                <w:rFonts w:ascii="Times New Roman" w:cs="Times New Roman" w:eastAsia="Times New Roman" w:hAnsi="Times New Roman"/>
                <w:sz w:val="25"/>
                <w:szCs w:val="25"/>
                <w:color w:val="auto"/>
                <w:w w:val="98"/>
                <w:vertAlign w:val="superscript"/>
              </w:rPr>
              <w:t>(4)</w:t>
            </w:r>
            <w:r>
              <w:rPr>
                <w:rFonts w:ascii="Times New Roman" w:cs="Times New Roman" w:eastAsia="Times New Roman" w:hAnsi="Times New Roman"/>
                <w:sz w:val="15"/>
                <w:szCs w:val="15"/>
                <w:color w:val="auto"/>
                <w:w w:val="98"/>
              </w:rPr>
              <w:t xml:space="preserve"> multiple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10.79x</w:t>
            </w: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8"/>
              </w:rPr>
              <w:t>Discount Rate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15.0%</w:t>
            </w:r>
          </w:p>
        </w:tc>
        <w:tc>
          <w:tcPr>
            <w:tcW w:w="0" w:type="dxa"/>
            <w:vAlign w:val="bottom"/>
          </w:tcPr>
          <w:p>
            <w:pPr>
              <w:spacing w:after="0"/>
              <w:rPr>
                <w:sz w:val="1"/>
                <w:szCs w:val="1"/>
                <w:color w:val="auto"/>
              </w:rPr>
            </w:pPr>
          </w:p>
        </w:tc>
      </w:tr>
      <w:tr>
        <w:trPr>
          <w:trHeight w:val="175"/>
        </w:trPr>
        <w:tc>
          <w:tcPr>
            <w:tcW w:w="24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Preferred stock in private companies</w:t>
            </w:r>
          </w:p>
        </w:tc>
        <w:tc>
          <w:tcPr>
            <w:tcW w:w="220" w:type="dxa"/>
            <w:vAlign w:val="bottom"/>
          </w:tcPr>
          <w:p>
            <w:pPr>
              <w:spacing w:after="0"/>
              <w:rPr>
                <w:sz w:val="15"/>
                <w:szCs w:val="15"/>
                <w:color w:val="auto"/>
              </w:rPr>
            </w:pPr>
          </w:p>
        </w:tc>
        <w:tc>
          <w:tcPr>
            <w:tcW w:w="1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$122,744,564</w:t>
            </w:r>
          </w:p>
        </w:tc>
        <w:tc>
          <w:tcPr>
            <w:tcW w:w="220" w:type="dxa"/>
            <w:vAlign w:val="bottom"/>
          </w:tcPr>
          <w:p>
            <w:pPr>
              <w:spacing w:after="0"/>
              <w:rPr>
                <w:sz w:val="15"/>
                <w:szCs w:val="15"/>
                <w:color w:val="auto"/>
              </w:rPr>
            </w:pPr>
          </w:p>
        </w:tc>
        <w:tc>
          <w:tcPr>
            <w:tcW w:w="292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w w:val="97"/>
              </w:rPr>
              <w:t>Market approach</w:t>
            </w:r>
          </w:p>
        </w:tc>
        <w:tc>
          <w:tcPr>
            <w:tcW w:w="202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color w:val="auto"/>
                <w:w w:val="98"/>
              </w:rPr>
              <w:t>Revenue multiples</w:t>
            </w:r>
          </w:p>
        </w:tc>
        <w:tc>
          <w:tcPr>
            <w:tcW w:w="1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0.15x - 11.41x (2.73x)</w:t>
            </w: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jc w:val="center"/>
              <w:ind w:right="240"/>
              <w:spacing w:after="0" w:line="236" w:lineRule="exact"/>
              <w:rPr>
                <w:sz w:val="20"/>
                <w:szCs w:val="20"/>
                <w:color w:val="auto"/>
              </w:rPr>
            </w:pPr>
            <w:r>
              <w:rPr>
                <w:rFonts w:ascii="Times New Roman" w:cs="Times New Roman" w:eastAsia="Times New Roman" w:hAnsi="Times New Roman"/>
                <w:sz w:val="16"/>
                <w:szCs w:val="16"/>
                <w:color w:val="auto"/>
                <w:w w:val="91"/>
              </w:rPr>
              <w:t>PWERM</w:t>
            </w:r>
            <w:r>
              <w:rPr>
                <w:rFonts w:ascii="Times New Roman" w:cs="Times New Roman" w:eastAsia="Times New Roman" w:hAnsi="Times New Roman"/>
                <w:sz w:val="26"/>
                <w:szCs w:val="26"/>
                <w:color w:val="auto"/>
                <w:w w:val="91"/>
                <w:vertAlign w:val="superscript"/>
              </w:rPr>
              <w:t>(5)</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Discount rate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15%</w:t>
            </w: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Debt investments</w:t>
            </w:r>
          </w:p>
        </w:tc>
        <w:tc>
          <w:tcPr>
            <w:tcW w:w="1820" w:type="dxa"/>
            <w:vAlign w:val="bottom"/>
            <w:gridSpan w:val="2"/>
            <w:shd w:val="clear" w:color="auto" w:fill="CCEEFF"/>
          </w:tcPr>
          <w:p>
            <w:pPr>
              <w:jc w:val="center"/>
              <w:ind w:left="162"/>
              <w:spacing w:after="0"/>
              <w:rPr>
                <w:sz w:val="20"/>
                <w:szCs w:val="20"/>
                <w:color w:val="auto"/>
              </w:rPr>
            </w:pPr>
            <w:r>
              <w:rPr>
                <w:rFonts w:ascii="Times New Roman" w:cs="Times New Roman" w:eastAsia="Times New Roman" w:hAnsi="Times New Roman"/>
                <w:sz w:val="16"/>
                <w:szCs w:val="16"/>
                <w:color w:val="auto"/>
                <w:w w:val="97"/>
              </w:rPr>
              <w:t>$3,098,734</w:t>
            </w:r>
          </w:p>
        </w:tc>
        <w:tc>
          <w:tcPr>
            <w:tcW w:w="220" w:type="dxa"/>
            <w:vAlign w:val="bottom"/>
            <w:shd w:val="clear" w:color="auto" w:fill="CCEEFF"/>
          </w:tcPr>
          <w:p>
            <w:pPr>
              <w:spacing w:after="0"/>
              <w:rPr>
                <w:sz w:val="16"/>
                <w:szCs w:val="16"/>
                <w:color w:val="auto"/>
              </w:rPr>
            </w:pPr>
          </w:p>
        </w:tc>
        <w:tc>
          <w:tcPr>
            <w:tcW w:w="2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Market approach</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1.21x - 1.66x (1.56x)</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240"/>
              <w:spacing w:after="0" w:line="223" w:lineRule="exact"/>
              <w:rPr>
                <w:sz w:val="20"/>
                <w:szCs w:val="20"/>
                <w:color w:val="auto"/>
              </w:rPr>
            </w:pPr>
            <w:r>
              <w:rPr>
                <w:rFonts w:ascii="Times New Roman" w:cs="Times New Roman" w:eastAsia="Times New Roman" w:hAnsi="Times New Roman"/>
                <w:sz w:val="15"/>
                <w:szCs w:val="15"/>
                <w:color w:val="auto"/>
                <w:w w:val="96"/>
              </w:rPr>
              <w:t>PWERM</w:t>
            </w:r>
            <w:r>
              <w:rPr>
                <w:rFonts w:ascii="Times New Roman" w:cs="Times New Roman" w:eastAsia="Times New Roman" w:hAnsi="Times New Roman"/>
                <w:sz w:val="25"/>
                <w:szCs w:val="25"/>
                <w:color w:val="auto"/>
                <w:w w:val="96"/>
                <w:vertAlign w:val="superscript"/>
              </w:rPr>
              <w:t>(5)</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7"/>
              </w:rPr>
              <w:t>DLOM</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15.0%</w:t>
            </w:r>
          </w:p>
        </w:tc>
        <w:tc>
          <w:tcPr>
            <w:tcW w:w="0" w:type="dxa"/>
            <w:vAlign w:val="bottom"/>
          </w:tcPr>
          <w:p>
            <w:pPr>
              <w:spacing w:after="0"/>
              <w:rPr>
                <w:sz w:val="1"/>
                <w:szCs w:val="1"/>
                <w:color w:val="auto"/>
              </w:rPr>
            </w:pPr>
          </w:p>
        </w:tc>
      </w:tr>
      <w:tr>
        <w:trPr>
          <w:trHeight w:val="207"/>
        </w:trPr>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Options</w:t>
            </w:r>
          </w:p>
        </w:tc>
        <w:tc>
          <w:tcPr>
            <w:tcW w:w="1820" w:type="dxa"/>
            <w:vAlign w:val="bottom"/>
            <w:gridSpan w:val="2"/>
          </w:tcPr>
          <w:p>
            <w:pPr>
              <w:jc w:val="center"/>
              <w:ind w:left="162"/>
              <w:spacing w:after="0"/>
              <w:rPr>
                <w:sz w:val="20"/>
                <w:szCs w:val="20"/>
                <w:color w:val="auto"/>
              </w:rPr>
            </w:pPr>
            <w:r>
              <w:rPr>
                <w:rFonts w:ascii="Times New Roman" w:cs="Times New Roman" w:eastAsia="Times New Roman" w:hAnsi="Times New Roman"/>
                <w:sz w:val="16"/>
                <w:szCs w:val="16"/>
                <w:color w:val="auto"/>
                <w:w w:val="97"/>
              </w:rPr>
              <w:t>$3,638,161</w:t>
            </w:r>
          </w:p>
        </w:tc>
        <w:tc>
          <w:tcPr>
            <w:tcW w:w="220" w:type="dxa"/>
            <w:vAlign w:val="bottom"/>
          </w:tcPr>
          <w:p>
            <w:pPr>
              <w:spacing w:after="0"/>
              <w:rPr>
                <w:sz w:val="17"/>
                <w:szCs w:val="17"/>
                <w:color w:val="auto"/>
              </w:rPr>
            </w:pPr>
          </w:p>
        </w:tc>
        <w:tc>
          <w:tcPr>
            <w:tcW w:w="2920" w:type="dxa"/>
            <w:vAlign w:val="bottom"/>
            <w:gridSpan w:val="2"/>
          </w:tcPr>
          <w:p>
            <w:pPr>
              <w:jc w:val="center"/>
              <w:ind w:right="240"/>
              <w:spacing w:after="0" w:line="207" w:lineRule="exact"/>
              <w:rPr>
                <w:sz w:val="20"/>
                <w:szCs w:val="20"/>
                <w:color w:val="auto"/>
              </w:rPr>
            </w:pPr>
            <w:r>
              <w:rPr>
                <w:rFonts w:ascii="Times New Roman" w:cs="Times New Roman" w:eastAsia="Times New Roman" w:hAnsi="Times New Roman"/>
                <w:sz w:val="14"/>
                <w:szCs w:val="14"/>
                <w:color w:val="auto"/>
              </w:rPr>
              <w:t>PWERM</w:t>
            </w:r>
            <w:r>
              <w:rPr>
                <w:rFonts w:ascii="Times New Roman" w:cs="Times New Roman" w:eastAsia="Times New Roman" w:hAnsi="Times New Roman"/>
                <w:sz w:val="23"/>
                <w:szCs w:val="23"/>
                <w:color w:val="auto"/>
                <w:vertAlign w:val="superscript"/>
              </w:rPr>
              <w:t>(5)</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6"/>
              </w:rPr>
              <w:t>Term to expiration (Years)</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0.65 - 5.63 (0.79)</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4"/>
              </w:rPr>
              <w:t>Volatility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70%</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Discount Rate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15.0%</w:t>
            </w:r>
          </w:p>
        </w:tc>
        <w:tc>
          <w:tcPr>
            <w:tcW w:w="0" w:type="dxa"/>
            <w:vAlign w:val="bottom"/>
          </w:tcPr>
          <w:p>
            <w:pPr>
              <w:spacing w:after="0"/>
              <w:rPr>
                <w:sz w:val="1"/>
                <w:szCs w:val="1"/>
                <w:color w:val="auto"/>
              </w:rPr>
            </w:pPr>
          </w:p>
        </w:tc>
      </w:tr>
      <w:tr>
        <w:trPr>
          <w:trHeight w:val="204"/>
        </w:trPr>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DLOM</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15% - 18% (16.0%)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179133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8" w:lineRule="exact"/>
        <w:rPr>
          <w:sz w:val="20"/>
          <w:szCs w:val="20"/>
          <w:color w:val="auto"/>
        </w:rPr>
      </w:pPr>
    </w:p>
    <w:p>
      <w:pPr>
        <w:jc w:val="both"/>
        <w:ind w:left="566" w:hanging="566"/>
        <w:spacing w:after="0" w:line="249" w:lineRule="auto"/>
        <w:tabs>
          <w:tab w:leader="none" w:pos="56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1" w:lineRule="exact"/>
        <w:rPr>
          <w:rFonts w:ascii="Times New Roman" w:cs="Times New Roman" w:eastAsia="Times New Roman" w:hAnsi="Times New Roman"/>
          <w:sz w:val="16"/>
          <w:szCs w:val="16"/>
          <w:color w:val="auto"/>
        </w:rPr>
      </w:pPr>
    </w:p>
    <w:p>
      <w:pPr>
        <w:jc w:val="both"/>
        <w:ind w:left="566" w:hanging="566"/>
        <w:spacing w:after="0" w:line="245" w:lineRule="auto"/>
        <w:tabs>
          <w:tab w:leader="none" w:pos="56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2"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averages are calculated based on the fair market value of each investment.</w:t>
      </w:r>
    </w:p>
    <w:p>
      <w:pPr>
        <w:spacing w:after="0" w:line="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Funds From Operations, or “AFFO”.</w:t>
      </w:r>
    </w:p>
    <w:p>
      <w:pPr>
        <w:spacing w:after="0" w:line="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Probability-Weighted Expected Return Method, or “PWERM”.</w:t>
      </w:r>
    </w:p>
    <w:p>
      <w:pPr>
        <w:spacing w:after="0" w:line="17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96" w:name="page97"/>
    <w:bookmarkEnd w:id="96"/>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tbl>
      <w:tblPr>
        <w:tblLayout w:type="fixed"/>
        <w:tblInd w:w="6" w:type="dxa"/>
        <w:tblCellMar>
          <w:top w:w="0" w:type="dxa"/>
          <w:left w:w="0" w:type="dxa"/>
          <w:bottom w:w="0" w:type="dxa"/>
          <w:right w:w="0" w:type="dxa"/>
        </w:tblCellMar>
      </w:tblPr>
      <w:tr>
        <w:trPr>
          <w:trHeight w:val="206"/>
        </w:trPr>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Asset</w:t>
            </w:r>
          </w:p>
        </w:tc>
        <w:tc>
          <w:tcPr>
            <w:tcW w:w="220" w:type="dxa"/>
            <w:vAlign w:val="bottom"/>
          </w:tcPr>
          <w:p>
            <w:pPr>
              <w:spacing w:after="0"/>
              <w:rPr>
                <w:sz w:val="24"/>
                <w:szCs w:val="24"/>
                <w:color w:val="auto"/>
              </w:rPr>
            </w:pPr>
          </w:p>
        </w:tc>
        <w:tc>
          <w:tcPr>
            <w:tcW w:w="160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24"/>
                <w:szCs w:val="24"/>
                <w:color w:val="auto"/>
              </w:rPr>
            </w:pPr>
          </w:p>
        </w:tc>
        <w:tc>
          <w:tcPr>
            <w:tcW w:w="2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Valuation Approach/ Technique</w:t>
            </w:r>
            <w:r>
              <w:rPr>
                <w:rFonts w:ascii="Times New Roman" w:cs="Times New Roman" w:eastAsia="Times New Roman" w:hAnsi="Times New Roman"/>
                <w:sz w:val="26"/>
                <w:szCs w:val="26"/>
                <w:b w:val="1"/>
                <w:bCs w:val="1"/>
                <w:color w:val="auto"/>
                <w:w w:val="94"/>
                <w:vertAlign w:val="superscript"/>
              </w:rPr>
              <w:t>(1)</w:t>
            </w:r>
          </w:p>
        </w:tc>
        <w:tc>
          <w:tcPr>
            <w:tcW w:w="2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Unobservable Inputs</w:t>
            </w:r>
            <w:r>
              <w:rPr>
                <w:rFonts w:ascii="Times New Roman" w:cs="Times New Roman" w:eastAsia="Times New Roman" w:hAnsi="Times New Roman"/>
                <w:sz w:val="26"/>
                <w:szCs w:val="26"/>
                <w:b w:val="1"/>
                <w:bCs w:val="1"/>
                <w:color w:val="auto"/>
                <w:w w:val="94"/>
                <w:vertAlign w:val="superscript"/>
              </w:rPr>
              <w:t>(2)</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Range (Weighted Average)</w:t>
            </w:r>
          </w:p>
        </w:tc>
        <w:tc>
          <w:tcPr>
            <w:tcW w:w="0" w:type="dxa"/>
            <w:vAlign w:val="bottom"/>
          </w:tcPr>
          <w:p>
            <w:pPr>
              <w:spacing w:after="0"/>
              <w:rPr>
                <w:sz w:val="1"/>
                <w:szCs w:val="1"/>
                <w:color w:val="auto"/>
              </w:rPr>
            </w:pPr>
          </w:p>
        </w:tc>
      </w:tr>
      <w:tr>
        <w:trPr>
          <w:trHeight w:val="195"/>
        </w:trPr>
        <w:tc>
          <w:tcPr>
            <w:tcW w:w="2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188"/>
        </w:trPr>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Common stock in private companies</w:t>
            </w:r>
          </w:p>
        </w:tc>
        <w:tc>
          <w:tcPr>
            <w:tcW w:w="2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$18,692,931</w:t>
            </w:r>
          </w:p>
        </w:tc>
        <w:tc>
          <w:tcPr>
            <w:tcW w:w="22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Market approach</w:t>
            </w:r>
          </w:p>
        </w:tc>
        <w:tc>
          <w:tcPr>
            <w:tcW w:w="22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22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1.06x - 4.42x (1.74x)</w:t>
            </w: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7"/>
              </w:rPr>
              <w:t>Liquidation Value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240"/>
              <w:spacing w:after="0" w:line="223" w:lineRule="exact"/>
              <w:rPr>
                <w:sz w:val="20"/>
                <w:szCs w:val="20"/>
                <w:color w:val="auto"/>
              </w:rPr>
            </w:pPr>
            <w:r>
              <w:rPr>
                <w:rFonts w:ascii="Times New Roman" w:cs="Times New Roman" w:eastAsia="Times New Roman" w:hAnsi="Times New Roman"/>
                <w:sz w:val="15"/>
                <w:szCs w:val="15"/>
                <w:color w:val="auto"/>
                <w:w w:val="96"/>
              </w:rPr>
              <w:t>PWERM</w:t>
            </w:r>
            <w:r>
              <w:rPr>
                <w:rFonts w:ascii="Times New Roman" w:cs="Times New Roman" w:eastAsia="Times New Roman" w:hAnsi="Times New Roman"/>
                <w:sz w:val="25"/>
                <w:szCs w:val="25"/>
                <w:color w:val="auto"/>
                <w:w w:val="96"/>
                <w:vertAlign w:val="superscript"/>
              </w:rPr>
              <w:t>(5)</w:t>
            </w:r>
          </w:p>
        </w:tc>
        <w:tc>
          <w:tcPr>
            <w:tcW w:w="2020" w:type="dxa"/>
            <w:vAlign w:val="bottom"/>
            <w:gridSpan w:val="2"/>
            <w:shd w:val="clear" w:color="auto" w:fill="CCEEFF"/>
          </w:tcPr>
          <w:p>
            <w:pPr>
              <w:jc w:val="center"/>
              <w:ind w:right="240"/>
              <w:spacing w:after="0" w:line="223" w:lineRule="exact"/>
              <w:rPr>
                <w:sz w:val="20"/>
                <w:szCs w:val="20"/>
                <w:color w:val="auto"/>
              </w:rPr>
            </w:pPr>
            <w:r>
              <w:rPr>
                <w:rFonts w:ascii="Times New Roman" w:cs="Times New Roman" w:eastAsia="Times New Roman" w:hAnsi="Times New Roman"/>
                <w:sz w:val="15"/>
                <w:szCs w:val="15"/>
                <w:color w:val="auto"/>
                <w:w w:val="98"/>
              </w:rPr>
              <w:t>AFFO</w:t>
            </w:r>
            <w:r>
              <w:rPr>
                <w:rFonts w:ascii="Times New Roman" w:cs="Times New Roman" w:eastAsia="Times New Roman" w:hAnsi="Times New Roman"/>
                <w:sz w:val="25"/>
                <w:szCs w:val="25"/>
                <w:color w:val="auto"/>
                <w:w w:val="98"/>
                <w:vertAlign w:val="superscript"/>
              </w:rPr>
              <w:t>(4)</w:t>
            </w:r>
            <w:r>
              <w:rPr>
                <w:rFonts w:ascii="Times New Roman" w:cs="Times New Roman" w:eastAsia="Times New Roman" w:hAnsi="Times New Roman"/>
                <w:sz w:val="15"/>
                <w:szCs w:val="15"/>
                <w:color w:val="auto"/>
                <w:w w:val="98"/>
              </w:rPr>
              <w:t xml:space="preserve"> multiple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8.62x -12.62x (10.94x)</w:t>
            </w: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Market approach</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0.47x - 5.45x (2.38x)</w:t>
            </w: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7"/>
              </w:rPr>
              <w:t>Liquidation Value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0" w:type="dxa"/>
            <w:vAlign w:val="bottom"/>
          </w:tcPr>
          <w:p>
            <w:pPr>
              <w:spacing w:after="0"/>
              <w:rPr>
                <w:sz w:val="1"/>
                <w:szCs w:val="1"/>
                <w:color w:val="auto"/>
              </w:rPr>
            </w:pPr>
          </w:p>
        </w:tc>
      </w:tr>
      <w:tr>
        <w:trPr>
          <w:trHeight w:val="175"/>
        </w:trPr>
        <w:tc>
          <w:tcPr>
            <w:tcW w:w="24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Preferred stock in private companies</w:t>
            </w:r>
          </w:p>
        </w:tc>
        <w:tc>
          <w:tcPr>
            <w:tcW w:w="220" w:type="dxa"/>
            <w:vAlign w:val="bottom"/>
          </w:tcPr>
          <w:p>
            <w:pPr>
              <w:spacing w:after="0"/>
              <w:rPr>
                <w:sz w:val="15"/>
                <w:szCs w:val="15"/>
                <w:color w:val="auto"/>
              </w:rPr>
            </w:pPr>
          </w:p>
        </w:tc>
        <w:tc>
          <w:tcPr>
            <w:tcW w:w="1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$117,214,465</w:t>
            </w:r>
          </w:p>
        </w:tc>
        <w:tc>
          <w:tcPr>
            <w:tcW w:w="220" w:type="dxa"/>
            <w:vAlign w:val="bottom"/>
          </w:tcPr>
          <w:p>
            <w:pPr>
              <w:spacing w:after="0"/>
              <w:rPr>
                <w:sz w:val="15"/>
                <w:szCs w:val="15"/>
                <w:color w:val="auto"/>
              </w:rPr>
            </w:pPr>
          </w:p>
        </w:tc>
        <w:tc>
          <w:tcPr>
            <w:tcW w:w="292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color w:val="auto"/>
                <w:w w:val="98"/>
              </w:rPr>
              <w:t>Discounted cash flow</w:t>
            </w:r>
          </w:p>
        </w:tc>
        <w:tc>
          <w:tcPr>
            <w:tcW w:w="202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w w:val="97"/>
              </w:rPr>
              <w:t>Discount rate</w:t>
            </w:r>
          </w:p>
        </w:tc>
        <w:tc>
          <w:tcPr>
            <w:tcW w:w="1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15.0% (15.0%)</w:t>
            </w: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2"/>
          </w:tcPr>
          <w:p>
            <w:pPr>
              <w:jc w:val="center"/>
              <w:ind w:right="240"/>
              <w:spacing w:after="0" w:line="220" w:lineRule="exact"/>
              <w:rPr>
                <w:sz w:val="20"/>
                <w:szCs w:val="20"/>
                <w:color w:val="auto"/>
              </w:rPr>
            </w:pPr>
            <w:r>
              <w:rPr>
                <w:rFonts w:ascii="Times New Roman" w:cs="Times New Roman" w:eastAsia="Times New Roman" w:hAnsi="Times New Roman"/>
                <w:sz w:val="15"/>
                <w:szCs w:val="15"/>
                <w:color w:val="auto"/>
                <w:w w:val="96"/>
              </w:rPr>
              <w:t>PWERM</w:t>
            </w:r>
            <w:r>
              <w:rPr>
                <w:rFonts w:ascii="Times New Roman" w:cs="Times New Roman" w:eastAsia="Times New Roman" w:hAnsi="Times New Roman"/>
                <w:sz w:val="25"/>
                <w:szCs w:val="25"/>
                <w:color w:val="auto"/>
                <w:w w:val="96"/>
                <w:vertAlign w:val="superscript"/>
              </w:rPr>
              <w:t>(5)</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1.17x - 1.26x</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DLOM</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10.0% (10.0%)</w:t>
            </w:r>
          </w:p>
        </w:tc>
        <w:tc>
          <w:tcPr>
            <w:tcW w:w="0" w:type="dxa"/>
            <w:vAlign w:val="bottom"/>
          </w:tcPr>
          <w:p>
            <w:pPr>
              <w:spacing w:after="0"/>
              <w:rPr>
                <w:sz w:val="1"/>
                <w:szCs w:val="1"/>
                <w:color w:val="auto"/>
              </w:rPr>
            </w:pPr>
          </w:p>
        </w:tc>
      </w:tr>
      <w:tr>
        <w:trPr>
          <w:trHeight w:val="204"/>
        </w:trPr>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6"/>
              </w:rPr>
              <w:t>Financing Risk</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10.0% (10.0%)</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Debt investments</w:t>
            </w:r>
          </w:p>
        </w:tc>
        <w:tc>
          <w:tcPr>
            <w:tcW w:w="1820" w:type="dxa"/>
            <w:vAlign w:val="bottom"/>
            <w:gridSpan w:val="2"/>
            <w:shd w:val="clear" w:color="auto" w:fill="CCEEFF"/>
          </w:tcPr>
          <w:p>
            <w:pPr>
              <w:jc w:val="center"/>
              <w:ind w:left="162"/>
              <w:spacing w:after="0"/>
              <w:rPr>
                <w:sz w:val="20"/>
                <w:szCs w:val="20"/>
                <w:color w:val="auto"/>
              </w:rPr>
            </w:pPr>
            <w:r>
              <w:rPr>
                <w:rFonts w:ascii="Times New Roman" w:cs="Times New Roman" w:eastAsia="Times New Roman" w:hAnsi="Times New Roman"/>
                <w:sz w:val="16"/>
                <w:szCs w:val="16"/>
                <w:color w:val="auto"/>
                <w:w w:val="97"/>
              </w:rPr>
              <w:t>$4,488,200</w:t>
            </w:r>
          </w:p>
        </w:tc>
        <w:tc>
          <w:tcPr>
            <w:tcW w:w="220" w:type="dxa"/>
            <w:vAlign w:val="bottom"/>
            <w:shd w:val="clear" w:color="auto" w:fill="CCEEFF"/>
          </w:tcPr>
          <w:p>
            <w:pPr>
              <w:spacing w:after="0"/>
              <w:rPr>
                <w:sz w:val="16"/>
                <w:szCs w:val="16"/>
                <w:color w:val="auto"/>
              </w:rPr>
            </w:pPr>
          </w:p>
        </w:tc>
        <w:tc>
          <w:tcPr>
            <w:tcW w:w="2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w w:val="97"/>
              </w:rPr>
              <w:t>Market approach</w:t>
            </w:r>
          </w:p>
        </w:tc>
        <w:tc>
          <w:tcPr>
            <w:tcW w:w="2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8"/>
              </w:rPr>
              <w:t>Revenue multiples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0.47x - 5.45x (3.6x)</w:t>
            </w:r>
          </w:p>
        </w:tc>
        <w:tc>
          <w:tcPr>
            <w:tcW w:w="0" w:type="dxa"/>
            <w:vAlign w:val="bottom"/>
          </w:tcPr>
          <w:p>
            <w:pPr>
              <w:spacing w:after="0"/>
              <w:rPr>
                <w:sz w:val="1"/>
                <w:szCs w:val="1"/>
                <w:color w:val="auto"/>
              </w:rPr>
            </w:pPr>
          </w:p>
        </w:tc>
      </w:tr>
      <w:tr>
        <w:trPr>
          <w:trHeight w:val="172"/>
        </w:trPr>
        <w:tc>
          <w:tcPr>
            <w:tcW w:w="24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8"/>
              </w:rPr>
              <w:t>Options</w:t>
            </w:r>
          </w:p>
        </w:tc>
        <w:tc>
          <w:tcPr>
            <w:tcW w:w="1820" w:type="dxa"/>
            <w:vAlign w:val="bottom"/>
            <w:gridSpan w:val="2"/>
          </w:tcPr>
          <w:p>
            <w:pPr>
              <w:jc w:val="center"/>
              <w:ind w:left="162"/>
              <w:spacing w:after="0" w:line="171" w:lineRule="exact"/>
              <w:rPr>
                <w:sz w:val="20"/>
                <w:szCs w:val="20"/>
                <w:color w:val="auto"/>
              </w:rPr>
            </w:pPr>
            <w:r>
              <w:rPr>
                <w:rFonts w:ascii="Times New Roman" w:cs="Times New Roman" w:eastAsia="Times New Roman" w:hAnsi="Times New Roman"/>
                <w:sz w:val="16"/>
                <w:szCs w:val="16"/>
                <w:color w:val="auto"/>
                <w:w w:val="97"/>
              </w:rPr>
              <w:t>$3,469,497</w:t>
            </w:r>
          </w:p>
        </w:tc>
        <w:tc>
          <w:tcPr>
            <w:tcW w:w="220" w:type="dxa"/>
            <w:vAlign w:val="bottom"/>
          </w:tcPr>
          <w:p>
            <w:pPr>
              <w:spacing w:after="0"/>
              <w:rPr>
                <w:sz w:val="14"/>
                <w:szCs w:val="14"/>
                <w:color w:val="auto"/>
              </w:rPr>
            </w:pPr>
          </w:p>
        </w:tc>
        <w:tc>
          <w:tcPr>
            <w:tcW w:w="2920" w:type="dxa"/>
            <w:vAlign w:val="bottom"/>
            <w:gridSpan w:val="2"/>
          </w:tcPr>
          <w:p>
            <w:pPr>
              <w:jc w:val="center"/>
              <w:ind w:right="220"/>
              <w:spacing w:after="0" w:line="171" w:lineRule="exact"/>
              <w:rPr>
                <w:sz w:val="20"/>
                <w:szCs w:val="20"/>
                <w:color w:val="auto"/>
              </w:rPr>
            </w:pPr>
            <w:r>
              <w:rPr>
                <w:rFonts w:ascii="Times New Roman" w:cs="Times New Roman" w:eastAsia="Times New Roman" w:hAnsi="Times New Roman"/>
                <w:sz w:val="16"/>
                <w:szCs w:val="16"/>
                <w:color w:val="auto"/>
                <w:w w:val="97"/>
              </w:rPr>
              <w:t>Option pricing model</w:t>
            </w:r>
          </w:p>
        </w:tc>
        <w:tc>
          <w:tcPr>
            <w:tcW w:w="202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6"/>
                <w:szCs w:val="16"/>
                <w:color w:val="auto"/>
                <w:w w:val="96"/>
              </w:rPr>
              <w:t>Term to expiration (Years)</w:t>
            </w:r>
          </w:p>
        </w:tc>
        <w:tc>
          <w:tcPr>
            <w:tcW w:w="18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8"/>
              </w:rPr>
              <w:t>1.00x - 5.29x (1.65x)</w:t>
            </w:r>
          </w:p>
        </w:tc>
        <w:tc>
          <w:tcPr>
            <w:tcW w:w="0" w:type="dxa"/>
            <w:vAlign w:val="bottom"/>
          </w:tcPr>
          <w:p>
            <w:pPr>
              <w:spacing w:after="0"/>
              <w:rPr>
                <w:sz w:val="1"/>
                <w:szCs w:val="1"/>
                <w:color w:val="auto"/>
              </w:rPr>
            </w:pPr>
          </w:p>
        </w:tc>
      </w:tr>
      <w:tr>
        <w:trPr>
          <w:trHeight w:val="204"/>
        </w:trPr>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Discounted cash flow</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Discount Rate</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15.0% (15.0%)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179133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211" w:lineRule="exact"/>
        <w:rPr>
          <w:sz w:val="20"/>
          <w:szCs w:val="20"/>
          <w:color w:val="auto"/>
        </w:rPr>
      </w:pPr>
    </w:p>
    <w:p>
      <w:pPr>
        <w:jc w:val="both"/>
        <w:ind w:left="566" w:hanging="566"/>
        <w:spacing w:after="0" w:line="249" w:lineRule="auto"/>
        <w:tabs>
          <w:tab w:leader="none" w:pos="56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2022, the Board of Directors used a hybrid market and income approach to value certain common and preferred stock investments, as the Board of Directors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1" w:lineRule="exact"/>
        <w:rPr>
          <w:rFonts w:ascii="Times New Roman" w:cs="Times New Roman" w:eastAsia="Times New Roman" w:hAnsi="Times New Roman"/>
          <w:sz w:val="16"/>
          <w:szCs w:val="16"/>
          <w:color w:val="auto"/>
        </w:rPr>
      </w:pPr>
    </w:p>
    <w:p>
      <w:pPr>
        <w:jc w:val="both"/>
        <w:ind w:left="566" w:hanging="566"/>
        <w:spacing w:after="0" w:line="245" w:lineRule="auto"/>
        <w:tabs>
          <w:tab w:leader="none" w:pos="56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of Directors carefully considers numerous factors when selecting the appropriate companies whose multiples are used to value the Company’s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 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2"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averages are calculated based on the fair market value of each investment.</w:t>
      </w:r>
    </w:p>
    <w:p>
      <w:pPr>
        <w:spacing w:after="0" w:line="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Funds From Operations, or “AFFO”.</w:t>
      </w:r>
    </w:p>
    <w:p>
      <w:pPr>
        <w:spacing w:after="0" w:line="4"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Probability-Weighted Expected Return Method, or “PWERM”.</w:t>
      </w:r>
    </w:p>
    <w:p>
      <w:pPr>
        <w:spacing w:after="0" w:line="17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97" w:name="page98"/>
    <w:bookmarkEnd w:id="97"/>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7"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6"/>
          <w:szCs w:val="16"/>
          <w:color w:val="auto"/>
        </w:rPr>
        <w:t>The aggregate values of Level 3 assets and liabilities changed during the year ended December 31, 2023 as follows:</w:t>
      </w:r>
    </w:p>
    <w:p>
      <w:pPr>
        <w:spacing w:after="0" w:line="20"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4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7"/>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460"/>
              <w:spacing w:after="0" w:line="170" w:lineRule="exact"/>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40"/>
              <w:spacing w:after="0" w:line="170" w:lineRule="exact"/>
              <w:rPr>
                <w:sz w:val="20"/>
                <w:szCs w:val="20"/>
                <w:color w:val="auto"/>
              </w:rPr>
            </w:pPr>
            <w:r>
              <w:rPr>
                <w:rFonts w:ascii="Times New Roman" w:cs="Times New Roman" w:eastAsia="Times New Roman" w:hAnsi="Times New Roman"/>
                <w:sz w:val="16"/>
                <w:szCs w:val="16"/>
                <w:b w:val="1"/>
                <w:bCs w:val="1"/>
                <w:color w:val="auto"/>
              </w:rPr>
              <w:t>Preferred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720"/>
              <w:spacing w:after="0" w:line="170" w:lineRule="exact"/>
              <w:rPr>
                <w:sz w:val="20"/>
                <w:szCs w:val="20"/>
                <w:color w:val="auto"/>
              </w:rPr>
            </w:pPr>
            <w:r>
              <w:rPr>
                <w:rFonts w:ascii="Times New Roman" w:cs="Times New Roman" w:eastAsia="Times New Roman" w:hAnsi="Times New Roman"/>
                <w:sz w:val="16"/>
                <w:szCs w:val="16"/>
                <w:b w:val="1"/>
                <w:bCs w:val="1"/>
                <w:color w:val="auto"/>
              </w:rPr>
              <w:t>Debt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99"/>
              </w:rPr>
              <w:t>Investments</w:t>
            </w:r>
          </w:p>
        </w:tc>
        <w:tc>
          <w:tcPr>
            <w:tcW w:w="2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Pr>
          <w:p>
            <w:pPr>
              <w:spacing w:after="0"/>
              <w:rPr>
                <w:sz w:val="18"/>
                <w:szCs w:val="18"/>
                <w:color w:val="auto"/>
              </w:rPr>
            </w:pPr>
          </w:p>
        </w:tc>
        <w:tc>
          <w:tcPr>
            <w:tcW w:w="102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8"/>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Fair Value as of December 31, 2022</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18,692,931</w:t>
            </w:r>
          </w:p>
        </w:tc>
        <w:tc>
          <w:tcPr>
            <w:tcW w:w="32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117,214,465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4,488,200</w:t>
            </w:r>
          </w:p>
        </w:tc>
        <w:tc>
          <w:tcPr>
            <w:tcW w:w="320" w:type="dxa"/>
            <w:vAlign w:val="bottom"/>
          </w:tcPr>
          <w:p>
            <w:pPr>
              <w:spacing w:after="0"/>
              <w:rPr>
                <w:sz w:val="16"/>
                <w:szCs w:val="16"/>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3,469,497</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143,865,093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out of Level 3</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(1,554,355)</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(1,157,487)</w:t>
            </w: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(2,711,842)</w:t>
            </w:r>
          </w:p>
        </w:tc>
        <w:tc>
          <w:tcPr>
            <w:tcW w:w="0" w:type="dxa"/>
            <w:vAlign w:val="bottom"/>
          </w:tcPr>
          <w:p>
            <w:pPr>
              <w:spacing w:after="0"/>
              <w:rPr>
                <w:sz w:val="1"/>
                <w:szCs w:val="1"/>
                <w:color w:val="auto"/>
              </w:rPr>
            </w:pPr>
          </w:p>
        </w:tc>
      </w:tr>
      <w:tr>
        <w:trPr>
          <w:trHeight w:val="188"/>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Purchases, capitalized fees and interest</w:t>
            </w: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19,380,910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2,510,363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329,883</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2,264,274</w:t>
            </w:r>
          </w:p>
        </w:tc>
        <w:tc>
          <w:tcPr>
            <w:tcW w:w="2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24,485,430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Sales/Maturity of investments</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(369,222)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(1,000,000)</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(5,080)</w:t>
            </w: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(1,374,302)</w:t>
            </w:r>
          </w:p>
        </w:tc>
        <w:tc>
          <w:tcPr>
            <w:tcW w:w="0" w:type="dxa"/>
            <w:vAlign w:val="bottom"/>
          </w:tcPr>
          <w:p>
            <w:pPr>
              <w:spacing w:after="0"/>
              <w:rPr>
                <w:sz w:val="1"/>
                <w:szCs w:val="1"/>
                <w:color w:val="auto"/>
              </w:rPr>
            </w:pPr>
          </w:p>
        </w:tc>
      </w:tr>
      <w:tr>
        <w:trPr>
          <w:trHeight w:val="223"/>
        </w:trPr>
        <w:tc>
          <w:tcPr>
            <w:tcW w:w="4180" w:type="dxa"/>
            <w:vAlign w:val="bottom"/>
          </w:tcPr>
          <w:p>
            <w:pPr>
              <w:spacing w:after="0" w:line="223" w:lineRule="exact"/>
              <w:rPr>
                <w:sz w:val="20"/>
                <w:szCs w:val="20"/>
                <w:color w:val="auto"/>
              </w:rPr>
            </w:pPr>
            <w:r>
              <w:rPr>
                <w:rFonts w:ascii="Times New Roman" w:cs="Times New Roman" w:eastAsia="Times New Roman" w:hAnsi="Times New Roman"/>
                <w:sz w:val="15"/>
                <w:szCs w:val="15"/>
                <w:color w:val="auto"/>
              </w:rPr>
              <w:t>Exercises and conversions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3,751,518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(2,859,095)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(500,000)</w:t>
            </w:r>
          </w:p>
        </w:tc>
        <w:tc>
          <w:tcPr>
            <w:tcW w:w="2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(361,603)</w:t>
            </w:r>
          </w:p>
        </w:tc>
        <w:tc>
          <w:tcPr>
            <w:tcW w:w="20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30,820</w:t>
            </w:r>
          </w:p>
        </w:tc>
        <w:tc>
          <w:tcPr>
            <w:tcW w:w="0" w:type="dxa"/>
            <w:vAlign w:val="bottom"/>
          </w:tcPr>
          <w:p>
            <w:pPr>
              <w:spacing w:after="0"/>
              <w:rPr>
                <w:sz w:val="1"/>
                <w:szCs w:val="1"/>
                <w:color w:val="auto"/>
              </w:rPr>
            </w:pPr>
          </w:p>
        </w:tc>
      </w:tr>
      <w:tr>
        <w:trPr>
          <w:trHeight w:val="18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gains/(losses)</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1,195,703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(10,914,376)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(96,350)</w:t>
            </w:r>
          </w:p>
        </w:tc>
        <w:tc>
          <w:tcPr>
            <w:tcW w:w="2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(9,815,023)</w:t>
            </w:r>
          </w:p>
        </w:tc>
        <w:tc>
          <w:tcPr>
            <w:tcW w:w="0" w:type="dxa"/>
            <w:vAlign w:val="bottom"/>
          </w:tcPr>
          <w:p>
            <w:pPr>
              <w:spacing w:after="0"/>
              <w:rPr>
                <w:sz w:val="1"/>
                <w:szCs w:val="1"/>
                <w:color w:val="auto"/>
              </w:rPr>
            </w:pPr>
          </w:p>
        </w:tc>
      </w:tr>
      <w:tr>
        <w:trPr>
          <w:trHeight w:val="172"/>
        </w:trPr>
        <w:tc>
          <w:tcPr>
            <w:tcW w:w="41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Net change in unrealized appreciation/(depreciation) included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in earnings</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(2,010,693)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16,793,207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(219,349)</w:t>
            </w:r>
          </w:p>
        </w:tc>
        <w:tc>
          <w:tcPr>
            <w:tcW w:w="2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(475,090)</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14,088,075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as of December 31, 2023</w:t>
            </w: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39,086,792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122,744,564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3,098,734</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3,638,161</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168,568,251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line="163" w:lineRule="exact"/>
              <w:rPr>
                <w:sz w:val="20"/>
                <w:szCs w:val="20"/>
                <w:color w:val="auto"/>
              </w:rPr>
            </w:pPr>
            <w:r>
              <w:rPr>
                <w:rFonts w:ascii="Times New Roman" w:cs="Times New Roman" w:eastAsia="Times New Roman" w:hAnsi="Times New Roman"/>
                <w:sz w:val="16"/>
                <w:szCs w:val="16"/>
                <w:color w:val="auto"/>
              </w:rPr>
              <w:t>Net change in unrealized appreciation/ (depreciation) of Level</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1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3 investments still held as of December 31, 2023</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(2,010,694)</w:t>
            </w:r>
          </w:p>
        </w:tc>
        <w:tc>
          <w:tcPr>
            <w:tcW w:w="32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5,878,830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(219,349)</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(512,480)</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3,136,307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9133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ind w:left="566" w:hanging="566"/>
        <w:spacing w:after="0"/>
        <w:tabs>
          <w:tab w:leader="none" w:pos="566"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2023, the Company’s portfolio investments had the following corporate actions which are reflected above:</w:t>
      </w:r>
    </w:p>
    <w:p>
      <w:pPr>
        <w:spacing w:after="0" w:line="202"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Borders>
              <w:bottom w:val="single" w:sz="8" w:color="CCEEFF"/>
            </w:tcBorders>
          </w:tcPr>
          <w:p>
            <w:pPr>
              <w:spacing w:after="0"/>
              <w:rPr>
                <w:sz w:val="18"/>
                <w:szCs w:val="18"/>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Conversion from</w:t>
            </w:r>
          </w:p>
        </w:tc>
        <w:tc>
          <w:tcPr>
            <w:tcW w:w="240" w:type="dxa"/>
            <w:vAlign w:val="bottom"/>
            <w:tcBorders>
              <w:bottom w:val="single" w:sz="8" w:color="CCEEFF"/>
            </w:tcBorders>
          </w:tcPr>
          <w:p>
            <w:pPr>
              <w:spacing w:after="0"/>
              <w:rPr>
                <w:sz w:val="18"/>
                <w:szCs w:val="18"/>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Conversion to</w:t>
            </w: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38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7"/>
              </w:rPr>
              <w:t>Preferred shares, Series D</w:t>
            </w:r>
          </w:p>
        </w:tc>
        <w:tc>
          <w:tcPr>
            <w:tcW w:w="4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7"/>
              </w:rPr>
              <w:t>Senior Preferred shares, Series 1</w:t>
            </w:r>
          </w:p>
        </w:tc>
        <w:tc>
          <w:tcPr>
            <w:tcW w:w="0" w:type="dxa"/>
            <w:vAlign w:val="bottom"/>
          </w:tcPr>
          <w:p>
            <w:pPr>
              <w:spacing w:after="0"/>
              <w:rPr>
                <w:sz w:val="1"/>
                <w:szCs w:val="1"/>
                <w:color w:val="auto"/>
              </w:rPr>
            </w:pPr>
          </w:p>
        </w:tc>
      </w:tr>
      <w:tr>
        <w:trPr>
          <w:trHeight w:val="94"/>
        </w:trPr>
        <w:tc>
          <w:tcPr>
            <w:tcW w:w="3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Orchard Technologies, Inc.</w:t>
            </w:r>
          </w:p>
        </w:tc>
        <w:tc>
          <w:tcPr>
            <w:tcW w:w="3380" w:type="dxa"/>
            <w:vAlign w:val="bottom"/>
            <w:gridSpan w:val="2"/>
            <w:vMerge w:val="continue"/>
            <w:shd w:val="clear" w:color="auto" w:fill="CCEEFF"/>
          </w:tcPr>
          <w:p>
            <w:pPr>
              <w:spacing w:after="0"/>
              <w:rPr>
                <w:sz w:val="8"/>
                <w:szCs w:val="8"/>
                <w:color w:val="auto"/>
              </w:rPr>
            </w:pPr>
          </w:p>
        </w:tc>
        <w:tc>
          <w:tcPr>
            <w:tcW w:w="4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Senior Preferred shares, Series 2</w:t>
            </w:r>
          </w:p>
        </w:tc>
        <w:tc>
          <w:tcPr>
            <w:tcW w:w="0" w:type="dxa"/>
            <w:vAlign w:val="bottom"/>
          </w:tcPr>
          <w:p>
            <w:pPr>
              <w:spacing w:after="0"/>
              <w:rPr>
                <w:sz w:val="1"/>
                <w:szCs w:val="1"/>
                <w:color w:val="auto"/>
              </w:rPr>
            </w:pPr>
          </w:p>
        </w:tc>
      </w:tr>
      <w:tr>
        <w:trPr>
          <w:trHeight w:val="94"/>
        </w:trPr>
        <w:tc>
          <w:tcPr>
            <w:tcW w:w="3380" w:type="dxa"/>
            <w:vAlign w:val="bottom"/>
            <w:gridSpan w:val="2"/>
            <w:vMerge w:val="continue"/>
            <w:shd w:val="clear" w:color="auto" w:fill="CCEEFF"/>
          </w:tcPr>
          <w:p>
            <w:pPr>
              <w:spacing w:after="0"/>
              <w:rPr>
                <w:sz w:val="8"/>
                <w:szCs w:val="8"/>
                <w:color w:val="auto"/>
              </w:rPr>
            </w:pPr>
          </w:p>
        </w:tc>
        <w:tc>
          <w:tcPr>
            <w:tcW w:w="338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7"/>
              </w:rPr>
              <w:t>Simple Agreement for Future Equity</w:t>
            </w:r>
          </w:p>
        </w:tc>
        <w:tc>
          <w:tcPr>
            <w:tcW w:w="45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380" w:type="dxa"/>
            <w:vAlign w:val="bottom"/>
            <w:gridSpan w:val="2"/>
            <w:vMerge w:val="continue"/>
            <w:shd w:val="clear" w:color="auto" w:fill="CCEEFF"/>
          </w:tcPr>
          <w:p>
            <w:pPr>
              <w:spacing w:after="0"/>
              <w:rPr>
                <w:sz w:val="9"/>
                <w:szCs w:val="9"/>
                <w:color w:val="auto"/>
              </w:rPr>
            </w:pPr>
          </w:p>
        </w:tc>
        <w:tc>
          <w:tcPr>
            <w:tcW w:w="4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Common Shares, Class A</w:t>
            </w:r>
          </w:p>
        </w:tc>
        <w:tc>
          <w:tcPr>
            <w:tcW w:w="0" w:type="dxa"/>
            <w:vAlign w:val="bottom"/>
          </w:tcPr>
          <w:p>
            <w:pPr>
              <w:spacing w:after="0"/>
              <w:rPr>
                <w:sz w:val="1"/>
                <w:szCs w:val="1"/>
                <w:color w:val="auto"/>
              </w:rPr>
            </w:pPr>
          </w:p>
        </w:tc>
      </w:tr>
      <w:tr>
        <w:trPr>
          <w:trHeight w:val="95"/>
        </w:trPr>
        <w:tc>
          <w:tcPr>
            <w:tcW w:w="3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5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Shogun Enterprises, Inc. (d/b/a Hearth)</w:t>
            </w:r>
          </w:p>
        </w:tc>
        <w:tc>
          <w:tcPr>
            <w:tcW w:w="3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Convertible Note 0.5%</w:t>
            </w: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Preferred Shares, Series B-3</w:t>
            </w: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38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7"/>
              </w:rPr>
              <w:t>Class B Units</w:t>
            </w:r>
          </w:p>
        </w:tc>
        <w:tc>
          <w:tcPr>
            <w:tcW w:w="4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7"/>
              </w:rPr>
              <w:t>PSQ Holdings, Inc. (d/b/a PublicSquare) - Common shares, Class A</w:t>
            </w:r>
          </w:p>
        </w:tc>
        <w:tc>
          <w:tcPr>
            <w:tcW w:w="0" w:type="dxa"/>
            <w:vAlign w:val="bottom"/>
          </w:tcPr>
          <w:p>
            <w:pPr>
              <w:spacing w:after="0"/>
              <w:rPr>
                <w:sz w:val="1"/>
                <w:szCs w:val="1"/>
                <w:color w:val="auto"/>
              </w:rPr>
            </w:pPr>
          </w:p>
        </w:tc>
      </w:tr>
      <w:tr>
        <w:trPr>
          <w:trHeight w:val="94"/>
        </w:trPr>
        <w:tc>
          <w:tcPr>
            <w:tcW w:w="3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Colombier Sponsor LLC</w:t>
            </w:r>
          </w:p>
        </w:tc>
        <w:tc>
          <w:tcPr>
            <w:tcW w:w="3380" w:type="dxa"/>
            <w:vAlign w:val="bottom"/>
            <w:gridSpan w:val="2"/>
            <w:vMerge w:val="continue"/>
            <w:shd w:val="clear" w:color="auto" w:fill="CCEEFF"/>
          </w:tcPr>
          <w:p>
            <w:pPr>
              <w:spacing w:after="0"/>
              <w:rPr>
                <w:sz w:val="8"/>
                <w:szCs w:val="8"/>
                <w:color w:val="auto"/>
              </w:rPr>
            </w:pPr>
          </w:p>
        </w:tc>
        <w:tc>
          <w:tcPr>
            <w:tcW w:w="4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(Level 2)</w:t>
            </w:r>
          </w:p>
        </w:tc>
        <w:tc>
          <w:tcPr>
            <w:tcW w:w="0" w:type="dxa"/>
            <w:vAlign w:val="bottom"/>
          </w:tcPr>
          <w:p>
            <w:pPr>
              <w:spacing w:after="0"/>
              <w:rPr>
                <w:sz w:val="1"/>
                <w:szCs w:val="1"/>
                <w:color w:val="auto"/>
              </w:rPr>
            </w:pPr>
          </w:p>
        </w:tc>
      </w:tr>
      <w:tr>
        <w:trPr>
          <w:trHeight w:val="94"/>
        </w:trPr>
        <w:tc>
          <w:tcPr>
            <w:tcW w:w="3380" w:type="dxa"/>
            <w:vAlign w:val="bottom"/>
            <w:gridSpan w:val="2"/>
            <w:vMerge w:val="continue"/>
            <w:shd w:val="clear" w:color="auto" w:fill="CCEEFF"/>
          </w:tcPr>
          <w:p>
            <w:pPr>
              <w:spacing w:after="0"/>
              <w:rPr>
                <w:sz w:val="8"/>
                <w:szCs w:val="8"/>
                <w:color w:val="auto"/>
              </w:rPr>
            </w:pPr>
          </w:p>
        </w:tc>
        <w:tc>
          <w:tcPr>
            <w:tcW w:w="338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7"/>
              </w:rPr>
              <w:t>Class W Units</w:t>
            </w:r>
          </w:p>
        </w:tc>
        <w:tc>
          <w:tcPr>
            <w:tcW w:w="45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380" w:type="dxa"/>
            <w:vAlign w:val="bottom"/>
            <w:gridSpan w:val="2"/>
            <w:vMerge w:val="continue"/>
            <w:shd w:val="clear" w:color="auto" w:fill="CCEEFF"/>
          </w:tcPr>
          <w:p>
            <w:pPr>
              <w:spacing w:after="0"/>
              <w:rPr>
                <w:sz w:val="9"/>
                <w:szCs w:val="9"/>
                <w:color w:val="auto"/>
              </w:rPr>
            </w:pPr>
          </w:p>
        </w:tc>
        <w:tc>
          <w:tcPr>
            <w:tcW w:w="4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PSQ Holdings, Inc. (d/b/a PublicSquare) Warrants (Level 1)</w:t>
            </w:r>
          </w:p>
        </w:tc>
        <w:tc>
          <w:tcPr>
            <w:tcW w:w="0" w:type="dxa"/>
            <w:vAlign w:val="bottom"/>
          </w:tcPr>
          <w:p>
            <w:pPr>
              <w:spacing w:after="0"/>
              <w:rPr>
                <w:sz w:val="1"/>
                <w:szCs w:val="1"/>
                <w:color w:val="auto"/>
              </w:rPr>
            </w:pPr>
          </w:p>
        </w:tc>
      </w:tr>
      <w:tr>
        <w:trPr>
          <w:trHeight w:val="95"/>
        </w:trPr>
        <w:tc>
          <w:tcPr>
            <w:tcW w:w="3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5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AltC Sponsor LLC</w:t>
            </w:r>
          </w:p>
        </w:tc>
        <w:tc>
          <w:tcPr>
            <w:tcW w:w="3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w w:val="97"/>
              </w:rPr>
              <w:t>Share units</w:t>
            </w:r>
          </w:p>
        </w:tc>
        <w:tc>
          <w:tcPr>
            <w:tcW w:w="45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7"/>
              </w:rPr>
              <w:t>Common shares, Class A</w:t>
            </w:r>
          </w:p>
        </w:tc>
        <w:tc>
          <w:tcPr>
            <w:tcW w:w="0" w:type="dxa"/>
            <w:vAlign w:val="bottom"/>
          </w:tcPr>
          <w:p>
            <w:pPr>
              <w:spacing w:after="0"/>
              <w:rPr>
                <w:sz w:val="1"/>
                <w:szCs w:val="1"/>
                <w:color w:val="auto"/>
              </w:rPr>
            </w:pPr>
          </w:p>
        </w:tc>
      </w:tr>
      <w:tr>
        <w:trPr>
          <w:trHeight w:val="110"/>
        </w:trPr>
        <w:tc>
          <w:tcPr>
            <w:tcW w:w="3380" w:type="dxa"/>
            <w:vAlign w:val="bottom"/>
            <w:gridSpan w:val="2"/>
            <w:vMerge w:val="continue"/>
          </w:tcPr>
          <w:p>
            <w:pPr>
              <w:spacing w:after="0"/>
              <w:rPr>
                <w:sz w:val="9"/>
                <w:szCs w:val="9"/>
                <w:color w:val="auto"/>
              </w:rPr>
            </w:pPr>
          </w:p>
        </w:tc>
        <w:tc>
          <w:tcPr>
            <w:tcW w:w="3380" w:type="dxa"/>
            <w:vAlign w:val="bottom"/>
            <w:gridSpan w:val="2"/>
            <w:vMerge w:val="continue"/>
          </w:tcPr>
          <w:p>
            <w:pPr>
              <w:spacing w:after="0"/>
              <w:rPr>
                <w:sz w:val="9"/>
                <w:szCs w:val="9"/>
                <w:color w:val="auto"/>
              </w:rPr>
            </w:pP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Common shares, Class B</w:t>
            </w:r>
          </w:p>
        </w:tc>
        <w:tc>
          <w:tcPr>
            <w:tcW w:w="0" w:type="dxa"/>
            <w:vAlign w:val="bottom"/>
          </w:tcPr>
          <w:p>
            <w:pPr>
              <w:spacing w:after="0"/>
              <w:rPr>
                <w:sz w:val="1"/>
                <w:szCs w:val="1"/>
                <w:color w:val="auto"/>
              </w:rPr>
            </w:pPr>
          </w:p>
        </w:tc>
      </w:tr>
      <w:tr>
        <w:trPr>
          <w:trHeight w:val="94"/>
        </w:trPr>
        <w:tc>
          <w:tcPr>
            <w:tcW w:w="3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-1080770</wp:posOffset>
            </wp:positionV>
            <wp:extent cx="14160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1605" cy="762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-1080770</wp:posOffset>
            </wp:positionV>
            <wp:extent cx="14160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1605" cy="7620"/>
                    </a:xfrm>
                    <a:prstGeom prst="rect">
                      <a:avLst/>
                    </a:prstGeom>
                    <a:noFill/>
                  </pic:spPr>
                </pic:pic>
              </a:graphicData>
            </a:graphic>
          </wp:anchor>
        </w:drawing>
      </w:r>
    </w:p>
    <w:p>
      <w:pPr>
        <w:spacing w:after="0" w:line="153"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6"/>
          <w:szCs w:val="16"/>
          <w:color w:val="auto"/>
        </w:rPr>
        <w:t>The aggregate values of Level 3 assets and liabilities changed during the year ended December 31, 2022 as follows:</w:t>
      </w:r>
    </w:p>
    <w:p>
      <w:pPr>
        <w:spacing w:after="0" w:line="202"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0"/>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460"/>
              <w:spacing w:after="0" w:line="170" w:lineRule="exact"/>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40"/>
              <w:spacing w:after="0" w:line="170" w:lineRule="exact"/>
              <w:rPr>
                <w:sz w:val="20"/>
                <w:szCs w:val="20"/>
                <w:color w:val="auto"/>
              </w:rPr>
            </w:pPr>
            <w:r>
              <w:rPr>
                <w:rFonts w:ascii="Times New Roman" w:cs="Times New Roman" w:eastAsia="Times New Roman" w:hAnsi="Times New Roman"/>
                <w:sz w:val="16"/>
                <w:szCs w:val="16"/>
                <w:b w:val="1"/>
                <w:bCs w:val="1"/>
                <w:color w:val="auto"/>
              </w:rPr>
              <w:t>Preferred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720"/>
              <w:spacing w:after="0" w:line="170" w:lineRule="exact"/>
              <w:rPr>
                <w:sz w:val="20"/>
                <w:szCs w:val="20"/>
                <w:color w:val="auto"/>
              </w:rPr>
            </w:pPr>
            <w:r>
              <w:rPr>
                <w:rFonts w:ascii="Times New Roman" w:cs="Times New Roman" w:eastAsia="Times New Roman" w:hAnsi="Times New Roman"/>
                <w:sz w:val="16"/>
                <w:szCs w:val="16"/>
                <w:b w:val="1"/>
                <w:bCs w:val="1"/>
                <w:color w:val="auto"/>
              </w:rPr>
              <w:t>Debt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99"/>
              </w:rPr>
              <w:t>Investments</w:t>
            </w:r>
          </w:p>
        </w:tc>
        <w:tc>
          <w:tcPr>
            <w:tcW w:w="2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8"/>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Fair Value as of December 31, 2021</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42,860,156</w:t>
            </w:r>
          </w:p>
        </w:tc>
        <w:tc>
          <w:tcPr>
            <w:tcW w:w="32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163,801,798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3,011,438</w:t>
            </w:r>
          </w:p>
        </w:tc>
        <w:tc>
          <w:tcPr>
            <w:tcW w:w="320" w:type="dxa"/>
            <w:vAlign w:val="bottom"/>
          </w:tcPr>
          <w:p>
            <w:pPr>
              <w:spacing w:after="0"/>
              <w:rPr>
                <w:sz w:val="16"/>
                <w:szCs w:val="16"/>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4,959,112</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214,632,504</w:t>
            </w:r>
          </w:p>
        </w:tc>
      </w:tr>
      <w:tr>
        <w:trPr>
          <w:trHeight w:val="223"/>
        </w:trPr>
        <w:tc>
          <w:tcPr>
            <w:tcW w:w="41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Transfers out of Level 3</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(6,918,251)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(1,775,506)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(48,639)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(8,742,396)</w:t>
            </w:r>
          </w:p>
        </w:tc>
      </w:tr>
      <w:tr>
        <w:trPr>
          <w:trHeight w:val="188"/>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Purchases, capitalized fees and interest</w:t>
            </w: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20,767,788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1,509,093</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503,183</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22,780,064</w:t>
            </w:r>
          </w:p>
        </w:tc>
      </w:tr>
      <w:tr>
        <w:trPr>
          <w:trHeight w:val="18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Sales/Maturity of investments</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(874,470)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(1,000,000)</w:t>
            </w: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(1,874,470)</w:t>
            </w:r>
          </w:p>
        </w:tc>
      </w:tr>
      <w:tr>
        <w:trPr>
          <w:trHeight w:val="188"/>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Realized gains/(losses)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160,965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(70,379)</w:t>
            </w:r>
          </w:p>
        </w:tc>
        <w:tc>
          <w:tcPr>
            <w:tcW w:w="2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90,586</w:t>
            </w:r>
          </w:p>
        </w:tc>
      </w:tr>
      <w:tr>
        <w:trPr>
          <w:trHeight w:val="172"/>
        </w:trPr>
        <w:tc>
          <w:tcPr>
            <w:tcW w:w="41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Net change in unrealized appreciation/(depreciation) included</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3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 earnings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(16,535,469)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(65,579,615)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967,669</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(1,873,780)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(83,021,195)</w:t>
            </w:r>
          </w:p>
        </w:tc>
      </w:tr>
      <w:tr>
        <w:trPr>
          <w:trHeight w:val="224"/>
        </w:trPr>
        <w:tc>
          <w:tcPr>
            <w:tcW w:w="41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Fair Value as of December 31, 2022</w:t>
            </w: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18,692,931</w:t>
            </w:r>
          </w:p>
        </w:tc>
        <w:tc>
          <w:tcPr>
            <w:tcW w:w="20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117,214,465</w:t>
            </w:r>
          </w:p>
        </w:tc>
        <w:tc>
          <w:tcPr>
            <w:tcW w:w="18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4,488,200</w:t>
            </w:r>
          </w:p>
        </w:tc>
        <w:tc>
          <w:tcPr>
            <w:tcW w:w="320" w:type="dxa"/>
            <w:vAlign w:val="bottom"/>
            <w:tcBorders>
              <w:top w:val="single" w:sz="8" w:color="CCEEFF"/>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3,469,497</w:t>
            </w:r>
          </w:p>
        </w:tc>
        <w:tc>
          <w:tcPr>
            <w:tcW w:w="34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143,865,093</w:t>
            </w:r>
          </w:p>
        </w:tc>
        <w:tc>
          <w:tcPr>
            <w:tcW w:w="120" w:type="dxa"/>
            <w:vAlign w:val="bottom"/>
            <w:tcBorders>
              <w:top w:val="single" w:sz="8" w:color="CCEEFF"/>
              <w:bottom w:val="single" w:sz="8" w:color="CCEEFF"/>
            </w:tcBorders>
          </w:tcPr>
          <w:p>
            <w:pPr>
              <w:spacing w:after="0"/>
              <w:rPr>
                <w:sz w:val="19"/>
                <w:szCs w:val="19"/>
                <w:color w:val="auto"/>
              </w:rPr>
            </w:pPr>
          </w:p>
        </w:tc>
      </w:tr>
      <w:tr>
        <w:trPr>
          <w:trHeight w:val="123"/>
        </w:trPr>
        <w:tc>
          <w:tcPr>
            <w:tcW w:w="41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Net change in unrealized appreciation/ (depreciation) of Level</w:t>
            </w: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22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 investments still held as of December 31, 2022</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(7,023,165)</w:t>
            </w:r>
          </w:p>
        </w:tc>
        <w:tc>
          <w:tcPr>
            <w:tcW w:w="3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(63,138,372)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967,669</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(1,624,324)</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(70,818,192)</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179133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210" w:lineRule="exact"/>
        <w:rPr>
          <w:sz w:val="20"/>
          <w:szCs w:val="20"/>
          <w:color w:val="auto"/>
        </w:rPr>
      </w:pPr>
    </w:p>
    <w:p>
      <w:pPr>
        <w:ind w:left="566" w:hanging="566"/>
        <w:spacing w:after="0"/>
        <w:tabs>
          <w:tab w:leader="none" w:pos="56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2022, the Company’s portfolio investments had the following corporate actions which are reflected above:</w:t>
      </w:r>
    </w:p>
    <w:p>
      <w:pPr>
        <w:spacing w:after="0" w:line="225"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Conversion from</w:t>
            </w:r>
          </w:p>
        </w:tc>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Conversion to</w:t>
            </w:r>
          </w:p>
        </w:tc>
        <w:tc>
          <w:tcPr>
            <w:tcW w:w="0" w:type="dxa"/>
            <w:vAlign w:val="bottom"/>
          </w:tcPr>
          <w:p>
            <w:pPr>
              <w:spacing w:after="0"/>
              <w:rPr>
                <w:sz w:val="1"/>
                <w:szCs w:val="1"/>
                <w:color w:val="auto"/>
              </w:rPr>
            </w:pPr>
          </w:p>
        </w:tc>
      </w:tr>
      <w:tr>
        <w:trPr>
          <w:trHeight w:val="172"/>
        </w:trPr>
        <w:tc>
          <w:tcPr>
            <w:tcW w:w="316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Forge Global, Inc.</w:t>
            </w:r>
          </w:p>
        </w:tc>
        <w:tc>
          <w:tcPr>
            <w:tcW w:w="240" w:type="dxa"/>
            <w:vAlign w:val="bottom"/>
            <w:tcBorders>
              <w:top w:val="single" w:sz="8" w:color="CCEEFF"/>
            </w:tcBorders>
            <w:shd w:val="clear" w:color="auto" w:fill="CCEEFF"/>
          </w:tcPr>
          <w:p>
            <w:pPr>
              <w:spacing w:after="0"/>
              <w:rPr>
                <w:sz w:val="14"/>
                <w:szCs w:val="14"/>
                <w:color w:val="auto"/>
              </w:rPr>
            </w:pPr>
          </w:p>
        </w:tc>
        <w:tc>
          <w:tcPr>
            <w:tcW w:w="3580" w:type="dxa"/>
            <w:vAlign w:val="bottom"/>
            <w:tcBorders>
              <w:top w:val="single" w:sz="8" w:color="auto"/>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6"/>
                <w:szCs w:val="16"/>
                <w:color w:val="auto"/>
                <w:w w:val="98"/>
              </w:rPr>
              <w:t>Common Shares, Class AA</w:t>
            </w:r>
          </w:p>
        </w:tc>
        <w:tc>
          <w:tcPr>
            <w:tcW w:w="240" w:type="dxa"/>
            <w:vAlign w:val="bottom"/>
            <w:tcBorders>
              <w:top w:val="single" w:sz="8" w:color="CCEEFF"/>
            </w:tcBorders>
            <w:shd w:val="clear" w:color="auto" w:fill="CCEEFF"/>
          </w:tcPr>
          <w:p>
            <w:pPr>
              <w:spacing w:after="0"/>
              <w:rPr>
                <w:sz w:val="14"/>
                <w:szCs w:val="14"/>
                <w:color w:val="auto"/>
              </w:rPr>
            </w:pPr>
          </w:p>
        </w:tc>
        <w:tc>
          <w:tcPr>
            <w:tcW w:w="40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Public Common shares (Level 2)</w:t>
            </w:r>
          </w:p>
        </w:tc>
        <w:tc>
          <w:tcPr>
            <w:tcW w:w="0" w:type="dxa"/>
            <w:vAlign w:val="bottom"/>
          </w:tcPr>
          <w:p>
            <w:pPr>
              <w:spacing w:after="0"/>
              <w:rPr>
                <w:sz w:val="1"/>
                <w:szCs w:val="1"/>
                <w:color w:val="auto"/>
              </w:rPr>
            </w:pPr>
          </w:p>
        </w:tc>
      </w:tr>
      <w:tr>
        <w:trPr>
          <w:trHeight w:val="94"/>
        </w:trPr>
        <w:tc>
          <w:tcPr>
            <w:tcW w:w="3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7"/>
              </w:rPr>
              <w:t>Junior Preferred Shares</w:t>
            </w:r>
          </w:p>
        </w:tc>
        <w:tc>
          <w:tcPr>
            <w:tcW w:w="40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20" w:type="dxa"/>
            <w:vAlign w:val="bottom"/>
            <w:gridSpan w:val="2"/>
            <w:vMerge w:val="continue"/>
            <w:shd w:val="clear" w:color="auto" w:fill="CCEEFF"/>
          </w:tcPr>
          <w:p>
            <w:pPr>
              <w:spacing w:after="0"/>
              <w:rPr>
                <w:sz w:val="8"/>
                <w:szCs w:val="8"/>
                <w:color w:val="auto"/>
              </w:rPr>
            </w:pPr>
          </w:p>
        </w:tc>
        <w:tc>
          <w:tcPr>
            <w:tcW w:w="4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Common warrants, Strike Price $3.98, Expiration Date</w:t>
            </w:r>
          </w:p>
        </w:tc>
        <w:tc>
          <w:tcPr>
            <w:tcW w:w="0" w:type="dxa"/>
            <w:vAlign w:val="bottom"/>
          </w:tcPr>
          <w:p>
            <w:pPr>
              <w:spacing w:after="0"/>
              <w:rPr>
                <w:sz w:val="1"/>
                <w:szCs w:val="1"/>
                <w:color w:val="auto"/>
              </w:rPr>
            </w:pPr>
          </w:p>
        </w:tc>
      </w:tr>
      <w:tr>
        <w:trPr>
          <w:trHeight w:val="94"/>
        </w:trPr>
        <w:tc>
          <w:tcPr>
            <w:tcW w:w="3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7"/>
              </w:rPr>
              <w:t>Junior Preferred Warrants, Strike Price $12.42,</w:t>
            </w:r>
          </w:p>
        </w:tc>
        <w:tc>
          <w:tcPr>
            <w:tcW w:w="40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20" w:type="dxa"/>
            <w:vAlign w:val="bottom"/>
            <w:gridSpan w:val="2"/>
            <w:vMerge w:val="continue"/>
            <w:shd w:val="clear" w:color="auto" w:fill="CCEEFF"/>
          </w:tcPr>
          <w:p>
            <w:pPr>
              <w:spacing w:after="0"/>
              <w:rPr>
                <w:sz w:val="8"/>
                <w:szCs w:val="8"/>
                <w:color w:val="auto"/>
              </w:rPr>
            </w:pPr>
          </w:p>
        </w:tc>
        <w:tc>
          <w:tcPr>
            <w:tcW w:w="4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11/9/2025 (Level 2)</w:t>
            </w:r>
          </w:p>
        </w:tc>
        <w:tc>
          <w:tcPr>
            <w:tcW w:w="0" w:type="dxa"/>
            <w:vAlign w:val="bottom"/>
          </w:tcPr>
          <w:p>
            <w:pPr>
              <w:spacing w:after="0"/>
              <w:rPr>
                <w:sz w:val="1"/>
                <w:szCs w:val="1"/>
                <w:color w:val="auto"/>
              </w:rPr>
            </w:pPr>
          </w:p>
        </w:tc>
      </w:tr>
      <w:tr>
        <w:trPr>
          <w:trHeight w:val="110"/>
        </w:trPr>
        <w:tc>
          <w:tcPr>
            <w:tcW w:w="3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8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7"/>
              </w:rPr>
              <w:t>Expiration Date 11/9/2025</w:t>
            </w:r>
          </w:p>
        </w:tc>
        <w:tc>
          <w:tcPr>
            <w:tcW w:w="40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1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820" w:type="dxa"/>
            <w:vAlign w:val="bottom"/>
            <w:gridSpan w:val="2"/>
            <w:vMerge w:val="continue"/>
            <w:shd w:val="clear" w:color="auto" w:fill="CCEEFF"/>
          </w:tcPr>
          <w:p>
            <w:pPr>
              <w:spacing w:after="0"/>
              <w:rPr>
                <w:sz w:val="8"/>
                <w:szCs w:val="8"/>
                <w:color w:val="auto"/>
              </w:rPr>
            </w:pPr>
          </w:p>
        </w:tc>
        <w:tc>
          <w:tcPr>
            <w:tcW w:w="4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80"/>
        </w:trPr>
        <w:tc>
          <w:tcPr>
            <w:tcW w:w="3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1202"/>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-738505</wp:posOffset>
            </wp:positionV>
            <wp:extent cx="14160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1605" cy="7620"/>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-738505</wp:posOffset>
            </wp:positionV>
            <wp:extent cx="14922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9225" cy="762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Schedule of Investments In, and Advances to, Affiliates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Transactions during the year ended December 31, 2023 involving the Company’s controlled investments and non-controlled/affiliate investments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Purchases,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Capitalized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or Dividends</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 at</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Fees, Interest</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Value at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r>
      <w:tr>
        <w:trPr>
          <w:trHeight w:val="188"/>
        </w:trPr>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Type/Industry/Portfolio</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Principal/</w:t>
            </w:r>
          </w:p>
        </w:tc>
        <w:tc>
          <w:tcPr>
            <w:tcW w:w="8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Credited</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2"/>
              </w:rPr>
              <w:t>Transfer</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and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Realized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6"/>
              </w:rPr>
              <w:t>Unrealized</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210"/>
        </w:trPr>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Company/Investment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Quantity</w:t>
            </w:r>
          </w:p>
        </w:tc>
        <w:tc>
          <w:tcPr>
            <w:tcW w:w="8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in Income</w:t>
            </w:r>
          </w:p>
        </w:tc>
        <w:tc>
          <w:tcPr>
            <w:tcW w:w="120" w:type="dxa"/>
            <w:vAlign w:val="bottom"/>
          </w:tcPr>
          <w:p>
            <w:pPr>
              <w:spacing w:after="0"/>
              <w:rPr>
                <w:sz w:val="18"/>
                <w:szCs w:val="18"/>
                <w:color w:val="auto"/>
              </w:rPr>
            </w:pPr>
          </w:p>
        </w:tc>
        <w:tc>
          <w:tcPr>
            <w:tcW w:w="7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In/ (Out)</w:t>
            </w:r>
          </w:p>
        </w:tc>
        <w:tc>
          <w:tcPr>
            <w:tcW w:w="104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Gains/(Losses)</w:t>
            </w: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Gains/(Losses)</w:t>
            </w:r>
          </w:p>
        </w:tc>
        <w:tc>
          <w:tcPr>
            <w:tcW w:w="140" w:type="dxa"/>
            <w:vAlign w:val="bottom"/>
          </w:tcPr>
          <w:p>
            <w:pPr>
              <w:spacing w:after="0"/>
              <w:rPr>
                <w:sz w:val="18"/>
                <w:szCs w:val="18"/>
                <w:color w:val="auto"/>
              </w:rPr>
            </w:pPr>
          </w:p>
        </w:tc>
        <w:tc>
          <w:tcPr>
            <w:tcW w:w="7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Assets</w:t>
            </w:r>
          </w:p>
        </w:tc>
      </w:tr>
      <w:tr>
        <w:trPr>
          <w:trHeight w:val="153"/>
        </w:trPr>
        <w:tc>
          <w:tcPr>
            <w:tcW w:w="1620" w:type="dxa"/>
            <w:vAlign w:val="bottom"/>
            <w:tcBorders>
              <w:top w:val="single" w:sz="8" w:color="auto"/>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6"/>
                <w:szCs w:val="16"/>
                <w:b w:val="1"/>
                <w:bCs w:val="1"/>
                <w:color w:val="auto"/>
              </w:rPr>
              <w:t>CONTROLLED</w:t>
            </w:r>
          </w:p>
        </w:tc>
        <w:tc>
          <w:tcPr>
            <w:tcW w:w="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r>
      <w:tr>
        <w:trPr>
          <w:trHeight w:val="20"/>
        </w:trPr>
        <w:tc>
          <w:tcPr>
            <w:tcW w:w="114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gridSpan w:val="2"/>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9"/>
        </w:trPr>
        <w:tc>
          <w:tcPr>
            <w:tcW w:w="16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3"/>
                <w:szCs w:val="23"/>
                <w:b w:val="1"/>
                <w:bCs w:val="1"/>
                <w:color w:val="auto"/>
                <w:vertAlign w:val="superscript"/>
              </w:rPr>
              <w:t>(2)</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188"/>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540" w:type="dxa"/>
            <w:vAlign w:val="bottom"/>
            <w:tcBorders>
              <w:top w:val="single" w:sz="8" w:color="CCEEFF"/>
            </w:tcBorders>
            <w:gridSpan w:val="2"/>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170"/>
        </w:trPr>
        <w:tc>
          <w:tcPr>
            <w:tcW w:w="1680" w:type="dxa"/>
            <w:vAlign w:val="bottom"/>
            <w:gridSpan w:val="3"/>
            <w:shd w:val="clear" w:color="auto" w:fill="CCEEFF"/>
          </w:tcPr>
          <w:p>
            <w:pPr>
              <w:ind w:left="160"/>
              <w:spacing w:after="0" w:line="170" w:lineRule="exact"/>
              <w:rPr>
                <w:sz w:val="20"/>
                <w:szCs w:val="20"/>
                <w:color w:val="auto"/>
              </w:rPr>
            </w:pPr>
            <w:r>
              <w:rPr>
                <w:rFonts w:ascii="Times New Roman" w:cs="Times New Roman" w:eastAsia="Times New Roman" w:hAnsi="Times New Roman"/>
                <w:sz w:val="16"/>
                <w:szCs w:val="16"/>
                <w:i w:val="1"/>
                <w:iCs w:val="1"/>
                <w:color w:val="auto"/>
              </w:rPr>
              <w:t>Special Purpose</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07"/>
        </w:trPr>
        <w:tc>
          <w:tcPr>
            <w:tcW w:w="1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Acquisition Company</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72"/>
        </w:trPr>
        <w:tc>
          <w:tcPr>
            <w:tcW w:w="1680" w:type="dxa"/>
            <w:vAlign w:val="bottom"/>
            <w:gridSpan w:val="3"/>
          </w:tcPr>
          <w:p>
            <w:pPr>
              <w:ind w:left="300"/>
              <w:spacing w:after="0" w:line="171" w:lineRule="exact"/>
              <w:rPr>
                <w:sz w:val="20"/>
                <w:szCs w:val="20"/>
                <w:color w:val="auto"/>
              </w:rPr>
            </w:pPr>
            <w:r>
              <w:rPr>
                <w:rFonts w:ascii="Times New Roman" w:cs="Times New Roman" w:eastAsia="Times New Roman" w:hAnsi="Times New Roman"/>
                <w:sz w:val="16"/>
                <w:szCs w:val="16"/>
                <w:color w:val="auto"/>
              </w:rPr>
              <w:t>Colombier Sponsor</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8"/>
        </w:trPr>
        <w:tc>
          <w:tcPr>
            <w:tcW w:w="16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II LLC**–Class W</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4"/>
        </w:trPr>
        <w:tc>
          <w:tcPr>
            <w:tcW w:w="16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1,600,000</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760,651</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(262,347)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498,305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r>
      <w:tr>
        <w:trPr>
          <w:trHeight w:val="176"/>
        </w:trPr>
        <w:tc>
          <w:tcPr>
            <w:tcW w:w="1680" w:type="dxa"/>
            <w:vAlign w:val="bottom"/>
            <w:gridSpan w:val="3"/>
            <w:shd w:val="clear" w:color="auto" w:fill="CCEEFF"/>
          </w:tcPr>
          <w:p>
            <w:pPr>
              <w:ind w:left="300"/>
              <w:spacing w:after="0" w:line="176" w:lineRule="exact"/>
              <w:rPr>
                <w:sz w:val="20"/>
                <w:szCs w:val="20"/>
                <w:color w:val="auto"/>
              </w:rPr>
            </w:pPr>
            <w:r>
              <w:rPr>
                <w:rFonts w:ascii="Times New Roman" w:cs="Times New Roman" w:eastAsia="Times New Roman" w:hAnsi="Times New Roman"/>
                <w:sz w:val="16"/>
                <w:szCs w:val="16"/>
                <w:color w:val="auto"/>
              </w:rPr>
              <w:t>Colombier Sponsor</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20"/>
        </w:trPr>
        <w:tc>
          <w:tcPr>
            <w:tcW w:w="1680" w:type="dxa"/>
            <w:vAlign w:val="bottom"/>
            <w:gridSpan w:val="3"/>
            <w:shd w:val="clear" w:color="auto" w:fill="CCEEFF"/>
          </w:tcPr>
          <w:p>
            <w:pPr>
              <w:ind w:left="300"/>
              <w:spacing w:after="0" w:line="220" w:lineRule="exact"/>
              <w:rPr>
                <w:sz w:val="20"/>
                <w:szCs w:val="20"/>
                <w:color w:val="auto"/>
              </w:rPr>
            </w:pPr>
            <w:r>
              <w:rPr>
                <w:rFonts w:ascii="Times New Roman" w:cs="Times New Roman" w:eastAsia="Times New Roman" w:hAnsi="Times New Roman"/>
                <w:sz w:val="15"/>
                <w:szCs w:val="15"/>
                <w:color w:val="auto"/>
              </w:rPr>
              <w:t>LLC**</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5"/>
                <w:szCs w:val="15"/>
                <w:color w:val="auto"/>
              </w:rPr>
              <w:t xml:space="preserve"> –Class W</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5"/>
        </w:trPr>
        <w:tc>
          <w:tcPr>
            <w:tcW w:w="1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Units</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1,157,487</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(1,159,150)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1,663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1,157,487</w:t>
            </w:r>
          </w:p>
        </w:tc>
        <w:tc>
          <w:tcPr>
            <w:tcW w:w="12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6"/>
              </w:rPr>
              <w:t>(1,159,150)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760,651</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(260,684)</w:t>
            </w: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498,304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r>
      <w:tr>
        <w:trPr>
          <w:trHeight w:val="188"/>
        </w:trPr>
        <w:tc>
          <w:tcPr>
            <w:tcW w:w="1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2"/>
        </w:trPr>
        <w:tc>
          <w:tcPr>
            <w:tcW w:w="1680" w:type="dxa"/>
            <w:vAlign w:val="bottom"/>
            <w:gridSpan w:val="3"/>
            <w:shd w:val="clear" w:color="auto" w:fill="CCEEFF"/>
          </w:tcPr>
          <w:p>
            <w:pPr>
              <w:ind w:left="300"/>
              <w:spacing w:after="0" w:line="171" w:lineRule="exact"/>
              <w:rPr>
                <w:sz w:val="20"/>
                <w:szCs w:val="20"/>
                <w:color w:val="auto"/>
              </w:rPr>
            </w:pPr>
            <w:r>
              <w:rPr>
                <w:rFonts w:ascii="Times New Roman" w:cs="Times New Roman" w:eastAsia="Times New Roman" w:hAnsi="Times New Roman"/>
                <w:sz w:val="16"/>
                <w:szCs w:val="16"/>
                <w:color w:val="auto"/>
              </w:rPr>
              <w:t>SPBRX, INC. (f/k/a</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8"/>
        </w:trPr>
        <w:tc>
          <w:tcPr>
            <w:tcW w:w="1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GSV Sustainability</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1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Partners, Inc.)–</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1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Preferred shares,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5"/>
        </w:trPr>
        <w:tc>
          <w:tcPr>
            <w:tcW w:w="1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Class A</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14,300,000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984,028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(601,647)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382,381</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0.19%</w:t>
            </w:r>
          </w:p>
        </w:tc>
      </w:tr>
      <w:tr>
        <w:trPr>
          <w:trHeight w:val="188"/>
        </w:trPr>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984,028</w:t>
            </w: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(601,647)</w:t>
            </w: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382,381</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0.19%</w:t>
            </w:r>
          </w:p>
        </w:tc>
      </w:tr>
      <w:tr>
        <w:trPr>
          <w:trHeight w:val="188"/>
        </w:trPr>
        <w:tc>
          <w:tcPr>
            <w:tcW w:w="1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2"/>
        </w:trPr>
        <w:tc>
          <w:tcPr>
            <w:tcW w:w="1680" w:type="dxa"/>
            <w:vAlign w:val="bottom"/>
            <w:gridSpan w:val="3"/>
            <w:shd w:val="clear" w:color="auto" w:fill="CCEEFF"/>
          </w:tcPr>
          <w:p>
            <w:pPr>
              <w:ind w:left="300"/>
              <w:spacing w:after="0" w:line="171" w:lineRule="exact"/>
              <w:rPr>
                <w:sz w:val="20"/>
                <w:szCs w:val="20"/>
                <w:color w:val="auto"/>
              </w:rPr>
            </w:pPr>
            <w:r>
              <w:rPr>
                <w:rFonts w:ascii="Times New Roman" w:cs="Times New Roman" w:eastAsia="Times New Roman" w:hAnsi="Times New Roman"/>
                <w:sz w:val="16"/>
                <w:szCs w:val="16"/>
                <w:color w:val="auto"/>
              </w:rPr>
              <w:t>SPBRX, INC. (f/k/a</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8"/>
        </w:trPr>
        <w:tc>
          <w:tcPr>
            <w:tcW w:w="1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GSV Sustainability</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1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Partners, Inc.)–</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5"/>
        </w:trPr>
        <w:tc>
          <w:tcPr>
            <w:tcW w:w="1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Common shares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170"/>
        </w:trPr>
        <w:tc>
          <w:tcPr>
            <w:tcW w:w="1680" w:type="dxa"/>
            <w:vAlign w:val="bottom"/>
            <w:gridSpan w:val="3"/>
          </w:tcPr>
          <w:p>
            <w:pPr>
              <w:ind w:left="160"/>
              <w:spacing w:after="0" w:line="170" w:lineRule="exact"/>
              <w:rPr>
                <w:sz w:val="20"/>
                <w:szCs w:val="20"/>
                <w:color w:val="auto"/>
              </w:rPr>
            </w:pPr>
            <w:r>
              <w:rPr>
                <w:rFonts w:ascii="Times New Roman" w:cs="Times New Roman" w:eastAsia="Times New Roman" w:hAnsi="Times New Roman"/>
                <w:sz w:val="16"/>
                <w:szCs w:val="16"/>
                <w:i w:val="1"/>
                <w:iCs w:val="1"/>
                <w:color w:val="auto"/>
              </w:rPr>
              <w:t>Mobile Finance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6"/>
        </w:trPr>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6"/>
                <w:szCs w:val="16"/>
                <w:i w:val="1"/>
                <w:iCs w:val="1"/>
                <w:color w:val="auto"/>
              </w:rPr>
              <w:t>Technology</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72"/>
        </w:trPr>
        <w:tc>
          <w:tcPr>
            <w:tcW w:w="1680" w:type="dxa"/>
            <w:vAlign w:val="bottom"/>
            <w:gridSpan w:val="3"/>
            <w:shd w:val="clear" w:color="auto" w:fill="CCEEFF"/>
          </w:tcPr>
          <w:p>
            <w:pPr>
              <w:ind w:left="300"/>
              <w:spacing w:after="0" w:line="172" w:lineRule="exact"/>
              <w:rPr>
                <w:sz w:val="20"/>
                <w:szCs w:val="20"/>
                <w:color w:val="auto"/>
              </w:rPr>
            </w:pPr>
            <w:r>
              <w:rPr>
                <w:rFonts w:ascii="Times New Roman" w:cs="Times New Roman" w:eastAsia="Times New Roman" w:hAnsi="Times New Roman"/>
                <w:sz w:val="16"/>
                <w:szCs w:val="16"/>
                <w:color w:val="auto"/>
              </w:rPr>
              <w:t>Architect Capital</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8"/>
        </w:trPr>
        <w:tc>
          <w:tcPr>
            <w:tcW w:w="1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PayJoy SPV,</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1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LLC**–</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1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Membership Interest</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5"/>
        </w:trPr>
        <w:tc>
          <w:tcPr>
            <w:tcW w:w="1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 Lending SPV***</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7"/>
              </w:rPr>
              <w:t>$10,000,000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1,331,258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10,000,000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10,000,000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4.92%</w:t>
            </w:r>
          </w:p>
        </w:tc>
      </w:tr>
      <w:tr>
        <w:trPr>
          <w:trHeight w:val="170"/>
        </w:trPr>
        <w:tc>
          <w:tcPr>
            <w:tcW w:w="1680" w:type="dxa"/>
            <w:vAlign w:val="bottom"/>
            <w:gridSpan w:val="3"/>
          </w:tcPr>
          <w:p>
            <w:pPr>
              <w:ind w:left="160"/>
              <w:spacing w:after="0" w:line="170" w:lineRule="exact"/>
              <w:rPr>
                <w:sz w:val="20"/>
                <w:szCs w:val="20"/>
                <w:color w:val="auto"/>
              </w:rPr>
            </w:pPr>
            <w:r>
              <w:rPr>
                <w:rFonts w:ascii="Times New Roman" w:cs="Times New Roman" w:eastAsia="Times New Roman" w:hAnsi="Times New Roman"/>
                <w:sz w:val="16"/>
                <w:szCs w:val="16"/>
                <w:i w:val="1"/>
                <w:iCs w:val="1"/>
                <w:color w:val="auto"/>
              </w:rPr>
              <w:t>Special Purpose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6"/>
        </w:trPr>
        <w:tc>
          <w:tcPr>
            <w:tcW w:w="1680" w:type="dxa"/>
            <w:vAlign w:val="bottom"/>
            <w:gridSpan w:val="3"/>
          </w:tcPr>
          <w:p>
            <w:pPr>
              <w:ind w:left="160"/>
              <w:spacing w:after="0"/>
              <w:rPr>
                <w:sz w:val="20"/>
                <w:szCs w:val="20"/>
                <w:color w:val="auto"/>
              </w:rPr>
            </w:pPr>
            <w:r>
              <w:rPr>
                <w:rFonts w:ascii="Times New Roman" w:cs="Times New Roman" w:eastAsia="Times New Roman" w:hAnsi="Times New Roman"/>
                <w:sz w:val="16"/>
                <w:szCs w:val="16"/>
                <w:i w:val="1"/>
                <w:iCs w:val="1"/>
                <w:color w:val="auto"/>
              </w:rPr>
              <w:t>Acquisition Company</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72"/>
        </w:trPr>
        <w:tc>
          <w:tcPr>
            <w:tcW w:w="1680" w:type="dxa"/>
            <w:vAlign w:val="bottom"/>
            <w:gridSpan w:val="3"/>
            <w:shd w:val="clear" w:color="auto" w:fill="CCEEFF"/>
          </w:tcPr>
          <w:p>
            <w:pPr>
              <w:ind w:left="300"/>
              <w:spacing w:after="0" w:line="172" w:lineRule="exact"/>
              <w:rPr>
                <w:sz w:val="20"/>
                <w:szCs w:val="20"/>
                <w:color w:val="auto"/>
              </w:rPr>
            </w:pPr>
            <w:r>
              <w:rPr>
                <w:rFonts w:ascii="Times New Roman" w:cs="Times New Roman" w:eastAsia="Times New Roman" w:hAnsi="Times New Roman"/>
                <w:sz w:val="16"/>
                <w:szCs w:val="16"/>
                <w:color w:val="auto"/>
              </w:rPr>
              <w:t>Colombier Sponsor</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8"/>
        </w:trPr>
        <w:tc>
          <w:tcPr>
            <w:tcW w:w="1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II LLC**–Class B</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5"/>
        </w:trPr>
        <w:tc>
          <w:tcPr>
            <w:tcW w:w="1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842,289</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259,406</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1,101,695</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0.54%</w:t>
            </w:r>
          </w:p>
        </w:tc>
      </w:tr>
      <w:tr>
        <w:trPr>
          <w:trHeight w:val="188"/>
        </w:trPr>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5"/>
        </w:trPr>
        <w:tc>
          <w:tcPr>
            <w:tcW w:w="1680" w:type="dxa"/>
            <w:vAlign w:val="bottom"/>
            <w:gridSpan w:val="3"/>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auto"/>
              </w:rPr>
              <w:t>Colombier Sponsor</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20"/>
        </w:trPr>
        <w:tc>
          <w:tcPr>
            <w:tcW w:w="1680" w:type="dxa"/>
            <w:vAlign w:val="bottom"/>
            <w:gridSpan w:val="3"/>
            <w:shd w:val="clear" w:color="auto" w:fill="CCEEFF"/>
          </w:tcPr>
          <w:p>
            <w:pPr>
              <w:ind w:left="300"/>
              <w:spacing w:after="0" w:line="220" w:lineRule="exact"/>
              <w:rPr>
                <w:sz w:val="20"/>
                <w:szCs w:val="20"/>
                <w:color w:val="auto"/>
              </w:rPr>
            </w:pPr>
            <w:r>
              <w:rPr>
                <w:rFonts w:ascii="Times New Roman" w:cs="Times New Roman" w:eastAsia="Times New Roman" w:hAnsi="Times New Roman"/>
                <w:sz w:val="15"/>
                <w:szCs w:val="15"/>
                <w:color w:val="auto"/>
              </w:rPr>
              <w:t>LLC**</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5"/>
                <w:szCs w:val="15"/>
                <w:color w:val="auto"/>
              </w:rPr>
              <w:t xml:space="preserve"> –Class B</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5"/>
        </w:trPr>
        <w:tc>
          <w:tcPr>
            <w:tcW w:w="1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Units</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1,554,355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(1,556,587)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2,232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1,331,258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11,554,355</w:t>
            </w:r>
          </w:p>
        </w:tc>
        <w:tc>
          <w:tcPr>
            <w:tcW w:w="12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6"/>
              </w:rPr>
              <w:t>(1,556,587)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842,289</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261,638</w:t>
            </w:r>
          </w:p>
        </w:tc>
        <w:tc>
          <w:tcPr>
            <w:tcW w:w="1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11,101,695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5.46%</w:t>
            </w:r>
          </w:p>
        </w:tc>
      </w:tr>
      <w:tr>
        <w:trPr>
          <w:trHeight w:val="380"/>
        </w:trPr>
        <w:tc>
          <w:tcPr>
            <w:tcW w:w="1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gridSpan w:val="2"/>
          </w:tcPr>
          <w:p>
            <w:pPr>
              <w:jc w:val="right"/>
              <w:ind w:right="642"/>
              <w:spacing w:after="0"/>
              <w:rPr>
                <w:sz w:val="20"/>
                <w:szCs w:val="20"/>
                <w:color w:val="auto"/>
              </w:rPr>
            </w:pPr>
            <w:r>
              <w:rPr>
                <w:rFonts w:ascii="Times New Roman" w:cs="Times New Roman" w:eastAsia="Times New Roman" w:hAnsi="Times New Roman"/>
                <w:sz w:val="16"/>
                <w:szCs w:val="16"/>
                <w:color w:val="auto"/>
                <w:w w:val="99"/>
              </w:rPr>
              <w:t>96</w:t>
            </w:r>
          </w:p>
        </w:tc>
        <w:tc>
          <w:tcPr>
            <w:tcW w:w="10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17"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Purchases,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140" w:type="dxa"/>
            <w:vAlign w:val="bottom"/>
          </w:tcPr>
          <w:p>
            <w:pPr>
              <w:spacing w:after="0"/>
              <w:rPr>
                <w:sz w:val="16"/>
                <w:szCs w:val="16"/>
                <w:color w:val="auto"/>
              </w:rPr>
            </w:pPr>
          </w:p>
        </w:tc>
        <w:tc>
          <w:tcPr>
            <w:tcW w:w="76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Capitalized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or Dividends</w:t>
            </w:r>
          </w:p>
        </w:tc>
        <w:tc>
          <w:tcPr>
            <w:tcW w:w="140" w:type="dxa"/>
            <w:vAlign w:val="bottom"/>
          </w:tcPr>
          <w:p>
            <w:pPr>
              <w:spacing w:after="0"/>
              <w:rPr>
                <w:sz w:val="16"/>
                <w:szCs w:val="16"/>
                <w:color w:val="auto"/>
              </w:rPr>
            </w:pPr>
          </w:p>
        </w:tc>
        <w:tc>
          <w:tcPr>
            <w:tcW w:w="76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4"/>
              </w:rPr>
              <w:t>Value at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Fees, Interest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Value at</w:t>
            </w: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0" w:type="dxa"/>
            <w:vAlign w:val="bottom"/>
          </w:tcPr>
          <w:p>
            <w:pPr>
              <w:spacing w:after="0"/>
              <w:rPr>
                <w:sz w:val="1"/>
                <w:szCs w:val="1"/>
                <w:color w:val="auto"/>
              </w:rPr>
            </w:pPr>
          </w:p>
        </w:tc>
      </w:tr>
      <w:tr>
        <w:trPr>
          <w:trHeight w:val="188"/>
        </w:trPr>
        <w:tc>
          <w:tcPr>
            <w:tcW w:w="20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Type/Industry/Portfolio</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7"/>
              </w:rPr>
              <w:t>Principal/</w:t>
            </w:r>
          </w:p>
        </w:tc>
        <w:tc>
          <w:tcPr>
            <w:tcW w:w="80" w:type="dxa"/>
            <w:vAlign w:val="bottom"/>
          </w:tcPr>
          <w:p>
            <w:pPr>
              <w:spacing w:after="0"/>
              <w:rPr>
                <w:sz w:val="16"/>
                <w:szCs w:val="16"/>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Credited</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Transfer</w:t>
            </w:r>
          </w:p>
        </w:tc>
        <w:tc>
          <w:tcPr>
            <w:tcW w:w="8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2"/>
              </w:rPr>
              <w:t>and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Realized</w:t>
            </w:r>
          </w:p>
        </w:tc>
        <w:tc>
          <w:tcPr>
            <w:tcW w:w="1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6"/>
              </w:rPr>
              <w:t>Unrealized</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10"/>
        </w:trPr>
        <w:tc>
          <w:tcPr>
            <w:tcW w:w="20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Company/Investment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8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in Income</w:t>
            </w:r>
          </w:p>
        </w:tc>
        <w:tc>
          <w:tcPr>
            <w:tcW w:w="140" w:type="dxa"/>
            <w:vAlign w:val="bottom"/>
          </w:tcPr>
          <w:p>
            <w:pPr>
              <w:spacing w:after="0"/>
              <w:rPr>
                <w:sz w:val="18"/>
                <w:szCs w:val="18"/>
                <w:color w:val="auto"/>
              </w:rPr>
            </w:pPr>
          </w:p>
        </w:tc>
        <w:tc>
          <w:tcPr>
            <w:tcW w:w="76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5"/>
              </w:rPr>
              <w:t>In/ (Out)</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Amortization</w:t>
            </w: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2"/>
              </w:rPr>
              <w:t>Sales</w:t>
            </w: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Gains/(Losses)</w:t>
            </w: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Gains/(Losses)</w:t>
            </w:r>
          </w:p>
        </w:tc>
        <w:tc>
          <w:tcPr>
            <w:tcW w:w="140" w:type="dxa"/>
            <w:vAlign w:val="bottom"/>
          </w:tcPr>
          <w:p>
            <w:pPr>
              <w:spacing w:after="0"/>
              <w:rPr>
                <w:sz w:val="18"/>
                <w:szCs w:val="18"/>
                <w:color w:val="auto"/>
              </w:rPr>
            </w:pPr>
          </w:p>
        </w:tc>
        <w:tc>
          <w:tcPr>
            <w:tcW w:w="76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0" w:type="dxa"/>
            <w:vAlign w:val="bottom"/>
          </w:tcPr>
          <w:p>
            <w:pPr>
              <w:spacing w:after="0"/>
              <w:rPr>
                <w:sz w:val="1"/>
                <w:szCs w:val="1"/>
                <w:color w:val="auto"/>
              </w:rPr>
            </w:pPr>
          </w:p>
        </w:tc>
      </w:tr>
      <w:tr>
        <w:trPr>
          <w:trHeight w:val="173"/>
        </w:trPr>
        <w:tc>
          <w:tcPr>
            <w:tcW w:w="2020" w:type="dxa"/>
            <w:vAlign w:val="bottom"/>
            <w:tcBorders>
              <w:top w:val="single" w:sz="8" w:color="auto"/>
            </w:tcBorders>
            <w:gridSpan w:val="5"/>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TOTAL CONTROLLED</w:t>
            </w:r>
          </w:p>
        </w:tc>
        <w:tc>
          <w:tcPr>
            <w:tcW w:w="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60" w:type="dxa"/>
            <w:vAlign w:val="bottom"/>
            <w:gridSpan w:val="6"/>
            <w:shd w:val="clear" w:color="auto" w:fill="CCEEFF"/>
          </w:tcPr>
          <w:p>
            <w:pPr>
              <w:spacing w:after="0" w:line="238"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6"/>
                <w:szCs w:val="26"/>
                <w:b w:val="1"/>
                <w:bCs w:val="1"/>
                <w:color w:val="auto"/>
                <w:vertAlign w:val="superscript"/>
              </w:rPr>
              <w:t>(2)</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1,831,258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13,695,870</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6"/>
              </w:rPr>
              <w:t>(2,715,737)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1,602,940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(600,693)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11,982,380</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5.89%</w:t>
            </w:r>
          </w:p>
        </w:tc>
        <w:tc>
          <w:tcPr>
            <w:tcW w:w="0" w:type="dxa"/>
            <w:vAlign w:val="bottom"/>
          </w:tcPr>
          <w:p>
            <w:pPr>
              <w:spacing w:after="0"/>
              <w:rPr>
                <w:sz w:val="1"/>
                <w:szCs w:val="1"/>
                <w:color w:val="auto"/>
              </w:rPr>
            </w:pPr>
          </w:p>
        </w:tc>
      </w:tr>
      <w:tr>
        <w:trPr>
          <w:trHeight w:val="153"/>
        </w:trPr>
        <w:tc>
          <w:tcPr>
            <w:tcW w:w="40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6"/>
                <w:szCs w:val="16"/>
                <w:b w:val="1"/>
                <w:bCs w:val="1"/>
                <w:color w:val="auto"/>
                <w:w w:val="92"/>
              </w:rPr>
              <w:t>NON-</w:t>
            </w:r>
          </w:p>
        </w:tc>
        <w:tc>
          <w:tcPr>
            <w:tcW w:w="1660" w:type="dxa"/>
            <w:vAlign w:val="bottom"/>
            <w:gridSpan w:val="5"/>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00" w:type="dxa"/>
            <w:vAlign w:val="bottom"/>
            <w:tcBorders>
              <w:bottom w:val="single" w:sz="8" w:color="auto"/>
            </w:tcBorders>
            <w:gridSpan w:val="4"/>
          </w:tcPr>
          <w:p>
            <w:pPr>
              <w:spacing w:after="0" w:line="168" w:lineRule="exact"/>
              <w:rPr>
                <w:sz w:val="20"/>
                <w:szCs w:val="20"/>
                <w:color w:val="auto"/>
              </w:rPr>
            </w:pPr>
            <w:r>
              <w:rPr>
                <w:rFonts w:ascii="Times New Roman" w:cs="Times New Roman" w:eastAsia="Times New Roman" w:hAnsi="Times New Roman"/>
                <w:sz w:val="16"/>
                <w:szCs w:val="16"/>
                <w:b w:val="1"/>
                <w:bCs w:val="1"/>
                <w:color w:val="auto"/>
                <w:w w:val="96"/>
              </w:rPr>
              <w:t>CONTROLLED/AFFILIATE</w:t>
            </w:r>
          </w:p>
        </w:tc>
        <w:tc>
          <w:tcPr>
            <w:tcW w:w="6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INVESTMENTS*</w:t>
            </w:r>
          </w:p>
        </w:tc>
        <w:tc>
          <w:tcPr>
            <w:tcW w:w="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w w:val="78"/>
              </w:rPr>
              <w:t>(1)</w:t>
            </w:r>
          </w:p>
        </w:tc>
        <w:tc>
          <w:tcPr>
            <w:tcW w:w="700" w:type="dxa"/>
            <w:vAlign w:val="bottom"/>
            <w:gridSpan w:val="3"/>
            <w:vMerge w:val="restart"/>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220" w:type="dxa"/>
            <w:vAlign w:val="bottom"/>
            <w:tcBorders>
              <w:bottom w:val="single" w:sz="8" w:color="auto"/>
            </w:tcBorders>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60" w:type="dxa"/>
            <w:vAlign w:val="bottom"/>
            <w:gridSpan w:val="6"/>
          </w:tcPr>
          <w:p>
            <w:pPr>
              <w:ind w:left="16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60" w:type="dxa"/>
            <w:vAlign w:val="bottom"/>
            <w:gridSpan w:val="6"/>
            <w:shd w:val="clear" w:color="auto" w:fill="CCEEFF"/>
          </w:tcPr>
          <w:p>
            <w:pPr>
              <w:ind w:left="300"/>
              <w:spacing w:after="0" w:line="171" w:lineRule="exact"/>
              <w:rPr>
                <w:sz w:val="20"/>
                <w:szCs w:val="20"/>
                <w:color w:val="auto"/>
              </w:rPr>
            </w:pPr>
            <w:r>
              <w:rPr>
                <w:rFonts w:ascii="Times New Roman" w:cs="Times New Roman" w:eastAsia="Times New Roman" w:hAnsi="Times New Roman"/>
                <w:sz w:val="16"/>
                <w:szCs w:val="16"/>
                <w:color w:val="auto"/>
              </w:rPr>
              <w:t>OneValley, Inc. (f/k/a</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6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NestGSV, Inc.) –</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6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Convertible Promissory</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6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Note 8%, Due</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20" w:type="dxa"/>
            <w:vAlign w:val="bottom"/>
            <w:gridSpan w:val="2"/>
            <w:shd w:val="clear" w:color="auto" w:fill="CCEEFF"/>
          </w:tcPr>
          <w:p>
            <w:pPr>
              <w:ind w:left="300"/>
              <w:spacing w:after="0" w:line="236" w:lineRule="exact"/>
              <w:rPr>
                <w:sz w:val="20"/>
                <w:szCs w:val="20"/>
                <w:color w:val="auto"/>
              </w:rPr>
            </w:pPr>
            <w:r>
              <w:rPr>
                <w:rFonts w:ascii="Times New Roman" w:cs="Times New Roman" w:eastAsia="Times New Roman" w:hAnsi="Times New Roman"/>
                <w:sz w:val="16"/>
                <w:szCs w:val="16"/>
                <w:color w:val="auto"/>
              </w:rPr>
              <w:t>8/23/2024</w:t>
            </w:r>
            <w:r>
              <w:rPr>
                <w:rFonts w:ascii="Times New Roman" w:cs="Times New Roman" w:eastAsia="Times New Roman" w:hAnsi="Times New Roman"/>
                <w:sz w:val="26"/>
                <w:szCs w:val="26"/>
                <w:color w:val="auto"/>
                <w:vertAlign w:val="superscript"/>
              </w:rPr>
              <w:t>(3)</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$1,010,198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1,988,200</w:t>
            </w:r>
          </w:p>
        </w:tc>
        <w:tc>
          <w:tcPr>
            <w:tcW w:w="1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(720,805)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1,267,395</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188"/>
        </w:trPr>
        <w:tc>
          <w:tcPr>
            <w:tcW w:w="20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1,988,200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(720,805)</w:t>
            </w:r>
          </w:p>
        </w:tc>
        <w:tc>
          <w:tcPr>
            <w:tcW w:w="14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1,267,395</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188"/>
        </w:trPr>
        <w:tc>
          <w:tcPr>
            <w:tcW w:w="20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60" w:type="dxa"/>
            <w:vAlign w:val="bottom"/>
            <w:gridSpan w:val="6"/>
          </w:tcPr>
          <w:p>
            <w:pPr>
              <w:ind w:left="16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60" w:type="dxa"/>
            <w:vAlign w:val="bottom"/>
            <w:gridSpan w:val="6"/>
            <w:shd w:val="clear" w:color="auto" w:fill="CCEEFF"/>
          </w:tcPr>
          <w:p>
            <w:pPr>
              <w:ind w:left="300"/>
              <w:spacing w:after="0" w:line="171" w:lineRule="exact"/>
              <w:rPr>
                <w:sz w:val="20"/>
                <w:szCs w:val="20"/>
                <w:color w:val="auto"/>
              </w:rPr>
            </w:pPr>
            <w:r>
              <w:rPr>
                <w:rFonts w:ascii="Times New Roman" w:cs="Times New Roman" w:eastAsia="Times New Roman" w:hAnsi="Times New Roman"/>
                <w:sz w:val="16"/>
                <w:szCs w:val="16"/>
                <w:color w:val="auto"/>
              </w:rPr>
              <w:t>Maven Research, Inc.–</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6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318,979</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2060" w:type="dxa"/>
            <w:vAlign w:val="bottom"/>
            <w:gridSpan w:val="6"/>
          </w:tcPr>
          <w:p>
            <w:pPr>
              <w:ind w:left="300"/>
              <w:spacing w:after="0" w:line="171" w:lineRule="exact"/>
              <w:rPr>
                <w:sz w:val="20"/>
                <w:szCs w:val="20"/>
                <w:color w:val="auto"/>
              </w:rPr>
            </w:pPr>
            <w:r>
              <w:rPr>
                <w:rFonts w:ascii="Times New Roman" w:cs="Times New Roman" w:eastAsia="Times New Roman" w:hAnsi="Times New Roman"/>
                <w:sz w:val="16"/>
                <w:szCs w:val="16"/>
                <w:color w:val="auto"/>
              </w:rPr>
              <w:t>Maven Research, Inc.–</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60" w:type="dxa"/>
            <w:vAlign w:val="bottom"/>
            <w:gridSpan w:val="6"/>
          </w:tcPr>
          <w:p>
            <w:pPr>
              <w:ind w:left="30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49,505</w:t>
            </w:r>
          </w:p>
        </w:tc>
        <w:tc>
          <w:tcPr>
            <w:tcW w:w="80" w:type="dxa"/>
            <w:vAlign w:val="bottom"/>
          </w:tcPr>
          <w:p>
            <w:pPr>
              <w:spacing w:after="0"/>
              <w:rPr>
                <w:sz w:val="18"/>
                <w:szCs w:val="18"/>
                <w:color w:val="auto"/>
              </w:rPr>
            </w:pP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2060" w:type="dxa"/>
            <w:vAlign w:val="bottom"/>
            <w:gridSpan w:val="6"/>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60" w:type="dxa"/>
            <w:vAlign w:val="bottom"/>
            <w:gridSpan w:val="6"/>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continue"/>
            <w:shd w:val="clear" w:color="auto" w:fill="CCEEFF"/>
          </w:tcPr>
          <w:p>
            <w:pPr>
              <w:spacing w:after="0"/>
              <w:rPr>
                <w:sz w:val="16"/>
                <w:szCs w:val="16"/>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60" w:type="dxa"/>
            <w:vAlign w:val="bottom"/>
            <w:gridSpan w:val="6"/>
          </w:tcPr>
          <w:p>
            <w:pPr>
              <w:ind w:left="16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60" w:type="dxa"/>
            <w:vAlign w:val="bottom"/>
            <w:gridSpan w:val="6"/>
            <w:shd w:val="clear" w:color="auto" w:fill="CCEEFF"/>
          </w:tcPr>
          <w:p>
            <w:pPr>
              <w:ind w:left="300"/>
              <w:spacing w:after="0" w:line="207" w:lineRule="exact"/>
              <w:rPr>
                <w:sz w:val="20"/>
                <w:szCs w:val="20"/>
                <w:color w:val="auto"/>
              </w:rPr>
            </w:pPr>
            <w:r>
              <w:rPr>
                <w:rFonts w:ascii="Times New Roman" w:cs="Times New Roman" w:eastAsia="Times New Roman" w:hAnsi="Times New Roman"/>
                <w:sz w:val="14"/>
                <w:szCs w:val="14"/>
                <w:color w:val="auto"/>
              </w:rPr>
              <w:t>Ozy Media, Inc.</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6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2 6%</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(2,414,178)</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2,414,178</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60" w:type="dxa"/>
            <w:vAlign w:val="bottom"/>
            <w:gridSpan w:val="6"/>
          </w:tcPr>
          <w:p>
            <w:pPr>
              <w:ind w:left="300"/>
              <w:spacing w:after="0" w:line="207" w:lineRule="exact"/>
              <w:rPr>
                <w:sz w:val="20"/>
                <w:szCs w:val="20"/>
                <w:color w:val="auto"/>
              </w:rPr>
            </w:pPr>
            <w:r>
              <w:rPr>
                <w:rFonts w:ascii="Times New Roman" w:cs="Times New Roman" w:eastAsia="Times New Roman" w:hAnsi="Times New Roman"/>
                <w:sz w:val="14"/>
                <w:szCs w:val="14"/>
                <w:color w:val="auto"/>
              </w:rPr>
              <w:t>Ozy Media, Inc.</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60" w:type="dxa"/>
            <w:vAlign w:val="bottom"/>
            <w:gridSpan w:val="6"/>
          </w:tcPr>
          <w:p>
            <w:pPr>
              <w:ind w:left="30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(4,999,999)</w:t>
            </w: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4,999,999</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60" w:type="dxa"/>
            <w:vAlign w:val="bottom"/>
            <w:gridSpan w:val="6"/>
            <w:shd w:val="clear" w:color="auto" w:fill="CCEEFF"/>
          </w:tcPr>
          <w:p>
            <w:pPr>
              <w:ind w:left="300"/>
              <w:spacing w:after="0" w:line="207" w:lineRule="exact"/>
              <w:rPr>
                <w:sz w:val="20"/>
                <w:szCs w:val="20"/>
                <w:color w:val="auto"/>
              </w:rPr>
            </w:pPr>
            <w:r>
              <w:rPr>
                <w:rFonts w:ascii="Times New Roman" w:cs="Times New Roman" w:eastAsia="Times New Roman" w:hAnsi="Times New Roman"/>
                <w:sz w:val="15"/>
                <w:szCs w:val="15"/>
                <w:color w:val="auto"/>
              </w:rPr>
              <w:t>Ozy Media, Inc.</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5"/>
                <w:szCs w:val="15"/>
                <w:color w:val="auto"/>
              </w:rPr>
              <w:t xml:space="preserve"> –</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6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(3,000,200)</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3,000,200</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60" w:type="dxa"/>
            <w:vAlign w:val="bottom"/>
            <w:gridSpan w:val="6"/>
          </w:tcPr>
          <w:p>
            <w:pPr>
              <w:ind w:left="300"/>
              <w:spacing w:after="0" w:line="207" w:lineRule="exact"/>
              <w:rPr>
                <w:sz w:val="20"/>
                <w:szCs w:val="20"/>
                <w:color w:val="auto"/>
              </w:rPr>
            </w:pPr>
            <w:r>
              <w:rPr>
                <w:rFonts w:ascii="Times New Roman" w:cs="Times New Roman" w:eastAsia="Times New Roman" w:hAnsi="Times New Roman"/>
                <w:sz w:val="14"/>
                <w:szCs w:val="14"/>
                <w:color w:val="auto"/>
              </w:rPr>
              <w:t>Ozy Media, Inc.</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60" w:type="dxa"/>
            <w:vAlign w:val="bottom"/>
            <w:gridSpan w:val="6"/>
          </w:tcPr>
          <w:p>
            <w:pPr>
              <w:ind w:left="300"/>
              <w:spacing w:after="0"/>
              <w:rPr>
                <w:sz w:val="20"/>
                <w:szCs w:val="20"/>
                <w:color w:val="auto"/>
              </w:rPr>
            </w:pPr>
            <w:r>
              <w:rPr>
                <w:rFonts w:ascii="Times New Roman" w:cs="Times New Roman" w:eastAsia="Times New Roman" w:hAnsi="Times New Roman"/>
                <w:sz w:val="16"/>
                <w:szCs w:val="16"/>
                <w:color w:val="auto"/>
              </w:rPr>
              <w:t>Preferred shares, Series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gridSpan w:val="6"/>
          </w:tcPr>
          <w:p>
            <w:pPr>
              <w:ind w:left="300"/>
              <w:spacing w:after="0"/>
              <w:rPr>
                <w:sz w:val="20"/>
                <w:szCs w:val="20"/>
                <w:color w:val="auto"/>
              </w:rPr>
            </w:pPr>
            <w:r>
              <w:rPr>
                <w:rFonts w:ascii="Times New Roman" w:cs="Times New Roman" w:eastAsia="Times New Roman" w:hAnsi="Times New Roman"/>
                <w:sz w:val="16"/>
                <w:szCs w:val="16"/>
                <w:color w:val="auto"/>
              </w:rPr>
              <w:t>Seed 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2060" w:type="dxa"/>
            <w:vAlign w:val="bottom"/>
            <w:gridSpan w:val="6"/>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w w:val="99"/>
              </w:rPr>
              <w:t>Total Digital Media Platform</w:t>
            </w: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60" w:type="dxa"/>
            <w:vAlign w:val="bottom"/>
            <w:gridSpan w:val="6"/>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(10,914,377)</w:t>
            </w:r>
          </w:p>
        </w:tc>
        <w:tc>
          <w:tcPr>
            <w:tcW w:w="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10,914,377</w:t>
            </w:r>
          </w:p>
        </w:tc>
        <w:tc>
          <w:tcPr>
            <w:tcW w:w="1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continue"/>
            <w:shd w:val="clear" w:color="auto" w:fill="CCEEFF"/>
          </w:tcPr>
          <w:p>
            <w:pPr>
              <w:spacing w:after="0"/>
              <w:rPr>
                <w:sz w:val="16"/>
                <w:szCs w:val="16"/>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60" w:type="dxa"/>
            <w:vAlign w:val="bottom"/>
            <w:gridSpan w:val="6"/>
          </w:tcPr>
          <w:p>
            <w:pPr>
              <w:ind w:left="16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60" w:type="dxa"/>
            <w:vAlign w:val="bottom"/>
            <w:gridSpan w:val="6"/>
            <w:shd w:val="clear" w:color="auto" w:fill="CCEEFF"/>
          </w:tcPr>
          <w:p>
            <w:pPr>
              <w:ind w:left="300"/>
              <w:spacing w:after="0" w:line="207"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4"/>
                <w:szCs w:val="14"/>
                <w:color w:val="auto"/>
              </w:rPr>
              <w:t xml:space="preserve"> –</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6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329,337</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533,429</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120,546</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653,975</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07"/>
        </w:trPr>
        <w:tc>
          <w:tcPr>
            <w:tcW w:w="2060" w:type="dxa"/>
            <w:vAlign w:val="bottom"/>
            <w:gridSpan w:val="6"/>
          </w:tcPr>
          <w:p>
            <w:pPr>
              <w:ind w:left="300"/>
              <w:spacing w:after="0" w:line="207"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4"/>
                <w:szCs w:val="14"/>
                <w:color w:val="auto"/>
              </w:rPr>
              <w:t xml:space="preserve"> –</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60" w:type="dxa"/>
            <w:vAlign w:val="bottom"/>
            <w:gridSpan w:val="6"/>
          </w:tcPr>
          <w:p>
            <w:pPr>
              <w:ind w:left="30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2,779,134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5,675,081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1,129,852</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6,804,933</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07"/>
        </w:trPr>
        <w:tc>
          <w:tcPr>
            <w:tcW w:w="2060" w:type="dxa"/>
            <w:vAlign w:val="bottom"/>
            <w:gridSpan w:val="6"/>
            <w:shd w:val="clear" w:color="auto" w:fill="CCEEFF"/>
          </w:tcPr>
          <w:p>
            <w:pPr>
              <w:ind w:left="300"/>
              <w:spacing w:after="0" w:line="207" w:lineRule="exact"/>
              <w:rPr>
                <w:sz w:val="20"/>
                <w:szCs w:val="20"/>
                <w:color w:val="auto"/>
              </w:rPr>
            </w:pPr>
            <w:r>
              <w:rPr>
                <w:rFonts w:ascii="Times New Roman" w:cs="Times New Roman" w:eastAsia="Times New Roman" w:hAnsi="Times New Roman"/>
                <w:sz w:val="15"/>
                <w:szCs w:val="15"/>
                <w:color w:val="auto"/>
              </w:rPr>
              <w:t>StormWind, LLC</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5"/>
                <w:szCs w:val="15"/>
                <w:color w:val="auto"/>
              </w:rPr>
              <w:t xml:space="preserve"> –</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60" w:type="dxa"/>
            <w:vAlign w:val="bottom"/>
            <w:gridSpan w:val="6"/>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3,279,629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3,550,631</w:t>
            </w:r>
          </w:p>
        </w:tc>
        <w:tc>
          <w:tcPr>
            <w:tcW w:w="1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1,200,433</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4,751,064</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07"/>
        </w:trPr>
        <w:tc>
          <w:tcPr>
            <w:tcW w:w="2060" w:type="dxa"/>
            <w:vAlign w:val="bottom"/>
            <w:gridSpan w:val="6"/>
          </w:tcPr>
          <w:p>
            <w:pPr>
              <w:ind w:left="300"/>
              <w:spacing w:after="0" w:line="207" w:lineRule="exact"/>
              <w:rPr>
                <w:sz w:val="20"/>
                <w:szCs w:val="20"/>
                <w:color w:val="auto"/>
              </w:rPr>
            </w:pPr>
            <w:r>
              <w:rPr>
                <w:rFonts w:ascii="Times New Roman" w:cs="Times New Roman" w:eastAsia="Times New Roman" w:hAnsi="Times New Roman"/>
                <w:sz w:val="14"/>
                <w:szCs w:val="14"/>
                <w:color w:val="auto"/>
              </w:rPr>
              <w:t>StormWind, LLC</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4"/>
                <w:szCs w:val="14"/>
                <w:color w:val="auto"/>
              </w:rPr>
              <w:t xml:space="preserve"> –</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60" w:type="dxa"/>
            <w:vAlign w:val="bottom"/>
            <w:gridSpan w:val="6"/>
          </w:tcPr>
          <w:p>
            <w:pPr>
              <w:ind w:left="30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366,666</w:t>
            </w:r>
          </w:p>
        </w:tc>
        <w:tc>
          <w:tcPr>
            <w:tcW w:w="80" w:type="dxa"/>
            <w:vAlign w:val="bottom"/>
          </w:tcPr>
          <w:p>
            <w:pPr>
              <w:spacing w:after="0"/>
              <w:rPr>
                <w:sz w:val="18"/>
                <w:szCs w:val="18"/>
                <w:color w:val="auto"/>
              </w:rPr>
            </w:pP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134,209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325,903</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0"/>
        </w:trPr>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20" w:top="217" w:right="2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Interest,</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Purchases,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820" w:type="dxa"/>
            <w:vAlign w:val="bottom"/>
          </w:tcPr>
          <w:p>
            <w:pPr>
              <w:spacing w:after="0"/>
              <w:rPr>
                <w:sz w:val="16"/>
                <w:szCs w:val="16"/>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Capitalized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Fair</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or Dividends</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Value at</w:t>
            </w:r>
          </w:p>
        </w:tc>
        <w:tc>
          <w:tcPr>
            <w:tcW w:w="820" w:type="dxa"/>
            <w:vAlign w:val="bottom"/>
          </w:tcPr>
          <w:p>
            <w:pPr>
              <w:spacing w:after="0"/>
              <w:rPr>
                <w:sz w:val="16"/>
                <w:szCs w:val="16"/>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Fees, Interest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Value at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5"/>
              </w:rPr>
              <w:t>Percentage</w:t>
            </w:r>
          </w:p>
        </w:tc>
        <w:tc>
          <w:tcPr>
            <w:tcW w:w="0" w:type="dxa"/>
            <w:vAlign w:val="bottom"/>
          </w:tcPr>
          <w:p>
            <w:pPr>
              <w:spacing w:after="0"/>
              <w:rPr>
                <w:sz w:val="1"/>
                <w:szCs w:val="1"/>
                <w:color w:val="auto"/>
              </w:rPr>
            </w:pPr>
          </w:p>
        </w:tc>
      </w:tr>
      <w:tr>
        <w:trPr>
          <w:trHeight w:val="188"/>
        </w:trPr>
        <w:tc>
          <w:tcPr>
            <w:tcW w:w="2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Type/Industry/Portfolio</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4"/>
              </w:rPr>
              <w:t>Principal/</w:t>
            </w:r>
          </w:p>
        </w:tc>
        <w:tc>
          <w:tcPr>
            <w:tcW w:w="18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Credited   December 31,</w:t>
            </w:r>
          </w:p>
        </w:tc>
        <w:tc>
          <w:tcPr>
            <w:tcW w:w="82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Transfer</w:t>
            </w:r>
          </w:p>
        </w:tc>
        <w:tc>
          <w:tcPr>
            <w:tcW w:w="220" w:type="dxa"/>
            <w:vAlign w:val="bottom"/>
          </w:tcPr>
          <w:p>
            <w:pPr>
              <w:spacing w:after="0"/>
              <w:rPr>
                <w:sz w:val="16"/>
                <w:szCs w:val="16"/>
                <w:color w:val="auto"/>
              </w:rPr>
            </w:pP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2"/>
              </w:rPr>
              <w:t>and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Realized</w:t>
            </w:r>
          </w:p>
        </w:tc>
        <w:tc>
          <w:tcPr>
            <w:tcW w:w="1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0" w:type="dxa"/>
            <w:vAlign w:val="bottom"/>
          </w:tcPr>
          <w:p>
            <w:pPr>
              <w:spacing w:after="0"/>
              <w:rPr>
                <w:sz w:val="1"/>
                <w:szCs w:val="1"/>
                <w:color w:val="auto"/>
              </w:rPr>
            </w:pPr>
          </w:p>
        </w:tc>
      </w:tr>
      <w:tr>
        <w:trPr>
          <w:trHeight w:val="206"/>
        </w:trPr>
        <w:tc>
          <w:tcPr>
            <w:tcW w:w="2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Company/Investment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in Income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In/ (Out)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80" w:type="dxa"/>
            <w:vAlign w:val="bottom"/>
          </w:tcPr>
          <w:p>
            <w:pPr>
              <w:spacing w:after="0"/>
              <w:rPr>
                <w:sz w:val="17"/>
                <w:szCs w:val="17"/>
                <w:color w:val="auto"/>
              </w:rPr>
            </w:pP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00" w:type="dxa"/>
            <w:vAlign w:val="bottom"/>
          </w:tcPr>
          <w:p>
            <w:pPr>
              <w:spacing w:after="0"/>
              <w:rPr>
                <w:sz w:val="17"/>
                <w:szCs w:val="17"/>
                <w:color w:val="auto"/>
              </w:rPr>
            </w:pPr>
          </w:p>
        </w:tc>
        <w:tc>
          <w:tcPr>
            <w:tcW w:w="10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6"/>
              </w:rPr>
              <w:t>Gains/(Losses)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6"/>
              </w:rPr>
              <w:t>Gains/(Losses)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0" w:type="dxa"/>
            <w:vAlign w:val="bottom"/>
          </w:tcPr>
          <w:p>
            <w:pPr>
              <w:spacing w:after="0"/>
              <w:rPr>
                <w:sz w:val="17"/>
                <w:szCs w:val="17"/>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24"/>
        </w:trPr>
        <w:tc>
          <w:tcPr>
            <w:tcW w:w="2060" w:type="dxa"/>
            <w:vAlign w:val="bottom"/>
            <w:tcBorders>
              <w:right w:val="single" w:sz="8" w:color="CCEEFF"/>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9,950,835</w:t>
            </w:r>
          </w:p>
        </w:tc>
        <w:tc>
          <w:tcPr>
            <w:tcW w:w="80" w:type="dxa"/>
            <w:vAlign w:val="bottom"/>
            <w:vMerge w:val="continue"/>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2,585,040</w:t>
            </w:r>
          </w:p>
        </w:tc>
        <w:tc>
          <w:tcPr>
            <w:tcW w:w="120" w:type="dxa"/>
            <w:vAlign w:val="bottom"/>
            <w:tcBorders>
              <w:right w:val="single" w:sz="8" w:color="CCEEFF"/>
            </w:tcBorders>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12,535,875</w:t>
            </w:r>
          </w:p>
        </w:tc>
        <w:tc>
          <w:tcPr>
            <w:tcW w:w="100" w:type="dxa"/>
            <w:vAlign w:val="bottom"/>
            <w:vMerge w:val="continue"/>
            <w:shd w:val="clear" w:color="auto" w:fill="CCEEFF"/>
          </w:tcPr>
          <w:p>
            <w:pPr>
              <w:spacing w:after="0"/>
              <w:rPr>
                <w:sz w:val="16"/>
                <w:szCs w:val="16"/>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188"/>
        </w:trPr>
        <w:tc>
          <w:tcPr>
            <w:tcW w:w="2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9,950,835</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(10,914,377)</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13,499,417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12,535,875</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188"/>
        </w:trPr>
        <w:tc>
          <w:tcPr>
            <w:tcW w:w="2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60" w:type="dxa"/>
            <w:vAlign w:val="bottom"/>
            <w:tcBorders>
              <w:right w:val="single" w:sz="8" w:color="CCEEFF"/>
            </w:tcBorders>
            <w:shd w:val="clear" w:color="auto" w:fill="CCEEFF"/>
          </w:tcPr>
          <w:p>
            <w:pPr>
              <w:ind w:left="300"/>
              <w:spacing w:after="0" w:line="207" w:lineRule="exact"/>
              <w:rPr>
                <w:sz w:val="20"/>
                <w:szCs w:val="20"/>
                <w:color w:val="auto"/>
              </w:rPr>
            </w:pPr>
            <w:r>
              <w:rPr>
                <w:rFonts w:ascii="Times New Roman" w:cs="Times New Roman" w:eastAsia="Times New Roman" w:hAnsi="Times New Roman"/>
                <w:sz w:val="14"/>
                <w:szCs w:val="14"/>
                <w:color w:val="auto"/>
              </w:rPr>
              <w:t>Ozy Media, Inc.</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Common Warrants, Strike</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Price $0.01, Expiration</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Date 4/9/2028</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(30,647)</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30,647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60" w:type="dxa"/>
            <w:vAlign w:val="bottom"/>
            <w:tcBorders>
              <w:right w:val="single" w:sz="8" w:color="CCEEFF"/>
            </w:tcBorders>
            <w:shd w:val="clear" w:color="auto" w:fill="CCEEFF"/>
          </w:tcPr>
          <w:p>
            <w:pPr>
              <w:ind w:left="300"/>
              <w:spacing w:after="0" w:line="171" w:lineRule="exact"/>
              <w:rPr>
                <w:sz w:val="20"/>
                <w:szCs w:val="20"/>
                <w:color w:val="auto"/>
              </w:rPr>
            </w:pPr>
            <w:r>
              <w:rPr>
                <w:rFonts w:ascii="Times New Roman" w:cs="Times New Roman" w:eastAsia="Times New Roman" w:hAnsi="Times New Roman"/>
                <w:sz w:val="16"/>
                <w:szCs w:val="16"/>
                <w:color w:val="auto"/>
              </w:rPr>
              <w:t>OneValley, Inc. (f/k/a</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NestGSV, Inc.)–Preferred</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Warrant Series B, Strike</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Price $2.31, Expiration</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Date 12/31/2023</w:t>
            </w: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5,080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2060" w:type="dxa"/>
            <w:vAlign w:val="bottom"/>
          </w:tcPr>
          <w:p>
            <w:pPr>
              <w:ind w:left="300"/>
              <w:spacing w:after="0" w:line="171" w:lineRule="exact"/>
              <w:rPr>
                <w:sz w:val="20"/>
                <w:szCs w:val="20"/>
                <w:color w:val="auto"/>
              </w:rPr>
            </w:pPr>
            <w:r>
              <w:rPr>
                <w:rFonts w:ascii="Times New Roman" w:cs="Times New Roman" w:eastAsia="Times New Roman" w:hAnsi="Times New Roman"/>
                <w:sz w:val="16"/>
                <w:szCs w:val="16"/>
                <w:color w:val="auto"/>
              </w:rPr>
              <w:t>OneValley, Inc. (f/k/a</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6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98"/>
              </w:rPr>
              <w:t>NestGSV, Inc.)–Derivative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Security, Expiration Date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60" w:type="dxa"/>
            <w:vAlign w:val="bottom"/>
          </w:tcPr>
          <w:p>
            <w:pPr>
              <w:ind w:left="300"/>
              <w:spacing w:after="0" w:line="247" w:lineRule="exact"/>
              <w:rPr>
                <w:sz w:val="20"/>
                <w:szCs w:val="20"/>
                <w:color w:val="auto"/>
              </w:rPr>
            </w:pPr>
            <w:r>
              <w:rPr>
                <w:rFonts w:ascii="Times New Roman" w:cs="Times New Roman" w:eastAsia="Times New Roman" w:hAnsi="Times New Roman"/>
                <w:sz w:val="16"/>
                <w:szCs w:val="16"/>
                <w:color w:val="auto"/>
              </w:rPr>
              <w:t>8/23/2024</w:t>
            </w:r>
            <w:r>
              <w:rPr>
                <w:rFonts w:ascii="Times New Roman" w:cs="Times New Roman" w:eastAsia="Times New Roman" w:hAnsi="Times New Roman"/>
                <w:sz w:val="26"/>
                <w:szCs w:val="26"/>
                <w:color w:val="auto"/>
                <w:vertAlign w:val="superscript"/>
              </w:rPr>
              <w:t>(5)</w:t>
            </w:r>
          </w:p>
        </w:tc>
        <w:tc>
          <w:tcPr>
            <w:tcW w:w="7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1"/>
                <w:szCs w:val="21"/>
                <w:color w:val="auto"/>
              </w:rPr>
            </w:pPr>
          </w:p>
        </w:tc>
        <w:tc>
          <w:tcPr>
            <w:tcW w:w="9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652,127</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(31,200)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620,927</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158"/>
        </w:trPr>
        <w:tc>
          <w:tcPr>
            <w:tcW w:w="2060" w:type="dxa"/>
            <w:vAlign w:val="bottom"/>
            <w:tcBorders>
              <w:top w:val="single" w:sz="8" w:color="CCEEFF"/>
              <w:right w:val="single" w:sz="8" w:color="CCEEFF"/>
            </w:tcBorders>
            <w:shd w:val="clear" w:color="auto" w:fill="CCEEFF"/>
          </w:tcPr>
          <w:p>
            <w:pPr>
              <w:ind w:left="160"/>
              <w:spacing w:after="0" w:line="158" w:lineRule="exact"/>
              <w:rPr>
                <w:sz w:val="20"/>
                <w:szCs w:val="20"/>
                <w:color w:val="auto"/>
              </w:rPr>
            </w:pPr>
            <w:r>
              <w:rPr>
                <w:rFonts w:ascii="Times New Roman" w:cs="Times New Roman" w:eastAsia="Times New Roman" w:hAnsi="Times New Roman"/>
                <w:sz w:val="16"/>
                <w:szCs w:val="16"/>
                <w:i w:val="1"/>
                <w:iCs w:val="1"/>
                <w:color w:val="auto"/>
              </w:rPr>
              <w:t>Total Global Innovation</w:t>
            </w:r>
          </w:p>
        </w:tc>
        <w:tc>
          <w:tcPr>
            <w:tcW w:w="6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right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Platform</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652,127</w:t>
            </w:r>
          </w:p>
        </w:tc>
        <w:tc>
          <w:tcPr>
            <w:tcW w:w="8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(26,120)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620,927</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188"/>
        </w:trPr>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E-Commerce Marketplace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60" w:type="dxa"/>
            <w:vAlign w:val="bottom"/>
            <w:tcBorders>
              <w:right w:val="single" w:sz="8" w:color="CCEEFF"/>
            </w:tcBorders>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auto"/>
              </w:rPr>
              <w:t>PSQ Holdings, Inc. (d/b/a</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60" w:type="dxa"/>
            <w:vAlign w:val="bottom"/>
            <w:tcBorders>
              <w:right w:val="single" w:sz="8" w:color="CCEEFF"/>
            </w:tcBorders>
            <w:shd w:val="clear" w:color="auto" w:fill="CCEEFF"/>
          </w:tcPr>
          <w:p>
            <w:pPr>
              <w:ind w:left="300"/>
              <w:spacing w:after="0" w:line="220" w:lineRule="exact"/>
              <w:rPr>
                <w:sz w:val="20"/>
                <w:szCs w:val="20"/>
                <w:color w:val="auto"/>
              </w:rPr>
            </w:pPr>
            <w:r>
              <w:rPr>
                <w:rFonts w:ascii="Times New Roman" w:cs="Times New Roman" w:eastAsia="Times New Roman" w:hAnsi="Times New Roman"/>
                <w:sz w:val="15"/>
                <w:szCs w:val="15"/>
                <w:color w:val="auto"/>
              </w:rPr>
              <w:t>PublicSquare)**</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5"/>
                <w:szCs w:val="15"/>
                <w:color w:val="auto"/>
              </w:rPr>
              <w:t xml:space="preserve"> –</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Warrants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2,396,037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1,159,150</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(318,368)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187,872</w:t>
            </w:r>
          </w:p>
        </w:tc>
        <w:tc>
          <w:tcPr>
            <w:tcW w:w="100" w:type="dxa"/>
            <w:vAlign w:val="bottom"/>
            <w:tcBorders>
              <w:right w:val="single" w:sz="8" w:color="CCEEFF"/>
            </w:tcBorders>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936,096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1,964,750</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0.97%</w:t>
            </w:r>
          </w:p>
        </w:tc>
        <w:tc>
          <w:tcPr>
            <w:tcW w:w="0" w:type="dxa"/>
            <w:vAlign w:val="bottom"/>
          </w:tcPr>
          <w:p>
            <w:pPr>
              <w:spacing w:after="0"/>
              <w:rPr>
                <w:sz w:val="1"/>
                <w:szCs w:val="1"/>
                <w:color w:val="auto"/>
              </w:rPr>
            </w:pPr>
          </w:p>
        </w:tc>
      </w:tr>
      <w:tr>
        <w:trPr>
          <w:trHeight w:val="188"/>
        </w:trPr>
        <w:tc>
          <w:tcPr>
            <w:tcW w:w="2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652,127</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1,159,150</w:t>
            </w:r>
          </w:p>
        </w:tc>
        <w:tc>
          <w:tcPr>
            <w:tcW w:w="220" w:type="dxa"/>
            <w:vAlign w:val="bottom"/>
          </w:tcPr>
          <w:p>
            <w:pPr>
              <w:spacing w:after="0"/>
              <w:rPr>
                <w:sz w:val="16"/>
                <w:szCs w:val="16"/>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(318,368)</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152,145</w:t>
            </w: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940,623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2,585,677</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188"/>
        </w:trPr>
        <w:tc>
          <w:tcPr>
            <w:tcW w:w="2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60" w:type="dxa"/>
            <w:vAlign w:val="bottom"/>
            <w:tcBorders>
              <w:right w:val="single" w:sz="8" w:color="CCEEFF"/>
            </w:tcBorders>
            <w:shd w:val="clear" w:color="auto" w:fill="CCEEFF"/>
          </w:tcPr>
          <w:p>
            <w:pPr>
              <w:ind w:left="300"/>
              <w:spacing w:after="0" w:line="171" w:lineRule="exact"/>
              <w:rPr>
                <w:sz w:val="20"/>
                <w:szCs w:val="20"/>
                <w:color w:val="auto"/>
              </w:rPr>
            </w:pPr>
            <w:r>
              <w:rPr>
                <w:rFonts w:ascii="Times New Roman" w:cs="Times New Roman" w:eastAsia="Times New Roman" w:hAnsi="Times New Roman"/>
                <w:sz w:val="16"/>
                <w:szCs w:val="16"/>
                <w:color w:val="auto"/>
              </w:rPr>
              <w:t>Curious.com, Inc.–</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Common shares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1,135,944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E-Commerce Marketplace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60" w:type="dxa"/>
            <w:vAlign w:val="bottom"/>
            <w:tcBorders>
              <w:right w:val="single" w:sz="8" w:color="CCEEFF"/>
            </w:tcBorders>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auto"/>
              </w:rPr>
              <w:t>PSQ Holdings, Inc. (d/b/a</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60" w:type="dxa"/>
            <w:vAlign w:val="bottom"/>
            <w:tcBorders>
              <w:right w:val="single" w:sz="8" w:color="CCEEFF"/>
            </w:tcBorders>
            <w:shd w:val="clear" w:color="auto" w:fill="CCEEFF"/>
          </w:tcPr>
          <w:p>
            <w:pPr>
              <w:ind w:left="300"/>
              <w:spacing w:after="0" w:line="220" w:lineRule="exact"/>
              <w:rPr>
                <w:sz w:val="20"/>
                <w:szCs w:val="20"/>
                <w:color w:val="auto"/>
              </w:rPr>
            </w:pPr>
            <w:r>
              <w:rPr>
                <w:rFonts w:ascii="Times New Roman" w:cs="Times New Roman" w:eastAsia="Times New Roman" w:hAnsi="Times New Roman"/>
                <w:sz w:val="15"/>
                <w:szCs w:val="15"/>
                <w:color w:val="auto"/>
              </w:rPr>
              <w:t>PublicSquare)**</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5"/>
                <w:szCs w:val="15"/>
                <w:color w:val="auto"/>
              </w:rPr>
              <w:t xml:space="preserve"> – Class</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6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 Common shares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1,976,032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1,556,587</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6,985,799</w:t>
            </w: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8,542,386</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1,556,587</w:t>
            </w:r>
          </w:p>
        </w:tc>
        <w:tc>
          <w:tcPr>
            <w:tcW w:w="220" w:type="dxa"/>
            <w:vAlign w:val="bottom"/>
          </w:tcPr>
          <w:p>
            <w:pPr>
              <w:spacing w:after="0"/>
              <w:rPr>
                <w:sz w:val="17"/>
                <w:szCs w:val="17"/>
                <w:color w:val="auto"/>
              </w:rPr>
            </w:pPr>
          </w:p>
        </w:tc>
        <w:tc>
          <w:tcPr>
            <w:tcW w:w="7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6,985,799</w:t>
            </w: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8,542,386</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158"/>
        </w:trPr>
        <w:tc>
          <w:tcPr>
            <w:tcW w:w="2060" w:type="dxa"/>
            <w:vAlign w:val="bottom"/>
            <w:tcBorders>
              <w:top w:val="single" w:sz="8" w:color="CCEEFF"/>
              <w:right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TOTAL NON-</w:t>
            </w:r>
          </w:p>
        </w:tc>
        <w:tc>
          <w:tcPr>
            <w:tcW w:w="6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right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8"/>
              </w:rPr>
              <w:t>CONTROLLED/AFFILIATE</w:t>
            </w: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60" w:type="dxa"/>
            <w:vAlign w:val="bottom"/>
            <w:tcBorders>
              <w:right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2"/>
                <w:szCs w:val="22"/>
                <w:b w:val="1"/>
                <w:bCs w:val="1"/>
                <w:color w:val="auto"/>
                <w:vertAlign w:val="superscript"/>
              </w:rPr>
              <w:t>(1)</w:t>
            </w:r>
          </w:p>
        </w:tc>
        <w:tc>
          <w:tcPr>
            <w:tcW w:w="8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rPr>
              <w:t>— $</w:t>
            </w: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12,591,162</w:t>
            </w:r>
          </w:p>
        </w:tc>
        <w:tc>
          <w:tcPr>
            <w:tcW w:w="820" w:type="dxa"/>
            <w:vAlign w:val="bottom"/>
            <w:tcBorders>
              <w:right w:val="single" w:sz="8" w:color="CCEEFF"/>
            </w:tcBorders>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u w:val="single" w:color="auto"/>
                <w:color w:val="auto"/>
                <w:w w:val="97"/>
              </w:rPr>
              <w:t>$</w:t>
            </w:r>
            <w:r>
              <w:rPr>
                <w:rFonts w:ascii="Times New Roman" w:cs="Times New Roman" w:eastAsia="Times New Roman" w:hAnsi="Times New Roman"/>
                <w:sz w:val="16"/>
                <w:szCs w:val="16"/>
                <w:b w:val="1"/>
                <w:bCs w:val="1"/>
                <w:color w:val="auto"/>
                <w:w w:val="97"/>
              </w:rPr>
              <w:t>2,715,737</w:t>
            </w:r>
          </w:p>
        </w:tc>
        <w:tc>
          <w:tcPr>
            <w:tcW w:w="22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20" w:type="dxa"/>
            <w:vAlign w:val="bottom"/>
            <w:gridSpan w:val="3"/>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(318,368</w:t>
            </w:r>
          </w:p>
        </w:tc>
        <w:tc>
          <w:tcPr>
            <w:tcW w:w="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(10,762,233</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20,705,035</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  24,931,333</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71"/>
        </w:trPr>
        <w:tc>
          <w:tcPr>
            <w:tcW w:w="2060" w:type="dxa"/>
            <w:vAlign w:val="bottom"/>
            <w:tcBorders>
              <w:right w:val="single" w:sz="8" w:color="CCEEFF"/>
            </w:tcBorders>
            <w:shd w:val="clear" w:color="auto" w:fill="CCEEFF"/>
          </w:tcPr>
          <w:p>
            <w:pPr>
              <w:spacing w:after="0"/>
              <w:rPr>
                <w:sz w:val="6"/>
                <w:szCs w:val="6"/>
                <w:color w:val="auto"/>
              </w:rPr>
            </w:pPr>
          </w:p>
        </w:tc>
        <w:tc>
          <w:tcPr>
            <w:tcW w:w="860" w:type="dxa"/>
            <w:vAlign w:val="bottom"/>
            <w:gridSpan w:val="3"/>
            <w:vMerge w:val="continue"/>
            <w:shd w:val="clear" w:color="auto" w:fill="CCEEFF"/>
          </w:tcPr>
          <w:p>
            <w:pPr>
              <w:spacing w:after="0"/>
              <w:rPr>
                <w:sz w:val="6"/>
                <w:szCs w:val="6"/>
                <w:color w:val="auto"/>
              </w:rPr>
            </w:pPr>
          </w:p>
        </w:tc>
        <w:tc>
          <w:tcPr>
            <w:tcW w:w="980" w:type="dxa"/>
            <w:vAlign w:val="bottom"/>
            <w:gridSpan w:val="3"/>
            <w:vMerge w:val="continue"/>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820" w:type="dxa"/>
            <w:vAlign w:val="bottom"/>
            <w:tcBorders>
              <w:right w:val="single" w:sz="8" w:color="CCEEFF"/>
            </w:tcBorders>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42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1080" w:type="dxa"/>
            <w:vAlign w:val="bottom"/>
            <w:tcBorders>
              <w:right w:val="single" w:sz="8" w:color="CCEEFF"/>
            </w:tcBorders>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800" w:type="dxa"/>
            <w:vAlign w:val="bottom"/>
            <w:gridSpan w:val="2"/>
            <w:shd w:val="clear" w:color="auto" w:fill="CCEEFF"/>
          </w:tcPr>
          <w:p>
            <w:pPr>
              <w:jc w:val="right"/>
              <w:ind w:right="80"/>
              <w:spacing w:after="0" w:line="71" w:lineRule="exact"/>
              <w:rPr>
                <w:sz w:val="20"/>
                <w:szCs w:val="20"/>
                <w:color w:val="auto"/>
              </w:rPr>
            </w:pPr>
            <w:r>
              <w:rPr>
                <w:rFonts w:ascii="Times New Roman" w:cs="Times New Roman" w:eastAsia="Times New Roman" w:hAnsi="Times New Roman"/>
                <w:sz w:val="8"/>
                <w:szCs w:val="8"/>
                <w:b w:val="1"/>
                <w:bCs w:val="1"/>
                <w:color w:val="auto"/>
              </w:rPr>
              <w:t>12.26</w:t>
            </w: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3"/>
                <w:szCs w:val="13"/>
                <w:color w:val="auto"/>
                <w:w w:val="76"/>
              </w:rPr>
              <w:t>98</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217" w:right="239" w:bottom="1440" w:gutter="0" w:footer="0" w:header="0"/>
        </w:sectPr>
      </w:pPr>
    </w:p>
    <w:bookmarkStart w:id="101" w:name="page102"/>
    <w:bookmarkEnd w:id="101"/>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9133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92" w:lineRule="exact"/>
        <w:rPr>
          <w:sz w:val="20"/>
          <w:szCs w:val="20"/>
          <w:color w:val="auto"/>
        </w:rPr>
      </w:pPr>
    </w:p>
    <w:p>
      <w:pPr>
        <w:jc w:val="both"/>
        <w:ind w:left="286" w:hanging="286"/>
        <w:spacing w:after="0" w:line="270" w:lineRule="auto"/>
        <w:tabs>
          <w:tab w:leader="none" w:pos="286"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52" w:lineRule="exact"/>
        <w:rPr>
          <w:sz w:val="20"/>
          <w:szCs w:val="20"/>
          <w:color w:val="auto"/>
        </w:rPr>
      </w:pPr>
    </w:p>
    <w:p>
      <w:pPr>
        <w:ind w:left="286" w:hanging="286"/>
        <w:spacing w:after="0" w:line="270" w:lineRule="auto"/>
        <w:tabs>
          <w:tab w:leader="none" w:pos="28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1940 Act. Of the Company’s total investments as of December 31, 2023, 14.03% of its total investments are non-qualifying assets.</w:t>
      </w:r>
    </w:p>
    <w:p>
      <w:pPr>
        <w:spacing w:after="0" w:line="150"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192" w:lineRule="exact"/>
        <w:rPr>
          <w:sz w:val="20"/>
          <w:szCs w:val="20"/>
          <w:color w:val="auto"/>
        </w:rPr>
      </w:pPr>
    </w:p>
    <w:p>
      <w:pPr>
        <w:jc w:val="both"/>
        <w:ind w:left="566" w:right="20" w:hanging="566"/>
        <w:spacing w:after="0" w:line="258" w:lineRule="auto"/>
        <w:tabs>
          <w:tab w:leader="none" w:pos="56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w:t>
      </w:r>
    </w:p>
    <w:p>
      <w:pPr>
        <w:spacing w:after="0" w:line="158" w:lineRule="exact"/>
        <w:rPr>
          <w:rFonts w:ascii="Times New Roman" w:cs="Times New Roman" w:eastAsia="Times New Roman" w:hAnsi="Times New Roman"/>
          <w:sz w:val="16"/>
          <w:szCs w:val="16"/>
          <w:color w:val="auto"/>
        </w:rPr>
      </w:pPr>
    </w:p>
    <w:p>
      <w:pPr>
        <w:jc w:val="both"/>
        <w:ind w:left="566" w:right="20" w:hanging="566"/>
        <w:spacing w:after="0" w:line="258" w:lineRule="auto"/>
        <w:tabs>
          <w:tab w:leader="none" w:pos="56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58"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investments noted had been placed on non-accrual status.</w:t>
      </w:r>
    </w:p>
    <w:p>
      <w:pPr>
        <w:spacing w:after="0" w:line="192"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192" w:lineRule="exact"/>
        <w:rPr>
          <w:rFonts w:ascii="Times New Roman" w:cs="Times New Roman" w:eastAsia="Times New Roman" w:hAnsi="Times New Roman"/>
          <w:sz w:val="16"/>
          <w:szCs w:val="16"/>
          <w:color w:val="auto"/>
        </w:rPr>
      </w:pPr>
    </w:p>
    <w:p>
      <w:pPr>
        <w:jc w:val="both"/>
        <w:ind w:left="566" w:right="20" w:hanging="566"/>
        <w:spacing w:after="0" w:line="283" w:lineRule="auto"/>
        <w:tabs>
          <w:tab w:leader="none" w:pos="566"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42" w:lineRule="exact"/>
        <w:rPr>
          <w:rFonts w:ascii="Times New Roman" w:cs="Times New Roman" w:eastAsia="Times New Roman" w:hAnsi="Times New Roman"/>
          <w:sz w:val="15"/>
          <w:szCs w:val="15"/>
          <w:color w:val="auto"/>
        </w:rPr>
      </w:pPr>
    </w:p>
    <w:p>
      <w:pPr>
        <w:jc w:val="both"/>
        <w:ind w:left="566" w:hanging="566"/>
        <w:spacing w:after="0" w:line="276" w:lineRule="auto"/>
        <w:tabs>
          <w:tab w:leader="none" w:pos="566"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19, 2023, Colombier Acquisition Corp. (“Colombier”) stockholders approved a business combination with PSQ Holdings, Inc. (d/b/a PublicSquare) and related proposals at a special meeting. Also on July 19, 2023, PSQ Holdings, Inc. announced that it had consummated the business combination with Colombier pursuant to a merger agreement between the parties, creating the resultant combined company PSQ Holdings, Inc. (d/b/a PublicSquare). SuRo Capital Corp.’s shares of PSQ Holdings, Inc. (d/b/a PublicSquare) Class A Common shares are subject to certain restrictions on transfer, while the Company’s PSQ Holdings, Inc. warrants are freely tradable.</w:t>
      </w:r>
    </w:p>
    <w:p>
      <w:pPr>
        <w:spacing w:after="0" w:line="146" w:lineRule="exact"/>
        <w:rPr>
          <w:rFonts w:ascii="Times New Roman" w:cs="Times New Roman" w:eastAsia="Times New Roman" w:hAnsi="Times New Roman"/>
          <w:sz w:val="15"/>
          <w:szCs w:val="15"/>
          <w:color w:val="auto"/>
        </w:rPr>
      </w:pPr>
    </w:p>
    <w:p>
      <w:pPr>
        <w:ind w:left="566" w:hanging="566"/>
        <w:spacing w:after="0"/>
        <w:tabs>
          <w:tab w:leader="none" w:pos="56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 2023, Ozy Media, Inc. suspended operations. On May 4, 2023, SuRo Capital Corp. abandoned its investment in Ozy Media, Inc.</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Schedule of Investments In, and Advances to, Affiliates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Transactions during the year ended December 31, 2022 involving the Company’s controlled investments and non-controlled/affiliate investments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Purchases,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Fees, or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Capitalized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Dividends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 at</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Transfer</w:t>
            </w:r>
          </w:p>
        </w:tc>
        <w:tc>
          <w:tcPr>
            <w:tcW w:w="8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Value at</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188"/>
        </w:trPr>
        <w:tc>
          <w:tcPr>
            <w:tcW w:w="1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Type/Industry/Portfolio</w:t>
            </w:r>
          </w:p>
        </w:tc>
        <w:tc>
          <w:tcPr>
            <w:tcW w:w="8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Principal/</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Credited</w:t>
            </w:r>
          </w:p>
        </w:tc>
        <w:tc>
          <w:tcPr>
            <w:tcW w:w="140" w:type="dxa"/>
            <w:vAlign w:val="bottom"/>
          </w:tcPr>
          <w:p>
            <w:pPr>
              <w:spacing w:after="0"/>
              <w:rPr>
                <w:sz w:val="16"/>
                <w:szCs w:val="16"/>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Interest and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Realized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40" w:type="dxa"/>
            <w:vAlign w:val="bottom"/>
          </w:tcPr>
          <w:p>
            <w:pPr>
              <w:spacing w:after="0"/>
              <w:rPr>
                <w:sz w:val="16"/>
                <w:szCs w:val="16"/>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0" w:type="dxa"/>
            <w:vAlign w:val="bottom"/>
          </w:tcPr>
          <w:p>
            <w:pPr>
              <w:spacing w:after="0"/>
              <w:rPr>
                <w:sz w:val="1"/>
                <w:szCs w:val="1"/>
                <w:color w:val="auto"/>
              </w:rPr>
            </w:pPr>
          </w:p>
        </w:tc>
      </w:tr>
      <w:tr>
        <w:trPr>
          <w:trHeight w:val="210"/>
        </w:trPr>
        <w:tc>
          <w:tcPr>
            <w:tcW w:w="1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Company/Investment</w:t>
            </w:r>
          </w:p>
        </w:tc>
        <w:tc>
          <w:tcPr>
            <w:tcW w:w="8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Quantity</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(Out)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6"/>
              </w:rPr>
              <w:t>Amortization</w:t>
            </w:r>
          </w:p>
        </w:tc>
        <w:tc>
          <w:tcPr>
            <w:tcW w:w="8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1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Gains/(Losses)</w:t>
            </w: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Gains/(Losses)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53"/>
        </w:trPr>
        <w:tc>
          <w:tcPr>
            <w:tcW w:w="1740" w:type="dxa"/>
            <w:vAlign w:val="bottom"/>
            <w:tcBorders>
              <w:top w:val="single" w:sz="8" w:color="auto"/>
            </w:tcBorders>
            <w:gridSpan w:val="4"/>
            <w:shd w:val="clear" w:color="auto" w:fill="CCEEFF"/>
          </w:tcPr>
          <w:p>
            <w:pPr>
              <w:spacing w:after="0" w:line="153" w:lineRule="exact"/>
              <w:rPr>
                <w:sz w:val="20"/>
                <w:szCs w:val="20"/>
                <w:color w:val="auto"/>
              </w:rPr>
            </w:pPr>
            <w:r>
              <w:rPr>
                <w:rFonts w:ascii="Times New Roman" w:cs="Times New Roman" w:eastAsia="Times New Roman" w:hAnsi="Times New Roman"/>
                <w:sz w:val="16"/>
                <w:szCs w:val="16"/>
                <w:b w:val="1"/>
                <w:bCs w:val="1"/>
                <w:color w:val="auto"/>
              </w:rPr>
              <w:t>CONTROLLED</w:t>
            </w: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w w:val="78"/>
              </w:rPr>
              <w:t>(2)</w:t>
            </w: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22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6"/>
              </w:rPr>
              <w:t>INVESTMENTS*</w:t>
            </w:r>
          </w:p>
        </w:tc>
        <w:tc>
          <w:tcPr>
            <w:tcW w:w="140" w:type="dxa"/>
            <w:vAlign w:val="bottom"/>
            <w:tcBorders>
              <w:bottom w:val="single" w:sz="8" w:color="auto"/>
            </w:tcBorders>
            <w:vMerge w:val="continue"/>
            <w:shd w:val="clear" w:color="auto" w:fill="CCEEFF"/>
          </w:tcPr>
          <w:p>
            <w:pPr>
              <w:spacing w:after="0"/>
              <w:rPr>
                <w:sz w:val="12"/>
                <w:szCs w:val="12"/>
                <w:color w:val="auto"/>
              </w:rPr>
            </w:pPr>
          </w:p>
        </w:tc>
        <w:tc>
          <w:tcPr>
            <w:tcW w:w="38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220" w:type="dxa"/>
            <w:vAlign w:val="bottom"/>
            <w:tcBorders>
              <w:bottom w:val="single" w:sz="8" w:color="auto"/>
            </w:tcBorders>
            <w:gridSpan w:val="2"/>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740" w:type="dxa"/>
            <w:vAlign w:val="bottom"/>
            <w:gridSpan w:val="4"/>
            <w:shd w:val="clear" w:color="auto" w:fill="CCEEFF"/>
          </w:tcPr>
          <w:p>
            <w:pPr>
              <w:ind w:left="160"/>
              <w:spacing w:after="0" w:line="170" w:lineRule="exact"/>
              <w:rPr>
                <w:sz w:val="20"/>
                <w:szCs w:val="20"/>
                <w:color w:val="auto"/>
              </w:rPr>
            </w:pPr>
            <w:r>
              <w:rPr>
                <w:rFonts w:ascii="Times New Roman" w:cs="Times New Roman" w:eastAsia="Times New Roman" w:hAnsi="Times New Roman"/>
                <w:sz w:val="16"/>
                <w:szCs w:val="16"/>
                <w:i w:val="1"/>
                <w:iCs w:val="1"/>
                <w:color w:val="auto"/>
              </w:rPr>
              <w:t>Special Purpose</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7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Acquisition Company</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740" w:type="dxa"/>
            <w:vAlign w:val="bottom"/>
            <w:gridSpan w:val="4"/>
          </w:tcPr>
          <w:p>
            <w:pPr>
              <w:ind w:left="300"/>
              <w:spacing w:after="0" w:line="171" w:lineRule="exact"/>
              <w:rPr>
                <w:sz w:val="20"/>
                <w:szCs w:val="20"/>
                <w:color w:val="auto"/>
              </w:rPr>
            </w:pPr>
            <w:r>
              <w:rPr>
                <w:rFonts w:ascii="Times New Roman" w:cs="Times New Roman" w:eastAsia="Times New Roman" w:hAnsi="Times New Roman"/>
                <w:sz w:val="16"/>
                <w:szCs w:val="16"/>
                <w:color w:val="auto"/>
              </w:rPr>
              <w:t>Colombier Sponsor</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LLC**–Class W</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40" w:type="dxa"/>
            <w:vAlign w:val="bottom"/>
            <w:gridSpan w:val="4"/>
          </w:tcPr>
          <w:p>
            <w:pPr>
              <w:ind w:left="300"/>
              <w:spacing w:after="0" w:line="236" w:lineRule="exact"/>
              <w:rPr>
                <w:sz w:val="20"/>
                <w:szCs w:val="20"/>
                <w:color w:val="auto"/>
              </w:rPr>
            </w:pPr>
            <w:r>
              <w:rPr>
                <w:rFonts w:ascii="Times New Roman" w:cs="Times New Roman" w:eastAsia="Times New Roman" w:hAnsi="Times New Roman"/>
                <w:sz w:val="16"/>
                <w:szCs w:val="16"/>
                <w:color w:val="auto"/>
              </w:rPr>
              <w:t>Units</w:t>
            </w:r>
            <w:r>
              <w:rPr>
                <w:rFonts w:ascii="Times New Roman" w:cs="Times New Roman" w:eastAsia="Times New Roman" w:hAnsi="Times New Roman"/>
                <w:sz w:val="26"/>
                <w:szCs w:val="26"/>
                <w:color w:val="auto"/>
                <w:vertAlign w:val="superscript"/>
              </w:rPr>
              <w:t>(7)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2,700,000</w:t>
            </w:r>
          </w:p>
        </w:tc>
        <w:tc>
          <w:tcPr>
            <w:tcW w:w="1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8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188"/>
        </w:trPr>
        <w:tc>
          <w:tcPr>
            <w:tcW w:w="1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1,157,487</w:t>
            </w:r>
          </w:p>
        </w:tc>
        <w:tc>
          <w:tcPr>
            <w:tcW w:w="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188"/>
        </w:trPr>
        <w:tc>
          <w:tcPr>
            <w:tcW w:w="1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740" w:type="dxa"/>
            <w:vAlign w:val="bottom"/>
            <w:gridSpan w:val="4"/>
          </w:tcPr>
          <w:p>
            <w:pPr>
              <w:ind w:left="300"/>
              <w:spacing w:after="0" w:line="171" w:lineRule="exact"/>
              <w:rPr>
                <w:sz w:val="20"/>
                <w:szCs w:val="20"/>
                <w:color w:val="auto"/>
              </w:rPr>
            </w:pPr>
            <w:r>
              <w:rPr>
                <w:rFonts w:ascii="Times New Roman" w:cs="Times New Roman" w:eastAsia="Times New Roman" w:hAnsi="Times New Roman"/>
                <w:sz w:val="16"/>
                <w:szCs w:val="16"/>
                <w:color w:val="auto"/>
              </w:rPr>
              <w:t>SPBRX, INC. (f/k/a</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GSV Sustainability</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Partners, Inc.)–</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w w:val="97"/>
              </w:rPr>
              <w:t>Preferred shares, Class</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40" w:type="dxa"/>
            <w:vAlign w:val="bottom"/>
            <w:gridSpan w:val="4"/>
          </w:tcPr>
          <w:p>
            <w:pPr>
              <w:ind w:left="300"/>
              <w:spacing w:after="0" w:line="236" w:lineRule="exact"/>
              <w:rPr>
                <w:sz w:val="20"/>
                <w:szCs w:val="20"/>
                <w:color w:val="auto"/>
              </w:rPr>
            </w:pPr>
            <w:r>
              <w:rPr>
                <w:rFonts w:ascii="Times New Roman" w:cs="Times New Roman" w:eastAsia="Times New Roman" w:hAnsi="Times New Roman"/>
                <w:sz w:val="27"/>
                <w:szCs w:val="27"/>
                <w:color w:val="auto"/>
                <w:vertAlign w:val="subscript"/>
              </w:rPr>
              <w:t>A</w:t>
            </w:r>
            <w:r>
              <w:rPr>
                <w:rFonts w:ascii="Times New Roman" w:cs="Times New Roman" w:eastAsia="Times New Roman" w:hAnsi="Times New Roman"/>
                <w:sz w:val="12"/>
                <w:szCs w:val="12"/>
                <w:color w:val="auto"/>
              </w:rPr>
              <w:t>(4)</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14,300,000</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1,047,033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(63,005)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984,028</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0.47%</w:t>
            </w:r>
          </w:p>
        </w:tc>
        <w:tc>
          <w:tcPr>
            <w:tcW w:w="0" w:type="dxa"/>
            <w:vAlign w:val="bottom"/>
          </w:tcPr>
          <w:p>
            <w:pPr>
              <w:spacing w:after="0"/>
              <w:rPr>
                <w:sz w:val="1"/>
                <w:szCs w:val="1"/>
                <w:color w:val="auto"/>
              </w:rPr>
            </w:pPr>
          </w:p>
        </w:tc>
      </w:tr>
      <w:tr>
        <w:trPr>
          <w:trHeight w:val="188"/>
        </w:trPr>
        <w:tc>
          <w:tcPr>
            <w:tcW w:w="1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1,047,033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(63,005)</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984,028</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0.47%</w:t>
            </w:r>
          </w:p>
        </w:tc>
        <w:tc>
          <w:tcPr>
            <w:tcW w:w="0" w:type="dxa"/>
            <w:vAlign w:val="bottom"/>
          </w:tcPr>
          <w:p>
            <w:pPr>
              <w:spacing w:after="0"/>
              <w:rPr>
                <w:sz w:val="1"/>
                <w:szCs w:val="1"/>
                <w:color w:val="auto"/>
              </w:rPr>
            </w:pPr>
          </w:p>
        </w:tc>
      </w:tr>
      <w:tr>
        <w:trPr>
          <w:trHeight w:val="188"/>
        </w:trPr>
        <w:tc>
          <w:tcPr>
            <w:tcW w:w="1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740" w:type="dxa"/>
            <w:vAlign w:val="bottom"/>
            <w:gridSpan w:val="4"/>
          </w:tcPr>
          <w:p>
            <w:pPr>
              <w:ind w:left="300"/>
              <w:spacing w:after="0" w:line="171" w:lineRule="exact"/>
              <w:rPr>
                <w:sz w:val="20"/>
                <w:szCs w:val="20"/>
                <w:color w:val="auto"/>
              </w:rPr>
            </w:pPr>
            <w:r>
              <w:rPr>
                <w:rFonts w:ascii="Times New Roman" w:cs="Times New Roman" w:eastAsia="Times New Roman" w:hAnsi="Times New Roman"/>
                <w:sz w:val="16"/>
                <w:szCs w:val="16"/>
                <w:color w:val="auto"/>
              </w:rPr>
              <w:t>SPBRX, INC. (f/k/a</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GSV Sustainability</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Partners, Inc.)–</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Common shares</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1740" w:type="dxa"/>
            <w:vAlign w:val="bottom"/>
            <w:gridSpan w:val="4"/>
            <w:shd w:val="clear" w:color="auto" w:fill="CCEEFF"/>
          </w:tcPr>
          <w:p>
            <w:pPr>
              <w:ind w:left="160"/>
              <w:spacing w:after="0" w:line="170" w:lineRule="exact"/>
              <w:rPr>
                <w:sz w:val="20"/>
                <w:szCs w:val="20"/>
                <w:color w:val="auto"/>
              </w:rPr>
            </w:pPr>
            <w:r>
              <w:rPr>
                <w:rFonts w:ascii="Times New Roman" w:cs="Times New Roman" w:eastAsia="Times New Roman" w:hAnsi="Times New Roman"/>
                <w:sz w:val="16"/>
                <w:szCs w:val="16"/>
                <w:i w:val="1"/>
                <w:iCs w:val="1"/>
                <w:color w:val="auto"/>
              </w:rPr>
              <w:t>Mobile Finance</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7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Technology</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740" w:type="dxa"/>
            <w:vAlign w:val="bottom"/>
            <w:gridSpan w:val="4"/>
          </w:tcPr>
          <w:p>
            <w:pPr>
              <w:ind w:left="300"/>
              <w:spacing w:after="0" w:line="171" w:lineRule="exact"/>
              <w:rPr>
                <w:sz w:val="20"/>
                <w:szCs w:val="20"/>
                <w:color w:val="auto"/>
              </w:rPr>
            </w:pPr>
            <w:r>
              <w:rPr>
                <w:rFonts w:ascii="Times New Roman" w:cs="Times New Roman" w:eastAsia="Times New Roman" w:hAnsi="Times New Roman"/>
                <w:sz w:val="16"/>
                <w:szCs w:val="16"/>
                <w:color w:val="auto"/>
              </w:rPr>
              <w:t>Architect Capital</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PayJoy SPV, LLC**–</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Membership Interest</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in Lending SPV***</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$10,000,000</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1,685,000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10,000,000</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170"/>
        </w:trPr>
        <w:tc>
          <w:tcPr>
            <w:tcW w:w="1740" w:type="dxa"/>
            <w:vAlign w:val="bottom"/>
            <w:gridSpan w:val="4"/>
            <w:shd w:val="clear" w:color="auto" w:fill="CCEEFF"/>
          </w:tcPr>
          <w:p>
            <w:pPr>
              <w:ind w:left="160"/>
              <w:spacing w:after="0" w:line="170" w:lineRule="exact"/>
              <w:rPr>
                <w:sz w:val="20"/>
                <w:szCs w:val="20"/>
                <w:color w:val="auto"/>
              </w:rPr>
            </w:pPr>
            <w:r>
              <w:rPr>
                <w:rFonts w:ascii="Times New Roman" w:cs="Times New Roman" w:eastAsia="Times New Roman" w:hAnsi="Times New Roman"/>
                <w:sz w:val="16"/>
                <w:szCs w:val="16"/>
                <w:i w:val="1"/>
                <w:iCs w:val="1"/>
                <w:color w:val="auto"/>
              </w:rPr>
              <w:t>Special Purpose</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7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Acquisition Company</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740" w:type="dxa"/>
            <w:vAlign w:val="bottom"/>
            <w:gridSpan w:val="4"/>
          </w:tcPr>
          <w:p>
            <w:pPr>
              <w:ind w:left="300"/>
              <w:spacing w:after="0" w:line="171" w:lineRule="exact"/>
              <w:rPr>
                <w:sz w:val="20"/>
                <w:szCs w:val="20"/>
                <w:color w:val="auto"/>
              </w:rPr>
            </w:pPr>
            <w:r>
              <w:rPr>
                <w:rFonts w:ascii="Times New Roman" w:cs="Times New Roman" w:eastAsia="Times New Roman" w:hAnsi="Times New Roman"/>
                <w:sz w:val="16"/>
                <w:szCs w:val="16"/>
                <w:color w:val="auto"/>
              </w:rPr>
              <w:t>Colombier Sponsor</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7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LLC**–Class B</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40" w:type="dxa"/>
            <w:vAlign w:val="bottom"/>
            <w:gridSpan w:val="4"/>
          </w:tcPr>
          <w:p>
            <w:pPr>
              <w:ind w:left="300"/>
              <w:spacing w:after="0" w:line="236" w:lineRule="exact"/>
              <w:rPr>
                <w:sz w:val="20"/>
                <w:szCs w:val="20"/>
                <w:color w:val="auto"/>
              </w:rPr>
            </w:pPr>
            <w:r>
              <w:rPr>
                <w:rFonts w:ascii="Times New Roman" w:cs="Times New Roman" w:eastAsia="Times New Roman" w:hAnsi="Times New Roman"/>
                <w:sz w:val="16"/>
                <w:szCs w:val="16"/>
                <w:color w:val="auto"/>
              </w:rPr>
              <w:t>Units</w:t>
            </w:r>
            <w:r>
              <w:rPr>
                <w:rFonts w:ascii="Times New Roman" w:cs="Times New Roman" w:eastAsia="Times New Roman" w:hAnsi="Times New Roman"/>
                <w:sz w:val="26"/>
                <w:szCs w:val="26"/>
                <w:color w:val="auto"/>
                <w:vertAlign w:val="superscript"/>
              </w:rPr>
              <w:t>(7)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1,976,033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1,554,354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1,554,355</w:t>
            </w:r>
          </w:p>
        </w:tc>
        <w:tc>
          <w:tcPr>
            <w:tcW w:w="8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220"/>
        </w:trPr>
        <w:tc>
          <w:tcPr>
            <w:tcW w:w="1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1,685,000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11,554,354</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11,554,355</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145"/>
        </w:trPr>
        <w:tc>
          <w:tcPr>
            <w:tcW w:w="1740" w:type="dxa"/>
            <w:vAlign w:val="bottom"/>
            <w:tcBorders>
              <w:top w:val="single" w:sz="8" w:color="CCEEFF"/>
            </w:tcBorders>
            <w:gridSpan w:val="4"/>
          </w:tcPr>
          <w:p>
            <w:pPr>
              <w:spacing w:after="0" w:line="145" w:lineRule="exact"/>
              <w:rPr>
                <w:sz w:val="20"/>
                <w:szCs w:val="20"/>
                <w:color w:val="auto"/>
              </w:rPr>
            </w:pPr>
            <w:r>
              <w:rPr>
                <w:rFonts w:ascii="Times New Roman" w:cs="Times New Roman" w:eastAsia="Times New Roman" w:hAnsi="Times New Roman"/>
                <w:sz w:val="16"/>
                <w:szCs w:val="16"/>
                <w:b w:val="1"/>
                <w:bCs w:val="1"/>
                <w:color w:val="auto"/>
                <w:w w:val="98"/>
              </w:rPr>
              <w:t>TOTAL CONTROLLED</w:t>
            </w:r>
          </w:p>
        </w:tc>
        <w:tc>
          <w:tcPr>
            <w:tcW w:w="8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17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6"/>
                <w:szCs w:val="26"/>
                <w:b w:val="1"/>
                <w:bCs w:val="1"/>
                <w:color w:val="auto"/>
                <w:vertAlign w:val="superscript"/>
              </w:rPr>
              <w:t>(2)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1,685,000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13,758,874</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(63,004)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13,695,870</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6.52%</w:t>
            </w:r>
          </w:p>
        </w:tc>
        <w:tc>
          <w:tcPr>
            <w:tcW w:w="0" w:type="dxa"/>
            <w:vAlign w:val="bottom"/>
          </w:tcPr>
          <w:p>
            <w:pPr>
              <w:spacing w:after="0"/>
              <w:rPr>
                <w:sz w:val="1"/>
                <w:szCs w:val="1"/>
                <w:color w:val="auto"/>
              </w:rPr>
            </w:pPr>
          </w:p>
        </w:tc>
      </w:tr>
      <w:tr>
        <w:trPr>
          <w:trHeight w:val="296"/>
        </w:trPr>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502"/>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7"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Purchases,</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Fees, or</w:t>
            </w:r>
          </w:p>
        </w:tc>
        <w:tc>
          <w:tcPr>
            <w:tcW w:w="14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4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Value at</w:t>
            </w:r>
          </w:p>
        </w:tc>
        <w:tc>
          <w:tcPr>
            <w:tcW w:w="60" w:type="dxa"/>
            <w:vAlign w:val="bottom"/>
          </w:tcPr>
          <w:p>
            <w:pPr>
              <w:spacing w:after="0"/>
              <w:rPr>
                <w:sz w:val="16"/>
                <w:szCs w:val="16"/>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Transfer</w:t>
            </w:r>
          </w:p>
        </w:tc>
        <w:tc>
          <w:tcPr>
            <w:tcW w:w="8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Value at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188"/>
        </w:trPr>
        <w:tc>
          <w:tcPr>
            <w:tcW w:w="20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Type/Industry/Portfolio</w:t>
            </w:r>
          </w:p>
        </w:tc>
        <w:tc>
          <w:tcPr>
            <w:tcW w:w="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Principal/</w:t>
            </w:r>
          </w:p>
        </w:tc>
        <w:tc>
          <w:tcPr>
            <w:tcW w:w="60" w:type="dxa"/>
            <w:vAlign w:val="bottom"/>
          </w:tcPr>
          <w:p>
            <w:pPr>
              <w:spacing w:after="0"/>
              <w:rPr>
                <w:sz w:val="16"/>
                <w:szCs w:val="16"/>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Credited</w:t>
            </w: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1"/>
              </w:rPr>
              <w:t>In/</w:t>
            </w: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Interest and</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Realized</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0" w:type="dxa"/>
            <w:vAlign w:val="bottom"/>
          </w:tcPr>
          <w:p>
            <w:pPr>
              <w:spacing w:after="0"/>
              <w:rPr>
                <w:sz w:val="1"/>
                <w:szCs w:val="1"/>
                <w:color w:val="auto"/>
              </w:rPr>
            </w:pPr>
          </w:p>
        </w:tc>
      </w:tr>
      <w:tr>
        <w:trPr>
          <w:trHeight w:val="210"/>
        </w:trPr>
        <w:tc>
          <w:tcPr>
            <w:tcW w:w="20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Company/Investment</w:t>
            </w:r>
          </w:p>
        </w:tc>
        <w:tc>
          <w:tcPr>
            <w:tcW w:w="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4"/>
              </w:rPr>
              <w:t>in Income</w:t>
            </w:r>
          </w:p>
        </w:tc>
        <w:tc>
          <w:tcPr>
            <w:tcW w:w="140" w:type="dxa"/>
            <w:vAlign w:val="bottom"/>
          </w:tcPr>
          <w:p>
            <w:pPr>
              <w:spacing w:after="0"/>
              <w:rPr>
                <w:sz w:val="18"/>
                <w:szCs w:val="18"/>
                <w:color w:val="auto"/>
              </w:rPr>
            </w:pPr>
          </w:p>
        </w:tc>
        <w:tc>
          <w:tcPr>
            <w:tcW w:w="7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(Out)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6"/>
              </w:rPr>
              <w:t>Amortization</w:t>
            </w: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Gains/(Losses)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Gains/(Losses)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53"/>
        </w:trPr>
        <w:tc>
          <w:tcPr>
            <w:tcW w:w="400" w:type="dxa"/>
            <w:vAlign w:val="bottom"/>
            <w:tcBorders>
              <w:top w:val="single" w:sz="8" w:color="auto"/>
              <w:bottom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b w:val="1"/>
                <w:bCs w:val="1"/>
                <w:color w:val="auto"/>
                <w:w w:val="92"/>
              </w:rPr>
              <w:t>NON-</w:t>
            </w:r>
          </w:p>
        </w:tc>
        <w:tc>
          <w:tcPr>
            <w:tcW w:w="1620" w:type="dxa"/>
            <w:vAlign w:val="bottom"/>
            <w:tcBorders>
              <w:top w:val="single" w:sz="8" w:color="auto"/>
              <w:bottom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auto"/>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00" w:type="dxa"/>
            <w:vAlign w:val="bottom"/>
            <w:tcBorders>
              <w:bottom w:val="single" w:sz="8" w:color="auto"/>
            </w:tcBorders>
            <w:gridSpan w:val="4"/>
            <w:shd w:val="clear" w:color="auto" w:fill="CCEEFF"/>
          </w:tcPr>
          <w:p>
            <w:pPr>
              <w:spacing w:after="0" w:line="168" w:lineRule="exact"/>
              <w:rPr>
                <w:sz w:val="20"/>
                <w:szCs w:val="20"/>
                <w:color w:val="auto"/>
              </w:rPr>
            </w:pPr>
            <w:r>
              <w:rPr>
                <w:rFonts w:ascii="Times New Roman" w:cs="Times New Roman" w:eastAsia="Times New Roman" w:hAnsi="Times New Roman"/>
                <w:sz w:val="16"/>
                <w:szCs w:val="16"/>
                <w:b w:val="1"/>
                <w:bCs w:val="1"/>
                <w:color w:val="auto"/>
                <w:w w:val="96"/>
              </w:rPr>
              <w:t>CONTROLLED/AFFILIATE</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22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6"/>
              </w:rPr>
              <w:t>INVESTMENTS*</w:t>
            </w:r>
          </w:p>
        </w:tc>
        <w:tc>
          <w:tcPr>
            <w:tcW w:w="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b w:val="1"/>
                <w:bCs w:val="1"/>
                <w:color w:val="auto"/>
                <w:w w:val="78"/>
              </w:rPr>
              <w:t>(1)</w:t>
            </w:r>
          </w:p>
        </w:tc>
        <w:tc>
          <w:tcPr>
            <w:tcW w:w="66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220" w:type="dxa"/>
            <w:vAlign w:val="bottom"/>
            <w:tcBorders>
              <w:bottom w:val="single" w:sz="8" w:color="auto"/>
            </w:tcBorders>
            <w:gridSpan w:val="2"/>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gridSpan w:val="2"/>
            <w:vMerge w:val="continue"/>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7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78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4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74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20" w:type="dxa"/>
            <w:vAlign w:val="bottom"/>
            <w:gridSpan w:val="5"/>
          </w:tcPr>
          <w:p>
            <w:pPr>
              <w:ind w:left="300"/>
              <w:spacing w:after="0" w:line="171" w:lineRule="exact"/>
              <w:rPr>
                <w:sz w:val="20"/>
                <w:szCs w:val="20"/>
                <w:color w:val="auto"/>
              </w:rPr>
            </w:pPr>
            <w:r>
              <w:rPr>
                <w:rFonts w:ascii="Times New Roman" w:cs="Times New Roman" w:eastAsia="Times New Roman" w:hAnsi="Times New Roman"/>
                <w:sz w:val="16"/>
                <w:szCs w:val="16"/>
                <w:color w:val="auto"/>
              </w:rPr>
              <w:t>OneValley, Inc. (f/k/a</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NestGSV, Inc.) –</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Convertible Promissory</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Note 8%, Due</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20" w:type="dxa"/>
            <w:vAlign w:val="bottom"/>
            <w:gridSpan w:val="2"/>
          </w:tcPr>
          <w:p>
            <w:pPr>
              <w:ind w:left="300"/>
              <w:spacing w:after="0" w:line="236" w:lineRule="exact"/>
              <w:rPr>
                <w:sz w:val="20"/>
                <w:szCs w:val="20"/>
                <w:color w:val="auto"/>
              </w:rPr>
            </w:pPr>
            <w:r>
              <w:rPr>
                <w:rFonts w:ascii="Times New Roman" w:cs="Times New Roman" w:eastAsia="Times New Roman" w:hAnsi="Times New Roman"/>
                <w:sz w:val="16"/>
                <w:szCs w:val="16"/>
                <w:color w:val="auto"/>
              </w:rPr>
              <w:t>8/23/2024</w:t>
            </w:r>
            <w:r>
              <w:rPr>
                <w:rFonts w:ascii="Times New Roman" w:cs="Times New Roman" w:eastAsia="Times New Roman" w:hAnsi="Times New Roman"/>
                <w:sz w:val="26"/>
                <w:szCs w:val="26"/>
                <w:color w:val="auto"/>
                <w:vertAlign w:val="superscript"/>
              </w:rPr>
              <w:t>(3)</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$ 1,010,198</w:t>
            </w:r>
          </w:p>
        </w:tc>
        <w:tc>
          <w:tcPr>
            <w:tcW w:w="36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505,099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1,483,101</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1,988,200</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0.95%</w:t>
            </w:r>
          </w:p>
        </w:tc>
        <w:tc>
          <w:tcPr>
            <w:tcW w:w="0" w:type="dxa"/>
            <w:vAlign w:val="bottom"/>
          </w:tcPr>
          <w:p>
            <w:pPr>
              <w:spacing w:after="0"/>
              <w:rPr>
                <w:sz w:val="1"/>
                <w:szCs w:val="1"/>
                <w:color w:val="auto"/>
              </w:rPr>
            </w:pPr>
          </w:p>
        </w:tc>
      </w:tr>
      <w:tr>
        <w:trPr>
          <w:trHeight w:val="188"/>
        </w:trPr>
        <w:tc>
          <w:tcPr>
            <w:tcW w:w="2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505,099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1,483,101</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1,988,200</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0.95%</w:t>
            </w:r>
          </w:p>
        </w:tc>
        <w:tc>
          <w:tcPr>
            <w:tcW w:w="0" w:type="dxa"/>
            <w:vAlign w:val="bottom"/>
          </w:tcPr>
          <w:p>
            <w:pPr>
              <w:spacing w:after="0"/>
              <w:rPr>
                <w:sz w:val="1"/>
                <w:szCs w:val="1"/>
                <w:color w:val="auto"/>
              </w:rPr>
            </w:pPr>
          </w:p>
        </w:tc>
      </w:tr>
      <w:tr>
        <w:trPr>
          <w:trHeight w:val="188"/>
        </w:trPr>
        <w:tc>
          <w:tcPr>
            <w:tcW w:w="20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20" w:type="dxa"/>
            <w:vAlign w:val="bottom"/>
            <w:gridSpan w:val="5"/>
          </w:tcPr>
          <w:p>
            <w:pPr>
              <w:ind w:left="300"/>
              <w:spacing w:after="0" w:line="171" w:lineRule="exact"/>
              <w:rPr>
                <w:sz w:val="20"/>
                <w:szCs w:val="20"/>
                <w:color w:val="auto"/>
              </w:rPr>
            </w:pPr>
            <w:r>
              <w:rPr>
                <w:rFonts w:ascii="Times New Roman" w:cs="Times New Roman" w:eastAsia="Times New Roman" w:hAnsi="Times New Roman"/>
                <w:sz w:val="16"/>
                <w:szCs w:val="16"/>
                <w:color w:val="auto"/>
              </w:rPr>
              <w:t>Maven Research, Inc.–</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318,979</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2020" w:type="dxa"/>
            <w:vAlign w:val="bottom"/>
            <w:gridSpan w:val="5"/>
            <w:shd w:val="clear" w:color="auto" w:fill="CCEEFF"/>
          </w:tcPr>
          <w:p>
            <w:pPr>
              <w:ind w:left="300"/>
              <w:spacing w:after="0" w:line="172" w:lineRule="exact"/>
              <w:rPr>
                <w:sz w:val="20"/>
                <w:szCs w:val="20"/>
                <w:color w:val="auto"/>
              </w:rPr>
            </w:pPr>
            <w:r>
              <w:rPr>
                <w:rFonts w:ascii="Times New Roman" w:cs="Times New Roman" w:eastAsia="Times New Roman" w:hAnsi="Times New Roman"/>
                <w:sz w:val="16"/>
                <w:szCs w:val="16"/>
                <w:color w:val="auto"/>
              </w:rPr>
              <w:t>Maven Research, Inc.–</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2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49,505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gridSpan w:val="5"/>
            <w:vMerge w:val="restart"/>
          </w:tcPr>
          <w:p>
            <w:pPr>
              <w:ind w:left="16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2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360"/>
              <w:spacing w:after="0" w:line="172"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ind w:left="680"/>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vMerge w:val="continue"/>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continue"/>
          </w:tcPr>
          <w:p>
            <w:pPr>
              <w:spacing w:after="0"/>
              <w:rPr>
                <w:sz w:val="14"/>
                <w:szCs w:val="14"/>
                <w:color w:val="auto"/>
              </w:rPr>
            </w:pPr>
          </w:p>
        </w:tc>
        <w:tc>
          <w:tcPr>
            <w:tcW w:w="9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20"/>
              <w:spacing w:after="0" w:line="17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20" w:type="dxa"/>
            <w:vAlign w:val="bottom"/>
            <w:gridSpan w:val="5"/>
          </w:tcPr>
          <w:p>
            <w:pPr>
              <w:ind w:left="300"/>
              <w:spacing w:after="0" w:line="171" w:lineRule="exact"/>
              <w:rPr>
                <w:sz w:val="20"/>
                <w:szCs w:val="20"/>
                <w:color w:val="auto"/>
              </w:rPr>
            </w:pPr>
            <w:r>
              <w:rPr>
                <w:rFonts w:ascii="Times New Roman" w:cs="Times New Roman" w:eastAsia="Times New Roman" w:hAnsi="Times New Roman"/>
                <w:sz w:val="16"/>
                <w:szCs w:val="16"/>
                <w:color w:val="auto"/>
                <w:w w:val="99"/>
              </w:rPr>
              <w:t>Ozy Media, Inc.–Preferred</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shares, Series C-2 6%</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683,482</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2020" w:type="dxa"/>
            <w:vAlign w:val="bottom"/>
            <w:gridSpan w:val="5"/>
            <w:shd w:val="clear" w:color="auto" w:fill="CCEEFF"/>
          </w:tcPr>
          <w:p>
            <w:pPr>
              <w:ind w:left="300"/>
              <w:spacing w:after="0" w:line="172" w:lineRule="exact"/>
              <w:rPr>
                <w:sz w:val="20"/>
                <w:szCs w:val="20"/>
                <w:color w:val="auto"/>
              </w:rPr>
            </w:pPr>
            <w:r>
              <w:rPr>
                <w:rFonts w:ascii="Times New Roman" w:cs="Times New Roman" w:eastAsia="Times New Roman" w:hAnsi="Times New Roman"/>
                <w:sz w:val="16"/>
                <w:szCs w:val="16"/>
                <w:color w:val="auto"/>
                <w:w w:val="99"/>
              </w:rPr>
              <w:t>Ozy Media, Inc.–Preferred</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2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shares, Series B 6%</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922,509</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2020" w:type="dxa"/>
            <w:vAlign w:val="bottom"/>
            <w:gridSpan w:val="5"/>
          </w:tcPr>
          <w:p>
            <w:pPr>
              <w:ind w:left="300"/>
              <w:spacing w:after="0" w:line="171" w:lineRule="exact"/>
              <w:rPr>
                <w:sz w:val="20"/>
                <w:szCs w:val="20"/>
                <w:color w:val="auto"/>
              </w:rPr>
            </w:pPr>
            <w:r>
              <w:rPr>
                <w:rFonts w:ascii="Times New Roman" w:cs="Times New Roman" w:eastAsia="Times New Roman" w:hAnsi="Times New Roman"/>
                <w:sz w:val="16"/>
                <w:szCs w:val="16"/>
                <w:color w:val="auto"/>
                <w:w w:val="99"/>
              </w:rPr>
              <w:t>Ozy Media, Inc.–Preferred</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shares, Series A 6%</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1,090,909</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2020" w:type="dxa"/>
            <w:vAlign w:val="bottom"/>
            <w:gridSpan w:val="5"/>
            <w:shd w:val="clear" w:color="auto" w:fill="CCEEFF"/>
          </w:tcPr>
          <w:p>
            <w:pPr>
              <w:ind w:left="300"/>
              <w:spacing w:after="0" w:line="172" w:lineRule="exact"/>
              <w:rPr>
                <w:sz w:val="20"/>
                <w:szCs w:val="20"/>
                <w:color w:val="auto"/>
              </w:rPr>
            </w:pPr>
            <w:r>
              <w:rPr>
                <w:rFonts w:ascii="Times New Roman" w:cs="Times New Roman" w:eastAsia="Times New Roman" w:hAnsi="Times New Roman"/>
                <w:sz w:val="16"/>
                <w:szCs w:val="16"/>
                <w:color w:val="auto"/>
                <w:w w:val="99"/>
              </w:rPr>
              <w:t>Ozy Media, Inc.–Preferred</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2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shares, Series Seed 6%</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gridSpan w:val="5"/>
            <w:vMerge w:val="restart"/>
          </w:tcPr>
          <w:p>
            <w:pPr>
              <w:ind w:left="160"/>
              <w:spacing w:after="0"/>
              <w:rPr>
                <w:sz w:val="20"/>
                <w:szCs w:val="20"/>
                <w:color w:val="auto"/>
              </w:rPr>
            </w:pPr>
            <w:r>
              <w:rPr>
                <w:rFonts w:ascii="Times New Roman" w:cs="Times New Roman" w:eastAsia="Times New Roman" w:hAnsi="Times New Roman"/>
                <w:sz w:val="16"/>
                <w:szCs w:val="16"/>
                <w:i w:val="1"/>
                <w:iCs w:val="1"/>
                <w:color w:val="auto"/>
                <w:w w:val="97"/>
              </w:rPr>
              <w:t>Total Digital Media Platform</w:t>
            </w: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2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360"/>
              <w:spacing w:after="0" w:line="172"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ind w:left="680"/>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vMerge w:val="continue"/>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continue"/>
          </w:tcPr>
          <w:p>
            <w:pPr>
              <w:spacing w:after="0"/>
              <w:rPr>
                <w:sz w:val="14"/>
                <w:szCs w:val="14"/>
                <w:color w:val="auto"/>
              </w:rPr>
            </w:pPr>
          </w:p>
        </w:tc>
        <w:tc>
          <w:tcPr>
            <w:tcW w:w="9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20"/>
              <w:spacing w:after="0" w:line="17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20" w:type="dxa"/>
            <w:vAlign w:val="bottom"/>
            <w:gridSpan w:val="5"/>
          </w:tcPr>
          <w:p>
            <w:pPr>
              <w:ind w:left="300"/>
              <w:spacing w:after="0" w:line="171" w:lineRule="exact"/>
              <w:rPr>
                <w:sz w:val="20"/>
                <w:szCs w:val="20"/>
                <w:color w:val="auto"/>
              </w:rPr>
            </w:pPr>
            <w:r>
              <w:rPr>
                <w:rFonts w:ascii="Times New Roman" w:cs="Times New Roman" w:eastAsia="Times New Roman" w:hAnsi="Times New Roman"/>
                <w:sz w:val="16"/>
                <w:szCs w:val="16"/>
                <w:color w:val="auto"/>
              </w:rPr>
              <w:t>StormWind, LLC–</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Preferred shares, Series D</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20" w:type="dxa"/>
            <w:vAlign w:val="bottom"/>
            <w:gridSpan w:val="2"/>
          </w:tcPr>
          <w:p>
            <w:pPr>
              <w:ind w:left="300"/>
              <w:spacing w:after="0" w:line="236" w:lineRule="exact"/>
              <w:rPr>
                <w:sz w:val="20"/>
                <w:szCs w:val="20"/>
                <w:color w:val="auto"/>
              </w:rPr>
            </w:pPr>
            <w:r>
              <w:rPr>
                <w:rFonts w:ascii="Times New Roman" w:cs="Times New Roman" w:eastAsia="Times New Roman" w:hAnsi="Times New Roman"/>
                <w:sz w:val="27"/>
                <w:szCs w:val="27"/>
                <w:color w:val="auto"/>
                <w:vertAlign w:val="subscript"/>
              </w:rPr>
              <w:t>8%</w:t>
            </w:r>
            <w:r>
              <w:rPr>
                <w:rFonts w:ascii="Times New Roman" w:cs="Times New Roman" w:eastAsia="Times New Roman" w:hAnsi="Times New Roman"/>
                <w:sz w:val="12"/>
                <w:szCs w:val="12"/>
                <w:color w:val="auto"/>
              </w:rPr>
              <w:t>(5)</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329,337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621,093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(87,664)</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533,429</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172"/>
        </w:trPr>
        <w:tc>
          <w:tcPr>
            <w:tcW w:w="2020" w:type="dxa"/>
            <w:vAlign w:val="bottom"/>
            <w:gridSpan w:val="5"/>
            <w:shd w:val="clear" w:color="auto" w:fill="CCEEFF"/>
          </w:tcPr>
          <w:p>
            <w:pPr>
              <w:ind w:left="300"/>
              <w:spacing w:after="0" w:line="171" w:lineRule="exact"/>
              <w:rPr>
                <w:sz w:val="20"/>
                <w:szCs w:val="20"/>
                <w:color w:val="auto"/>
              </w:rPr>
            </w:pPr>
            <w:r>
              <w:rPr>
                <w:rFonts w:ascii="Times New Roman" w:cs="Times New Roman" w:eastAsia="Times New Roman" w:hAnsi="Times New Roman"/>
                <w:sz w:val="16"/>
                <w:szCs w:val="16"/>
                <w:color w:val="auto"/>
              </w:rPr>
              <w:t>StormWind, LLC–</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2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Preferred shares, Series C</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20" w:type="dxa"/>
            <w:vAlign w:val="bottom"/>
            <w:gridSpan w:val="2"/>
            <w:shd w:val="clear" w:color="auto" w:fill="CCEEFF"/>
          </w:tcPr>
          <w:p>
            <w:pPr>
              <w:ind w:left="300"/>
              <w:spacing w:after="0" w:line="236" w:lineRule="exact"/>
              <w:rPr>
                <w:sz w:val="20"/>
                <w:szCs w:val="20"/>
                <w:color w:val="auto"/>
              </w:rPr>
            </w:pPr>
            <w:r>
              <w:rPr>
                <w:rFonts w:ascii="Times New Roman" w:cs="Times New Roman" w:eastAsia="Times New Roman" w:hAnsi="Times New Roman"/>
                <w:sz w:val="27"/>
                <w:szCs w:val="27"/>
                <w:color w:val="auto"/>
                <w:vertAlign w:val="subscript"/>
              </w:rPr>
              <w:t>8%</w:t>
            </w:r>
            <w:r>
              <w:rPr>
                <w:rFonts w:ascii="Times New Roman" w:cs="Times New Roman" w:eastAsia="Times New Roman" w:hAnsi="Times New Roman"/>
                <w:sz w:val="12"/>
                <w:szCs w:val="12"/>
                <w:color w:val="auto"/>
              </w:rPr>
              <w:t>(5)</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2,779,134</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6,496,729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(821,648)</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5,675,081</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172"/>
        </w:trPr>
        <w:tc>
          <w:tcPr>
            <w:tcW w:w="2020" w:type="dxa"/>
            <w:vAlign w:val="bottom"/>
            <w:gridSpan w:val="5"/>
          </w:tcPr>
          <w:p>
            <w:pPr>
              <w:ind w:left="300"/>
              <w:spacing w:after="0" w:line="171" w:lineRule="exact"/>
              <w:rPr>
                <w:sz w:val="20"/>
                <w:szCs w:val="20"/>
                <w:color w:val="auto"/>
              </w:rPr>
            </w:pPr>
            <w:r>
              <w:rPr>
                <w:rFonts w:ascii="Times New Roman" w:cs="Times New Roman" w:eastAsia="Times New Roman" w:hAnsi="Times New Roman"/>
                <w:sz w:val="16"/>
                <w:szCs w:val="16"/>
                <w:color w:val="auto"/>
              </w:rPr>
              <w:t>StormWind, LLC–</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20" w:type="dxa"/>
            <w:vAlign w:val="bottom"/>
            <w:gridSpan w:val="2"/>
          </w:tcPr>
          <w:p>
            <w:pPr>
              <w:ind w:left="300"/>
              <w:spacing w:after="0" w:line="236" w:lineRule="exact"/>
              <w:rPr>
                <w:sz w:val="20"/>
                <w:szCs w:val="20"/>
                <w:color w:val="auto"/>
              </w:rPr>
            </w:pPr>
            <w:r>
              <w:rPr>
                <w:rFonts w:ascii="Times New Roman" w:cs="Times New Roman" w:eastAsia="Times New Roman" w:hAnsi="Times New Roman"/>
                <w:sz w:val="27"/>
                <w:szCs w:val="27"/>
                <w:color w:val="auto"/>
                <w:vertAlign w:val="subscript"/>
              </w:rPr>
              <w:t>8%</w:t>
            </w:r>
            <w:r>
              <w:rPr>
                <w:rFonts w:ascii="Times New Roman" w:cs="Times New Roman" w:eastAsia="Times New Roman" w:hAnsi="Times New Roman"/>
                <w:sz w:val="12"/>
                <w:szCs w:val="12"/>
                <w:color w:val="auto"/>
              </w:rPr>
              <w:t>(5)</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3,279,629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4,423,607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(872,976)</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3,550,631</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172"/>
        </w:trPr>
        <w:tc>
          <w:tcPr>
            <w:tcW w:w="2020" w:type="dxa"/>
            <w:vAlign w:val="bottom"/>
            <w:gridSpan w:val="5"/>
            <w:shd w:val="clear" w:color="auto" w:fill="CCEEFF"/>
          </w:tcPr>
          <w:p>
            <w:pPr>
              <w:ind w:left="300"/>
              <w:spacing w:after="0" w:line="171" w:lineRule="exact"/>
              <w:rPr>
                <w:sz w:val="20"/>
                <w:szCs w:val="20"/>
                <w:color w:val="auto"/>
              </w:rPr>
            </w:pPr>
            <w:r>
              <w:rPr>
                <w:rFonts w:ascii="Times New Roman" w:cs="Times New Roman" w:eastAsia="Times New Roman" w:hAnsi="Times New Roman"/>
                <w:sz w:val="16"/>
                <w:szCs w:val="16"/>
                <w:color w:val="auto"/>
              </w:rPr>
              <w:t>StormWind, LLC–</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2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Preferred shares, Series A</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220" w:type="dxa"/>
            <w:vAlign w:val="bottom"/>
            <w:gridSpan w:val="2"/>
            <w:shd w:val="clear" w:color="auto" w:fill="CCEEFF"/>
          </w:tcPr>
          <w:p>
            <w:pPr>
              <w:ind w:left="300"/>
              <w:spacing w:after="0" w:line="247" w:lineRule="exact"/>
              <w:rPr>
                <w:sz w:val="20"/>
                <w:szCs w:val="20"/>
                <w:color w:val="auto"/>
              </w:rPr>
            </w:pP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2"/>
                <w:szCs w:val="12"/>
                <w:color w:val="auto"/>
              </w:rPr>
              <w:t>(5)</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366,666</w:t>
            </w: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289,293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(97,599)</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191,694</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gridSpan w:val="5"/>
            <w:vMerge w:val="restart"/>
          </w:tcPr>
          <w:p>
            <w:pPr>
              <w:ind w:left="16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2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11,830,722</w:t>
            </w:r>
          </w:p>
        </w:tc>
        <w:tc>
          <w:tcPr>
            <w:tcW w:w="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360"/>
              <w:spacing w:after="0" w:line="171"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ind w:left="680"/>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vMerge w:val="continue"/>
          </w:tcPr>
          <w:p>
            <w:pPr>
              <w:spacing w:after="0"/>
              <w:rPr>
                <w:sz w:val="14"/>
                <w:szCs w:val="14"/>
                <w:color w:val="auto"/>
              </w:rPr>
            </w:pPr>
          </w:p>
        </w:tc>
        <w:tc>
          <w:tcPr>
            <w:tcW w:w="98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(1,879,887)</w:t>
            </w:r>
          </w:p>
        </w:tc>
        <w:tc>
          <w:tcPr>
            <w:tcW w:w="140" w:type="dxa"/>
            <w:vAlign w:val="bottom"/>
            <w:vMerge w:val="continue"/>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9,950,835</w:t>
            </w:r>
          </w:p>
        </w:tc>
        <w:tc>
          <w:tcPr>
            <w:tcW w:w="8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188"/>
        </w:trPr>
        <w:tc>
          <w:tcPr>
            <w:tcW w:w="20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11,830,722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(1,879,887)</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9,950,835</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4.74%</w:t>
            </w:r>
          </w:p>
        </w:tc>
        <w:tc>
          <w:tcPr>
            <w:tcW w:w="0" w:type="dxa"/>
            <w:vAlign w:val="bottom"/>
          </w:tcPr>
          <w:p>
            <w:pPr>
              <w:spacing w:after="0"/>
              <w:rPr>
                <w:sz w:val="1"/>
                <w:szCs w:val="1"/>
                <w:color w:val="auto"/>
              </w:rPr>
            </w:pPr>
          </w:p>
        </w:tc>
      </w:tr>
      <w:tr>
        <w:trPr>
          <w:trHeight w:val="380"/>
        </w:trPr>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562"/>
              <w:spacing w:after="0"/>
              <w:rPr>
                <w:sz w:val="20"/>
                <w:szCs w:val="20"/>
                <w:color w:val="auto"/>
              </w:rPr>
            </w:pPr>
            <w:r>
              <w:rPr>
                <w:rFonts w:ascii="Times New Roman" w:cs="Times New Roman" w:eastAsia="Times New Roman" w:hAnsi="Times New Roman"/>
                <w:sz w:val="16"/>
                <w:szCs w:val="16"/>
                <w:color w:val="auto"/>
                <w:w w:val="99"/>
              </w:rPr>
              <w:t>101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17" w:right="319" w:bottom="1440" w:gutter="0" w:footer="0" w:header="0"/>
        </w:sectPr>
      </w:pPr>
    </w:p>
    <w:bookmarkStart w:id="104" w:name="page105"/>
    <w:bookmarkEnd w:id="104"/>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2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Purchases,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Fees, or</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Capitalized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3"/>
              </w:rPr>
              <w:t>Dividends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Value at</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Transfer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Value at</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188"/>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Type/Industry/Portfolio</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Principal/</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Credited</w:t>
            </w:r>
          </w:p>
        </w:tc>
        <w:tc>
          <w:tcPr>
            <w:tcW w:w="60" w:type="dxa"/>
            <w:vAlign w:val="bottom"/>
          </w:tcPr>
          <w:p>
            <w:pPr>
              <w:spacing w:after="0"/>
              <w:rPr>
                <w:sz w:val="16"/>
                <w:szCs w:val="16"/>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w:t>
            </w:r>
          </w:p>
        </w:tc>
        <w:tc>
          <w:tcPr>
            <w:tcW w:w="60" w:type="dxa"/>
            <w:vAlign w:val="bottom"/>
          </w:tcPr>
          <w:p>
            <w:pPr>
              <w:spacing w:after="0"/>
              <w:rPr>
                <w:sz w:val="16"/>
                <w:szCs w:val="16"/>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Interest and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Realized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Company/Investment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Quantity</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4"/>
              </w:rPr>
              <w:t>in Income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(Out)</w:t>
            </w: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Sales</w:t>
            </w:r>
          </w:p>
        </w:tc>
        <w:tc>
          <w:tcPr>
            <w:tcW w:w="122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Gains/(Losses)</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Gains/(Losses)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88"/>
        </w:trPr>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80" w:type="dxa"/>
            <w:vAlign w:val="bottom"/>
            <w:gridSpan w:val="2"/>
            <w:shd w:val="clear" w:color="auto" w:fill="CCEEFF"/>
          </w:tcPr>
          <w:p>
            <w:pPr>
              <w:ind w:left="300"/>
              <w:spacing w:after="0" w:line="171" w:lineRule="exact"/>
              <w:rPr>
                <w:sz w:val="20"/>
                <w:szCs w:val="20"/>
                <w:color w:val="auto"/>
              </w:rPr>
            </w:pPr>
            <w:r>
              <w:rPr>
                <w:rFonts w:ascii="Times New Roman" w:cs="Times New Roman" w:eastAsia="Times New Roman" w:hAnsi="Times New Roman"/>
                <w:sz w:val="16"/>
                <w:szCs w:val="16"/>
                <w:color w:val="auto"/>
              </w:rPr>
              <w:t>Ozy Media, Inc.–Common</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Warrants, Strike Price</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$0.01, Expiration Date</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4/9/2028</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295,565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80" w:type="dxa"/>
            <w:vAlign w:val="bottom"/>
            <w:gridSpan w:val="2"/>
            <w:shd w:val="clear" w:color="auto" w:fill="CCEEFF"/>
          </w:tcPr>
          <w:p>
            <w:pPr>
              <w:ind w:left="300"/>
              <w:spacing w:after="0" w:line="171" w:lineRule="exact"/>
              <w:rPr>
                <w:sz w:val="20"/>
                <w:szCs w:val="20"/>
                <w:color w:val="auto"/>
              </w:rPr>
            </w:pPr>
            <w:r>
              <w:rPr>
                <w:rFonts w:ascii="Times New Roman" w:cs="Times New Roman" w:eastAsia="Times New Roman" w:hAnsi="Times New Roman"/>
                <w:sz w:val="16"/>
                <w:szCs w:val="16"/>
                <w:color w:val="auto"/>
              </w:rPr>
              <w:t>OneValley, Inc. (f/k/a</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NestGSV, Inc.)–Preferred</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Warrant Series B, Strike</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Price $2.31, Expiration</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Date 5/29/2022</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(70,379)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70,379</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2080" w:type="dxa"/>
            <w:vAlign w:val="bottom"/>
            <w:gridSpan w:val="2"/>
          </w:tcPr>
          <w:p>
            <w:pPr>
              <w:ind w:left="300"/>
              <w:spacing w:after="0" w:line="171" w:lineRule="exact"/>
              <w:rPr>
                <w:sz w:val="20"/>
                <w:szCs w:val="20"/>
                <w:color w:val="auto"/>
              </w:rPr>
            </w:pPr>
            <w:r>
              <w:rPr>
                <w:rFonts w:ascii="Times New Roman" w:cs="Times New Roman" w:eastAsia="Times New Roman" w:hAnsi="Times New Roman"/>
                <w:sz w:val="16"/>
                <w:szCs w:val="16"/>
                <w:color w:val="auto"/>
              </w:rPr>
              <w:t>OneValley, Inc. (f/k/a</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NestGSV, Inc.)–Preferred</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Warrant Series B, Strike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Price $2.31, Expiration</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Date 12/31/2023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(5,000)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2080" w:type="dxa"/>
            <w:vAlign w:val="bottom"/>
            <w:gridSpan w:val="2"/>
            <w:shd w:val="clear" w:color="auto" w:fill="CCEEFF"/>
          </w:tcPr>
          <w:p>
            <w:pPr>
              <w:ind w:left="300"/>
              <w:spacing w:after="0" w:line="172" w:lineRule="exact"/>
              <w:rPr>
                <w:sz w:val="20"/>
                <w:szCs w:val="20"/>
                <w:color w:val="auto"/>
              </w:rPr>
            </w:pPr>
            <w:r>
              <w:rPr>
                <w:rFonts w:ascii="Times New Roman" w:cs="Times New Roman" w:eastAsia="Times New Roman" w:hAnsi="Times New Roman"/>
                <w:sz w:val="16"/>
                <w:szCs w:val="16"/>
                <w:color w:val="auto"/>
              </w:rPr>
              <w:t>OneValley, Inc. (f/k/a</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NestGSV, Inc.)–Derivative</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Security, Expiration Date</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020" w:type="dxa"/>
            <w:vAlign w:val="bottom"/>
            <w:shd w:val="clear" w:color="auto" w:fill="CCEEFF"/>
          </w:tcPr>
          <w:p>
            <w:pPr>
              <w:ind w:left="300"/>
              <w:spacing w:after="0" w:line="247" w:lineRule="exact"/>
              <w:rPr>
                <w:sz w:val="20"/>
                <w:szCs w:val="20"/>
                <w:color w:val="auto"/>
              </w:rPr>
            </w:pPr>
            <w:r>
              <w:rPr>
                <w:rFonts w:ascii="Times New Roman" w:cs="Times New Roman" w:eastAsia="Times New Roman" w:hAnsi="Times New Roman"/>
                <w:sz w:val="16"/>
                <w:szCs w:val="16"/>
                <w:color w:val="auto"/>
              </w:rPr>
              <w:t>8/23/2024</w:t>
            </w:r>
            <w:r>
              <w:rPr>
                <w:rFonts w:ascii="Times New Roman" w:cs="Times New Roman" w:eastAsia="Times New Roman" w:hAnsi="Times New Roman"/>
                <w:sz w:val="26"/>
                <w:szCs w:val="26"/>
                <w:color w:val="auto"/>
                <w:vertAlign w:val="superscript"/>
              </w:rPr>
              <w:t>(6)</w:t>
            </w:r>
          </w:p>
        </w:tc>
        <w:tc>
          <w:tcPr>
            <w:tcW w:w="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2,268,268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(1,616,141)</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652,127</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141"/>
        </w:trPr>
        <w:tc>
          <w:tcPr>
            <w:tcW w:w="2080" w:type="dxa"/>
            <w:vAlign w:val="bottom"/>
            <w:tcBorders>
              <w:top w:val="single" w:sz="8" w:color="CCEEFF"/>
            </w:tcBorders>
            <w:gridSpan w:val="2"/>
          </w:tcPr>
          <w:p>
            <w:pPr>
              <w:ind w:left="160"/>
              <w:spacing w:after="0" w:line="142" w:lineRule="exact"/>
              <w:rPr>
                <w:sz w:val="20"/>
                <w:szCs w:val="20"/>
                <w:color w:val="auto"/>
              </w:rPr>
            </w:pPr>
            <w:r>
              <w:rPr>
                <w:rFonts w:ascii="Times New Roman" w:cs="Times New Roman" w:eastAsia="Times New Roman" w:hAnsi="Times New Roman"/>
                <w:sz w:val="16"/>
                <w:szCs w:val="16"/>
                <w:i w:val="1"/>
                <w:iCs w:val="1"/>
                <w:color w:val="auto"/>
              </w:rPr>
              <w:t>Total Global Innovation</w:t>
            </w:r>
          </w:p>
        </w:tc>
        <w:tc>
          <w:tcPr>
            <w:tcW w:w="7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Platform</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2,273,268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(70,379)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(1,550,762)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652,127</w:t>
            </w: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189"/>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Options</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2,273,268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(70,379)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(1,550,762)</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652,127</w:t>
            </w: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188"/>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80" w:type="dxa"/>
            <w:vAlign w:val="bottom"/>
            <w:gridSpan w:val="2"/>
          </w:tcPr>
          <w:p>
            <w:pPr>
              <w:ind w:left="300"/>
              <w:spacing w:after="0" w:line="171" w:lineRule="exact"/>
              <w:rPr>
                <w:sz w:val="20"/>
                <w:szCs w:val="20"/>
                <w:color w:val="auto"/>
              </w:rPr>
            </w:pPr>
            <w:r>
              <w:rPr>
                <w:rFonts w:ascii="Times New Roman" w:cs="Times New Roman" w:eastAsia="Times New Roman" w:hAnsi="Times New Roman"/>
                <w:sz w:val="16"/>
                <w:szCs w:val="16"/>
                <w:color w:val="auto"/>
              </w:rPr>
              <w:t>Curious.com, Inc.–</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Common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1,135,944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1"/>
        </w:trPr>
        <w:tc>
          <w:tcPr>
            <w:tcW w:w="2080" w:type="dxa"/>
            <w:vAlign w:val="bottom"/>
            <w:tcBorders>
              <w:top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TOTAL NON-</w:t>
            </w:r>
          </w:p>
        </w:tc>
        <w:tc>
          <w:tcPr>
            <w:tcW w:w="7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CONTROLLED/AFFILIATE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80" w:type="dxa"/>
            <w:vAlign w:val="bottom"/>
            <w:gridSpan w:val="2"/>
          </w:tcPr>
          <w:p>
            <w:pPr>
              <w:spacing w:after="0" w:line="191" w:lineRule="exact"/>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2"/>
                <w:szCs w:val="22"/>
                <w:b w:val="1"/>
                <w:bCs w:val="1"/>
                <w:color w:val="auto"/>
                <w:vertAlign w:val="superscript"/>
              </w:rPr>
              <w:t>(1)</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14,609,089</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(1,947,548</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12,591,162</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71"/>
        </w:trPr>
        <w:tc>
          <w:tcPr>
            <w:tcW w:w="2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940" w:type="dxa"/>
            <w:vAlign w:val="bottom"/>
            <w:gridSpan w:val="2"/>
          </w:tcPr>
          <w:p>
            <w:pPr>
              <w:jc w:val="right"/>
              <w:ind w:right="100"/>
              <w:spacing w:after="0" w:line="71" w:lineRule="exact"/>
              <w:rPr>
                <w:sz w:val="20"/>
                <w:szCs w:val="20"/>
                <w:color w:val="auto"/>
              </w:rPr>
            </w:pPr>
            <w:r>
              <w:rPr>
                <w:rFonts w:ascii="Times New Roman" w:cs="Times New Roman" w:eastAsia="Times New Roman" w:hAnsi="Times New Roman"/>
                <w:sz w:val="8"/>
                <w:szCs w:val="8"/>
                <w:b w:val="1"/>
                <w:bCs w:val="1"/>
                <w:color w:val="auto"/>
              </w:rPr>
              <w:t>(70,379</w:t>
            </w:r>
          </w:p>
        </w:tc>
        <w:tc>
          <w:tcPr>
            <w:tcW w:w="14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80" w:type="dxa"/>
            <w:vAlign w:val="bottom"/>
            <w:gridSpan w:val="2"/>
          </w:tcPr>
          <w:p>
            <w:pPr>
              <w:jc w:val="right"/>
              <w:spacing w:after="0" w:line="71" w:lineRule="exact"/>
              <w:rPr>
                <w:sz w:val="20"/>
                <w:szCs w:val="20"/>
                <w:color w:val="auto"/>
              </w:rPr>
            </w:pPr>
            <w:r>
              <w:rPr>
                <w:rFonts w:ascii="Times New Roman" w:cs="Times New Roman" w:eastAsia="Times New Roman" w:hAnsi="Times New Roman"/>
                <w:sz w:val="8"/>
                <w:szCs w:val="8"/>
                <w:b w:val="1"/>
                <w:bCs w:val="1"/>
                <w:color w:val="auto"/>
              </w:rPr>
              <w:t>6.00</w:t>
            </w: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9133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jc w:val="both"/>
        <w:ind w:left="286" w:hanging="286"/>
        <w:spacing w:after="0" w:line="270" w:lineRule="auto"/>
        <w:tabs>
          <w:tab w:leader="none" w:pos="28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52" w:lineRule="exact"/>
        <w:rPr>
          <w:sz w:val="20"/>
          <w:szCs w:val="20"/>
          <w:color w:val="auto"/>
        </w:rPr>
      </w:pPr>
    </w:p>
    <w:p>
      <w:pPr>
        <w:ind w:left="286" w:hanging="286"/>
        <w:spacing w:after="0" w:line="270" w:lineRule="auto"/>
        <w:tabs>
          <w:tab w:leader="none" w:pos="286"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SuRo Capital Corp. believes do not represent “qualifying assets” under Section 55(a) of the 1940 Act. Of the Company’s total investments as of December 31, 2022, 14.47% of its total investments are non-qualifying assets.</w:t>
      </w:r>
    </w:p>
    <w:p>
      <w:pPr>
        <w:spacing w:after="0" w:line="150"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105" w:name="page106"/>
    <w:bookmarkEnd w:id="105"/>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7" w:lineRule="exact"/>
        <w:rPr>
          <w:sz w:val="20"/>
          <w:szCs w:val="20"/>
          <w:color w:val="auto"/>
        </w:rPr>
      </w:pPr>
    </w:p>
    <w:p>
      <w:pPr>
        <w:jc w:val="both"/>
        <w:ind w:left="566" w:right="20" w:hanging="566"/>
        <w:spacing w:after="0" w:line="258" w:lineRule="auto"/>
        <w:tabs>
          <w:tab w:leader="none" w:pos="56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w:t>
      </w:r>
    </w:p>
    <w:p>
      <w:pPr>
        <w:spacing w:after="0" w:line="158" w:lineRule="exact"/>
        <w:rPr>
          <w:rFonts w:ascii="Times New Roman" w:cs="Times New Roman" w:eastAsia="Times New Roman" w:hAnsi="Times New Roman"/>
          <w:sz w:val="16"/>
          <w:szCs w:val="16"/>
          <w:color w:val="auto"/>
        </w:rPr>
      </w:pPr>
    </w:p>
    <w:p>
      <w:pPr>
        <w:jc w:val="both"/>
        <w:ind w:left="566" w:right="20" w:hanging="566"/>
        <w:spacing w:after="0" w:line="258" w:lineRule="auto"/>
        <w:tabs>
          <w:tab w:leader="none" w:pos="56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58"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2022, the investments noted had been placed on non-accrual status.</w:t>
      </w:r>
    </w:p>
    <w:p>
      <w:pPr>
        <w:spacing w:after="0" w:line="192" w:lineRule="exact"/>
        <w:rPr>
          <w:rFonts w:ascii="Times New Roman" w:cs="Times New Roman" w:eastAsia="Times New Roman" w:hAnsi="Times New Roman"/>
          <w:sz w:val="16"/>
          <w:szCs w:val="16"/>
          <w:color w:val="auto"/>
        </w:rPr>
      </w:pPr>
    </w:p>
    <w:p>
      <w:pPr>
        <w:ind w:left="566" w:hanging="566"/>
        <w:spacing w:after="0" w:line="270" w:lineRule="auto"/>
        <w:tabs>
          <w:tab w:leader="none" w:pos="56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50"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Corp.’s investments in StormWind, LLC are held through SuRo Capital Corp.’s wholly owned subsidiary, GSVC SW Holdings, Inc.</w:t>
      </w:r>
    </w:p>
    <w:p>
      <w:pPr>
        <w:spacing w:after="0" w:line="192" w:lineRule="exact"/>
        <w:rPr>
          <w:rFonts w:ascii="Times New Roman" w:cs="Times New Roman" w:eastAsia="Times New Roman" w:hAnsi="Times New Roman"/>
          <w:sz w:val="16"/>
          <w:szCs w:val="16"/>
          <w:color w:val="auto"/>
        </w:rPr>
      </w:pPr>
    </w:p>
    <w:p>
      <w:pPr>
        <w:jc w:val="both"/>
        <w:ind w:left="566" w:right="20" w:hanging="566"/>
        <w:spacing w:after="0" w:line="283" w:lineRule="auto"/>
        <w:tabs>
          <w:tab w:leader="none" w:pos="566"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42" w:lineRule="exact"/>
        <w:rPr>
          <w:rFonts w:ascii="Times New Roman" w:cs="Times New Roman" w:eastAsia="Times New Roman" w:hAnsi="Times New Roman"/>
          <w:sz w:val="15"/>
          <w:szCs w:val="15"/>
          <w:color w:val="auto"/>
        </w:rPr>
      </w:pPr>
    </w:p>
    <w:p>
      <w:pPr>
        <w:ind w:left="566" w:right="20" w:hanging="566"/>
        <w:spacing w:after="0" w:line="270" w:lineRule="auto"/>
        <w:tabs>
          <w:tab w:leader="none" w:pos="56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15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196"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Following several intervening approvals from the Company’s Board of Directors to increase the amount of shares of our common stock that may be repurchased under the discretionary Share Repurchase Program and/or to extend the Share Repurchase Program to later expiration dates, most recently, on August 7, 2023, the Company’s Board of Directors authorized an extension of, and an increase in the amount of shares of the Company’s common stock that may be repurchased under, the discretionary Share Repurchase Program until the earlier of (i) October 31, 2024 or (ii) the repurchase of $60.0 million in aggregate amount of the Company’s common stock.</w:t>
      </w:r>
    </w:p>
    <w:p>
      <w:pPr>
        <w:spacing w:after="0" w:line="152"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the Company may repurchase its outstanding common stock in the open market, provided that it complies with the prohibitions under its insider trading policies and procedures and the applicable provisions of the 1940 Act and the Exchange Act.</w:t>
      </w:r>
    </w:p>
    <w:p>
      <w:pPr>
        <w:spacing w:after="0" w:line="164"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During the year ended December 31, 2023, the Company repurchased 186,493 of the Company’s common stock under the Share Repurchase Program. During the year ended December 31, 2022, the Company repurchased 1,008,676 shares of the Company’s common stock under the Share Repurchase Program. As of December 31, 2023, the dollar value of shares that remained available to be purchased by the Company under the Share Repurchase Program was approximately $20.7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Modified Dutch Auction Tender Offer</w:t>
      </w:r>
    </w:p>
    <w:p>
      <w:pPr>
        <w:spacing w:after="0" w:line="19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On March 17, 2023, the Company commenced a modified “Dutch Auction” tender offer (the “Modified Dutch Auction Tender Offer”) to purchase up to 3,000,000 shares of its common stock from its stockholders, which expired on April 17, 2023. In accordance with the terms of the Modified Dutch Auction Tender Offer, the Company selected the lowest price per share of not less than $3.00 per share and not greater than $4.50 per share.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7"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Pursuant to the Modified Dutch Auction Tender Offer, the Company repurchased 3,000,000 shares, representing 10.6% of its outstanding shares, on or about April 21, 2023 at a price of $4.50 per share. The Company used available cash to fund the purchase of its shares of common stock in the Modified Dutch Auction Tender Offer and to pay for all related fees and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Amended and Restated 2019 Equity Incentive Plan</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Refer to “Note 11—Stock-Based Compensation” for a description of the Company’s restricted shares of common stock granted under the Amended &amp; Restated 2019 Equity Incentive Plan (as defined therein).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At-the-Market Offering</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On July 29, 2020, the Company entered into an At-the-Market Sales Agreement, dated July 29, 2020 (as amended, the “Sales Agreement”), with BTIG, LLC, JMP Securities LLC and Ladenburg Thalmann &amp; Co., Inc. (collectively, the “Agents”). Under the Sales Agreement, the Company may, but has no obligation to, issue and sell up to $150.0 million in aggregate amount of shares of its common stock (the “Shares”) from time to time through the Agents or to them as principal for their own account (the “ATM Program”). The Company intends to use the net proceeds from the ATM Program to make investments in portfolio companies in accordance with its investment objective and strategy and for general corporate purposes.</w:t>
      </w:r>
    </w:p>
    <w:p>
      <w:pPr>
        <w:spacing w:after="0" w:line="16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Sales of the Shares, if any, will be made by any method that is deemed to be an “at-the-market” offering as defined in Rule 415 under the Securities Act of 1933, as amended,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64"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59"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During the year ended December 31, 2023, the Company did not issue or sell Shares under the ATM Program. During the year ended December 31, 2022, the Company issued and sold 17,807 Shares under the ATM Program at weighted-average price of $13.01 per share, for gross proceeds of $231,677 and net proceeds of $229,896, after deducting commissions to the Agents on Shares sold. As of December 31, 2023, up to approximately $98.8 million in aggregate amount of the Shares remain available for sale under the ATM Program.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08" w:name="page109"/>
    <w:bookmarkEnd w:id="108"/>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NOTE 6—NET CHANGE IN NET ASSETS RESULTING FROM OPERATIONS PER COMMON SHARE—BASIC AND DILUTED</w:t>
      </w:r>
    </w:p>
    <w:p>
      <w:pPr>
        <w:spacing w:after="0" w:line="194" w:lineRule="exact"/>
        <w:rPr>
          <w:sz w:val="20"/>
          <w:szCs w:val="20"/>
          <w:color w:val="auto"/>
        </w:rPr>
      </w:pPr>
    </w:p>
    <w:p>
      <w:pPr>
        <w:ind w:left="6" w:right="20" w:firstLine="317"/>
        <w:spacing w:after="0" w:line="270" w:lineRule="auto"/>
        <w:rPr>
          <w:sz w:val="20"/>
          <w:szCs w:val="20"/>
          <w:color w:val="auto"/>
        </w:rPr>
      </w:pPr>
      <w:r>
        <w:rPr>
          <w:rFonts w:ascii="Times New Roman" w:cs="Times New Roman" w:eastAsia="Times New Roman" w:hAnsi="Times New Roman"/>
          <w:sz w:val="16"/>
          <w:szCs w:val="16"/>
          <w:color w:val="auto"/>
        </w:rPr>
        <w:t>The following information sets forth the computation of basic and diluted net change in net assets resulting from operations per common share, pursuant to ASC 260, for the years ended December 31, 2023, 2022, and 2021.</w:t>
      </w:r>
    </w:p>
    <w:p>
      <w:pPr>
        <w:spacing w:after="0" w:line="348"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360" w:type="dxa"/>
            <w:vAlign w:val="bottom"/>
            <w:tcBorders>
              <w:bottom w:val="single" w:sz="8" w:color="auto"/>
            </w:tcBorders>
            <w:shd w:val="clear" w:color="auto" w:fill="CCEEFF"/>
          </w:tcPr>
          <w:p>
            <w:pPr>
              <w:spacing w:after="0" w:line="153" w:lineRule="exact"/>
              <w:rPr>
                <w:sz w:val="20"/>
                <w:szCs w:val="20"/>
                <w:color w:val="auto"/>
              </w:rPr>
            </w:pPr>
            <w:r>
              <w:rPr>
                <w:rFonts w:ascii="Times New Roman" w:cs="Times New Roman" w:eastAsia="Times New Roman" w:hAnsi="Times New Roman"/>
                <w:sz w:val="16"/>
                <w:szCs w:val="16"/>
                <w:b w:val="1"/>
                <w:bCs w:val="1"/>
                <w:color w:val="auto"/>
                <w:w w:val="96"/>
              </w:rPr>
              <w:t>Earnings per common share–basic:</w:t>
            </w:r>
          </w:p>
        </w:tc>
        <w:tc>
          <w:tcPr>
            <w:tcW w:w="2880" w:type="dxa"/>
            <w:vAlign w:val="bottom"/>
            <w:tcBorders>
              <w:bottom w:val="single" w:sz="8" w:color="CCEEFF"/>
            </w:tcBorders>
            <w:gridSpan w:val="2"/>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5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5,066,822</w:t>
            </w:r>
          </w:p>
        </w:tc>
        <w:tc>
          <w:tcPr>
            <w:tcW w:w="58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(132,177,053)</w:t>
            </w:r>
          </w:p>
        </w:tc>
        <w:tc>
          <w:tcPr>
            <w:tcW w:w="52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147,071,721</w:t>
            </w:r>
          </w:p>
        </w:tc>
        <w:tc>
          <w:tcPr>
            <w:tcW w:w="0" w:type="dxa"/>
            <w:vAlign w:val="bottom"/>
          </w:tcPr>
          <w:p>
            <w:pPr>
              <w:spacing w:after="0"/>
              <w:rPr>
                <w:sz w:val="1"/>
                <w:szCs w:val="1"/>
                <w:color w:val="auto"/>
              </w:rPr>
            </w:pPr>
          </w:p>
        </w:tc>
      </w:tr>
      <w:tr>
        <w:trPr>
          <w:trHeight w:val="220"/>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common shares–basic</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26,222,667</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30,023,202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25,861,642</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share–basic</w:t>
            </w:r>
          </w:p>
        </w:tc>
        <w:tc>
          <w:tcPr>
            <w:tcW w:w="180" w:type="dxa"/>
            <w:vAlign w:val="bottom"/>
            <w:tcBorders>
              <w:top w:val="single" w:sz="8" w:color="CCEEFF"/>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4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80" w:type="dxa"/>
            <w:vAlign w:val="bottom"/>
            <w:tcBorders>
              <w:top w:val="single" w:sz="8" w:color="CCEEFF"/>
              <w:bottom w:val="single" w:sz="8" w:color="CCEEFF"/>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5240" w:type="dxa"/>
            <w:vAlign w:val="bottom"/>
            <w:gridSpan w:val="3"/>
            <w:shd w:val="clear" w:color="auto" w:fill="CCEEFF"/>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Earnings per common share–diluted:</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236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5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5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5,066,822</w:t>
            </w:r>
          </w:p>
        </w:tc>
        <w:tc>
          <w:tcPr>
            <w:tcW w:w="58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(132,177,053)</w:t>
            </w:r>
          </w:p>
        </w:tc>
        <w:tc>
          <w:tcPr>
            <w:tcW w:w="52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147,071,721</w:t>
            </w:r>
          </w:p>
        </w:tc>
        <w:tc>
          <w:tcPr>
            <w:tcW w:w="0" w:type="dxa"/>
            <w:vAlign w:val="bottom"/>
          </w:tcPr>
          <w:p>
            <w:pPr>
              <w:spacing w:after="0"/>
              <w:rPr>
                <w:sz w:val="1"/>
                <w:szCs w:val="1"/>
                <w:color w:val="auto"/>
              </w:rPr>
            </w:pPr>
          </w:p>
        </w:tc>
      </w:tr>
      <w:tr>
        <w:trPr>
          <w:trHeight w:val="175"/>
        </w:trPr>
        <w:tc>
          <w:tcPr>
            <w:tcW w:w="524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Adjustment for interest and amortization on 4.75% Convertible Senior Notes due</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36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6"/>
                <w:szCs w:val="16"/>
                <w:color w:val="auto"/>
              </w:rPr>
              <w:t>2023</w:t>
            </w:r>
            <w:r>
              <w:rPr>
                <w:rFonts w:ascii="Times New Roman" w:cs="Times New Roman" w:eastAsia="Times New Roman" w:hAnsi="Times New Roman"/>
                <w:sz w:val="26"/>
                <w:szCs w:val="26"/>
                <w:color w:val="auto"/>
                <w:vertAlign w:val="superscript"/>
              </w:rPr>
              <w:t>(1)</w:t>
            </w:r>
          </w:p>
        </w:tc>
        <w:tc>
          <w:tcPr>
            <w:tcW w:w="12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501,065</w:t>
            </w:r>
          </w:p>
        </w:tc>
        <w:tc>
          <w:tcPr>
            <w:tcW w:w="0" w:type="dxa"/>
            <w:vAlign w:val="bottom"/>
          </w:tcPr>
          <w:p>
            <w:pPr>
              <w:spacing w:after="0"/>
              <w:rPr>
                <w:sz w:val="1"/>
                <w:szCs w:val="1"/>
                <w:color w:val="auto"/>
              </w:rPr>
            </w:pPr>
          </w:p>
        </w:tc>
      </w:tr>
      <w:tr>
        <w:trPr>
          <w:trHeight w:val="172"/>
        </w:trPr>
        <w:tc>
          <w:tcPr>
            <w:tcW w:w="5240" w:type="dxa"/>
            <w:vAlign w:val="bottom"/>
            <w:tcBorders>
              <w:top w:val="single" w:sz="8" w:color="CCEEFF"/>
            </w:tcBorders>
            <w:gridSpan w:val="3"/>
          </w:tcPr>
          <w:p>
            <w:pPr>
              <w:spacing w:after="0" w:line="171" w:lineRule="exact"/>
              <w:rPr>
                <w:sz w:val="20"/>
                <w:szCs w:val="20"/>
                <w:color w:val="auto"/>
              </w:rPr>
            </w:pPr>
            <w:r>
              <w:rPr>
                <w:rFonts w:ascii="Times New Roman" w:cs="Times New Roman" w:eastAsia="Times New Roman" w:hAnsi="Times New Roman"/>
                <w:sz w:val="16"/>
                <w:szCs w:val="16"/>
                <w:color w:val="auto"/>
              </w:rPr>
              <w:t>Net change in net assets resulting from operations, as adjusted</w:t>
            </w:r>
          </w:p>
        </w:tc>
        <w:tc>
          <w:tcPr>
            <w:tcW w:w="18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jc w:val="right"/>
              <w:ind w:right="222"/>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5,066,822</w:t>
            </w: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jc w:val="right"/>
              <w:ind w:right="222"/>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(132,177,053)</w:t>
            </w: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jc w:val="right"/>
              <w:ind w:right="222"/>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147,572,786</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240" w:type="dxa"/>
            <w:vAlign w:val="bottom"/>
            <w:gridSpan w:val="3"/>
            <w:shd w:val="clear" w:color="auto" w:fill="CCEEFF"/>
          </w:tcPr>
          <w:p>
            <w:pPr>
              <w:spacing w:after="0" w:line="235" w:lineRule="exact"/>
              <w:rPr>
                <w:sz w:val="20"/>
                <w:szCs w:val="20"/>
                <w:color w:val="auto"/>
              </w:rPr>
            </w:pPr>
            <w:r>
              <w:rPr>
                <w:rFonts w:ascii="Times New Roman" w:cs="Times New Roman" w:eastAsia="Times New Roman" w:hAnsi="Times New Roman"/>
                <w:sz w:val="16"/>
                <w:szCs w:val="16"/>
                <w:color w:val="auto"/>
              </w:rPr>
              <w:t>Adjustment for dilutive effect of 4.75% Convertible Senior Notes due 2023</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896,725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gridSpan w:val="3"/>
            <w:vMerge w:val="restart"/>
          </w:tcPr>
          <w:p>
            <w:pPr>
              <w:spacing w:after="0" w:line="227" w:lineRule="exact"/>
              <w:rPr>
                <w:sz w:val="20"/>
                <w:szCs w:val="20"/>
                <w:color w:val="auto"/>
              </w:rPr>
            </w:pPr>
            <w:r>
              <w:rPr>
                <w:rFonts w:ascii="Times New Roman" w:cs="Times New Roman" w:eastAsia="Times New Roman" w:hAnsi="Times New Roman"/>
                <w:sz w:val="16"/>
                <w:szCs w:val="16"/>
                <w:color w:val="auto"/>
              </w:rPr>
              <w:t>Weighted-average common shares outstanding–diluted</w:t>
            </w:r>
            <w:r>
              <w:rPr>
                <w:rFonts w:ascii="Times New Roman" w:cs="Times New Roman" w:eastAsia="Times New Roman" w:hAnsi="Times New Roman"/>
                <w:sz w:val="26"/>
                <w:szCs w:val="26"/>
                <w:color w:val="auto"/>
                <w:vertAlign w:val="superscript"/>
              </w:rPr>
              <w:t>(1)</w:t>
            </w: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26,222,667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30,023,202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26,758,367</w:t>
            </w:r>
          </w:p>
        </w:tc>
        <w:tc>
          <w:tcPr>
            <w:tcW w:w="0" w:type="dxa"/>
            <w:vAlign w:val="bottom"/>
          </w:tcPr>
          <w:p>
            <w:pPr>
              <w:spacing w:after="0"/>
              <w:rPr>
                <w:sz w:val="1"/>
                <w:szCs w:val="1"/>
                <w:color w:val="auto"/>
              </w:rPr>
            </w:pPr>
          </w:p>
        </w:tc>
      </w:tr>
      <w:tr>
        <w:trPr>
          <w:trHeight w:val="200"/>
        </w:trPr>
        <w:tc>
          <w:tcPr>
            <w:tcW w:w="52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Earnings per common share–diluted</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80" w:type="dxa"/>
            <w:vAlign w:val="bottom"/>
            <w:tcBorders>
              <w:top w:val="single" w:sz="8" w:color="CCEEFF"/>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9133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ind w:left="566" w:hanging="566"/>
        <w:spacing w:after="0"/>
        <w:tabs>
          <w:tab w:leader="none" w:pos="566"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2022, and 2021, there were no potentially dilutive securities outstanding.</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NOTE 7—COMMITMENTS AND CONTINGENCIES</w:t>
      </w:r>
    </w:p>
    <w:p>
      <w:pPr>
        <w:spacing w:after="0" w:line="194" w:lineRule="exact"/>
        <w:rPr>
          <w:sz w:val="20"/>
          <w:szCs w:val="20"/>
          <w:color w:val="auto"/>
        </w:rPr>
      </w:pPr>
    </w:p>
    <w:p>
      <w:pPr>
        <w:jc w:val="both"/>
        <w:ind w:left="6" w:firstLine="282"/>
        <w:spacing w:after="0" w:line="270" w:lineRule="auto"/>
        <w:rPr>
          <w:sz w:val="20"/>
          <w:szCs w:val="20"/>
          <w:color w:val="auto"/>
        </w:rPr>
      </w:pPr>
      <w:r>
        <w:rPr>
          <w:rFonts w:ascii="Times New Roman" w:cs="Times New Roman" w:eastAsia="Times New Roman" w:hAnsi="Times New Roman"/>
          <w:sz w:val="16"/>
          <w:szCs w:val="16"/>
          <w:color w:val="auto"/>
        </w:rPr>
        <w:t>In the normal course of business, the Company may enter into investment agreements under which it commits to make an investment in a portfolio company at some future date or over a specified period of time.</w:t>
      </w:r>
    </w:p>
    <w:p>
      <w:pPr>
        <w:spacing w:after="0" w:line="150" w:lineRule="exact"/>
        <w:rPr>
          <w:sz w:val="20"/>
          <w:szCs w:val="20"/>
          <w:color w:val="auto"/>
        </w:rPr>
      </w:pPr>
    </w:p>
    <w:p>
      <w:pPr>
        <w:jc w:val="both"/>
        <w:ind w:left="6" w:right="20" w:firstLine="282"/>
        <w:spacing w:after="0" w:line="258" w:lineRule="auto"/>
        <w:rPr>
          <w:sz w:val="20"/>
          <w:szCs w:val="20"/>
          <w:color w:val="auto"/>
        </w:rPr>
      </w:pPr>
      <w:r>
        <w:rPr>
          <w:rFonts w:ascii="Times New Roman" w:cs="Times New Roman" w:eastAsia="Times New Roman" w:hAnsi="Times New Roman"/>
          <w:sz w:val="16"/>
          <w:szCs w:val="16"/>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 and Related Deposits</w:t>
      </w:r>
    </w:p>
    <w:p>
      <w:pPr>
        <w:spacing w:after="0" w:line="196" w:lineRule="exact"/>
        <w:rPr>
          <w:sz w:val="20"/>
          <w:szCs w:val="20"/>
          <w:color w:val="auto"/>
        </w:rPr>
      </w:pPr>
    </w:p>
    <w:p>
      <w:pPr>
        <w:jc w:val="both"/>
        <w:ind w:left="6" w:firstLine="282"/>
        <w:spacing w:after="0" w:line="258" w:lineRule="auto"/>
        <w:rPr>
          <w:sz w:val="20"/>
          <w:szCs w:val="20"/>
          <w:color w:val="auto"/>
        </w:rPr>
      </w:pPr>
      <w:r>
        <w:rPr>
          <w:rFonts w:ascii="Times New Roman" w:cs="Times New Roman" w:eastAsia="Times New Roman" w:hAnsi="Times New Roman"/>
          <w:sz w:val="16"/>
          <w:szCs w:val="16"/>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159" w:lineRule="exact"/>
        <w:rPr>
          <w:sz w:val="20"/>
          <w:szCs w:val="20"/>
          <w:color w:val="auto"/>
        </w:rPr>
      </w:pPr>
    </w:p>
    <w:p>
      <w:pPr>
        <w:jc w:val="both"/>
        <w:ind w:left="6" w:firstLine="282"/>
        <w:spacing w:after="0" w:line="251" w:lineRule="auto"/>
        <w:rPr>
          <w:sz w:val="20"/>
          <w:szCs w:val="20"/>
          <w:color w:val="auto"/>
        </w:rPr>
      </w:pPr>
      <w:r>
        <w:rPr>
          <w:rFonts w:ascii="Times New Roman" w:cs="Times New Roman" w:eastAsia="Times New Roman" w:hAnsi="Times New Roman"/>
          <w:sz w:val="16"/>
          <w:szCs w:val="16"/>
          <w:color w:val="auto"/>
        </w:rPr>
        <w:t>As of December 31, 2023 and December 31, 2022, the Company booked a right-of-use asset and operating lease liability of $112,485 and $288,268, respectively, on the Consolidated Statement of Assets and Liabilities. As of December 31, 2023 and December 31, 2022, the Company recorded a security deposit of $16,574 and $16,574, respectively, on the Consolidated Statement of Assets and Liabilities. For the years ended December 31, 2023 and 2022, the Company incurred $204,109 and $192,176, respectively, of operating lease expense. The amounts reflected on the Consolidated Statement of Assets and Liabilities have been discounted using the rate implicit in the lease. As of December 31, 2023, the remaining lease term was 0.6 years and the discount rate was 3.00%.</w:t>
      </w:r>
    </w:p>
    <w:p>
      <w:pPr>
        <w:spacing w:after="0" w:line="166"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6"/>
          <w:szCs w:val="16"/>
          <w:color w:val="auto"/>
        </w:rPr>
        <w:t>The following table shows future minimum payments under the Company’s operating lease as of December 31, 2023:</w:t>
      </w:r>
    </w:p>
    <w:p>
      <w:pPr>
        <w:spacing w:after="0" w:line="190" w:lineRule="exact"/>
        <w:rPr>
          <w:sz w:val="20"/>
          <w:szCs w:val="20"/>
          <w:color w:val="auto"/>
        </w:rPr>
      </w:pPr>
    </w:p>
    <w:tbl>
      <w:tblPr>
        <w:tblLayout w:type="fixed"/>
        <w:tblInd w:w="6" w:type="dxa"/>
        <w:tblCellMar>
          <w:top w:w="0" w:type="dxa"/>
          <w:left w:w="0" w:type="dxa"/>
          <w:bottom w:w="0" w:type="dxa"/>
          <w:right w:w="0" w:type="dxa"/>
        </w:tblCellMar>
      </w:tblPr>
      <w:tr>
        <w:trPr>
          <w:trHeight w:val="222"/>
        </w:trPr>
        <w:tc>
          <w:tcPr>
            <w:tcW w:w="8840" w:type="dxa"/>
            <w:vAlign w:val="bottom"/>
            <w:gridSpan w:val="3"/>
          </w:tcPr>
          <w:p>
            <w:pPr>
              <w:ind w:left="140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400" w:type="dxa"/>
            <w:vAlign w:val="bottom"/>
          </w:tcPr>
          <w:p>
            <w:pPr>
              <w:spacing w:after="0"/>
              <w:rPr>
                <w:sz w:val="18"/>
                <w:szCs w:val="18"/>
                <w:color w:val="auto"/>
              </w:rPr>
            </w:pPr>
          </w:p>
        </w:tc>
        <w:tc>
          <w:tcPr>
            <w:tcW w:w="7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660" w:type="dxa"/>
            <w:vAlign w:val="bottom"/>
            <w:gridSpan w:val="2"/>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113,603</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jc w:val="right"/>
              <w:ind w:right="2842"/>
              <w:spacing w:after="0"/>
              <w:rPr>
                <w:sz w:val="20"/>
                <w:szCs w:val="20"/>
                <w:color w:val="auto"/>
              </w:rPr>
            </w:pPr>
            <w:r>
              <w:rPr>
                <w:rFonts w:ascii="Times New Roman" w:cs="Times New Roman" w:eastAsia="Times New Roman" w:hAnsi="Times New Roman"/>
                <w:sz w:val="16"/>
                <w:szCs w:val="16"/>
                <w:color w:val="auto"/>
              </w:rPr>
              <w:t>106</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8660" w:type="dxa"/>
            <w:vAlign w:val="bottom"/>
            <w:tcBorders>
              <w:bottom w:val="single" w:sz="8" w:color="auto"/>
            </w:tcBorders>
            <w:gridSpan w:val="2"/>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6"/>
          </w:cols>
          <w:pgMar w:left="314" w:top="217" w:right="319" w:bottom="1440" w:gutter="0" w:footer="0" w:header="0"/>
        </w:sectPr>
      </w:pPr>
    </w:p>
    <w:bookmarkStart w:id="109" w:name="page110"/>
    <w:bookmarkEnd w:id="109"/>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NOTE 8—FINANCIAL HIGHLIGHTS</w:t>
      </w:r>
    </w:p>
    <w:p>
      <w:pPr>
        <w:spacing w:after="0" w:line="392"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2020</w:t>
            </w: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Per Basic Share Data</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at beginning of the year</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7.39</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11.72</w:t>
            </w:r>
          </w:p>
        </w:tc>
        <w:tc>
          <w:tcPr>
            <w:tcW w:w="3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15.14</w:t>
            </w:r>
          </w:p>
        </w:tc>
        <w:tc>
          <w:tcPr>
            <w:tcW w:w="2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11.38</w:t>
            </w:r>
          </w:p>
        </w:tc>
        <w:tc>
          <w:tcPr>
            <w:tcW w:w="3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60"/>
              <w:spacing w:after="0" w:line="223" w:lineRule="exact"/>
              <w:rPr>
                <w:sz w:val="20"/>
                <w:szCs w:val="20"/>
                <w:color w:val="auto"/>
              </w:rPr>
            </w:pPr>
            <w:r>
              <w:rPr>
                <w:rFonts w:ascii="Times New Roman" w:cs="Times New Roman" w:eastAsia="Times New Roman" w:hAnsi="Times New Roman"/>
                <w:sz w:val="15"/>
                <w:szCs w:val="15"/>
                <w:color w:val="auto"/>
              </w:rPr>
              <w:t>Net investment loss</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(0.51)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(0.49)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(0.38)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(0.81)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23"/>
        </w:trPr>
        <w:tc>
          <w:tcPr>
            <w:tcW w:w="3620" w:type="dxa"/>
            <w:vAlign w:val="bottom"/>
          </w:tcPr>
          <w:p>
            <w:pPr>
              <w:ind w:left="160"/>
              <w:spacing w:after="0" w:line="223" w:lineRule="exact"/>
              <w:rPr>
                <w:sz w:val="20"/>
                <w:szCs w:val="20"/>
                <w:color w:val="auto"/>
              </w:rPr>
            </w:pPr>
            <w:r>
              <w:rPr>
                <w:rFonts w:ascii="Times New Roman" w:cs="Times New Roman" w:eastAsia="Times New Roman" w:hAnsi="Times New Roman"/>
                <w:sz w:val="15"/>
                <w:szCs w:val="15"/>
                <w:color w:val="auto"/>
              </w:rPr>
              <w:t>Net realized gain/(loss) on investments</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(0.46)</w:t>
            </w:r>
          </w:p>
        </w:tc>
        <w:tc>
          <w:tcPr>
            <w:tcW w:w="220" w:type="dxa"/>
            <w:vAlign w:val="bottom"/>
          </w:tcPr>
          <w:p>
            <w:pPr>
              <w:spacing w:after="0"/>
              <w:rPr>
                <w:sz w:val="19"/>
                <w:szCs w:val="19"/>
                <w:color w:val="auto"/>
              </w:rPr>
            </w:pPr>
          </w:p>
        </w:tc>
        <w:tc>
          <w:tcPr>
            <w:tcW w:w="122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8.46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0.92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175"/>
        </w:trPr>
        <w:tc>
          <w:tcPr>
            <w:tcW w:w="362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Net change in unrealized</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620" w:type="dxa"/>
            <w:vAlign w:val="bottom"/>
            <w:shd w:val="clear" w:color="auto" w:fill="CCEEFF"/>
          </w:tcPr>
          <w:p>
            <w:pPr>
              <w:ind w:left="160"/>
              <w:spacing w:after="0" w:line="236" w:lineRule="exact"/>
              <w:rPr>
                <w:sz w:val="20"/>
                <w:szCs w:val="20"/>
                <w:color w:val="auto"/>
              </w:rPr>
            </w:pPr>
            <w:r>
              <w:rPr>
                <w:rFonts w:ascii="Times New Roman" w:cs="Times New Roman" w:eastAsia="Times New Roman" w:hAnsi="Times New Roman"/>
                <w:sz w:val="16"/>
                <w:szCs w:val="16"/>
                <w:color w:val="auto"/>
              </w:rPr>
              <w:t>appreciation/(depreciation) of investments</w:t>
            </w:r>
            <w:r>
              <w:rPr>
                <w:rFonts w:ascii="Times New Roman" w:cs="Times New Roman" w:eastAsia="Times New Roman" w:hAnsi="Times New Roman"/>
                <w:sz w:val="26"/>
                <w:szCs w:val="26"/>
                <w:color w:val="auto"/>
                <w:vertAlign w:val="superscript"/>
              </w:rPr>
              <w:t>(1)</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1.16</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(2.39)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3.78</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0.69</w:t>
            </w:r>
          </w:p>
        </w:tc>
        <w:tc>
          <w:tcPr>
            <w:tcW w:w="0" w:type="dxa"/>
            <w:vAlign w:val="bottom"/>
          </w:tcPr>
          <w:p>
            <w:pPr>
              <w:spacing w:after="0"/>
              <w:rPr>
                <w:sz w:val="1"/>
                <w:szCs w:val="1"/>
                <w:color w:val="auto"/>
              </w:rPr>
            </w:pPr>
          </w:p>
        </w:tc>
      </w:tr>
      <w:tr>
        <w:trPr>
          <w:trHeight w:val="175"/>
        </w:trPr>
        <w:tc>
          <w:tcPr>
            <w:tcW w:w="362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Benefit from taxes on unrealized depreciation of</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620" w:type="dxa"/>
            <w:vAlign w:val="bottom"/>
          </w:tcPr>
          <w:p>
            <w:pPr>
              <w:ind w:left="160"/>
              <w:spacing w:after="0" w:line="236" w:lineRule="exact"/>
              <w:rPr>
                <w:sz w:val="20"/>
                <w:szCs w:val="20"/>
                <w:color w:val="auto"/>
              </w:rPr>
            </w:pPr>
            <w:r>
              <w:rPr>
                <w:rFonts w:ascii="Times New Roman" w:cs="Times New Roman" w:eastAsia="Times New Roman" w:hAnsi="Times New Roman"/>
                <w:sz w:val="16"/>
                <w:szCs w:val="16"/>
                <w:color w:val="auto"/>
              </w:rPr>
              <w:t>investments</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188"/>
        </w:trPr>
        <w:tc>
          <w:tcPr>
            <w:tcW w:w="3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Dividends declared</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(0.87)</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88"/>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 of common stock from stock dividend</w:t>
            </w:r>
          </w:p>
        </w:tc>
        <w:tc>
          <w:tcPr>
            <w:tcW w:w="220" w:type="dxa"/>
            <w:vAlign w:val="bottom"/>
          </w:tcPr>
          <w:p>
            <w:pPr>
              <w:spacing w:after="0"/>
              <w:rPr>
                <w:sz w:val="16"/>
                <w:szCs w:val="16"/>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0.74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60"/>
              <w:spacing w:after="0" w:line="223" w:lineRule="exact"/>
              <w:rPr>
                <w:sz w:val="20"/>
                <w:szCs w:val="20"/>
                <w:color w:val="auto"/>
              </w:rPr>
            </w:pPr>
            <w:r>
              <w:rPr>
                <w:rFonts w:ascii="Times New Roman" w:cs="Times New Roman" w:eastAsia="Times New Roman" w:hAnsi="Times New Roman"/>
                <w:sz w:val="15"/>
                <w:szCs w:val="15"/>
                <w:color w:val="auto"/>
              </w:rPr>
              <w:t>Issuance of common stock from public offering</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0.30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362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Issuance of common stock from conversion of</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620" w:type="dxa"/>
            <w:vAlign w:val="bottom"/>
          </w:tcPr>
          <w:p>
            <w:pPr>
              <w:ind w:left="160"/>
              <w:spacing w:after="0" w:line="236" w:lineRule="exact"/>
              <w:rPr>
                <w:sz w:val="20"/>
                <w:szCs w:val="20"/>
                <w:color w:val="auto"/>
              </w:rPr>
            </w:pPr>
            <w:r>
              <w:rPr>
                <w:rFonts w:ascii="Times New Roman" w:cs="Times New Roman" w:eastAsia="Times New Roman" w:hAnsi="Times New Roman"/>
                <w:sz w:val="16"/>
                <w:szCs w:val="16"/>
                <w:color w:val="auto"/>
              </w:rPr>
              <w:t>4.75% Convertible Notes due 2023</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(0.11)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160"/>
              <w:spacing w:after="0" w:line="223" w:lineRule="exact"/>
              <w:rPr>
                <w:sz w:val="20"/>
                <w:szCs w:val="20"/>
                <w:color w:val="auto"/>
              </w:rPr>
            </w:pPr>
            <w:r>
              <w:rPr>
                <w:rFonts w:ascii="Times New Roman" w:cs="Times New Roman" w:eastAsia="Times New Roman" w:hAnsi="Times New Roman"/>
                <w:sz w:val="15"/>
                <w:szCs w:val="15"/>
                <w:color w:val="auto"/>
              </w:rPr>
              <w:t>Repurchase of common stock</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0.32</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0.43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0.52</w:t>
            </w:r>
          </w:p>
        </w:tc>
        <w:tc>
          <w:tcPr>
            <w:tcW w:w="0" w:type="dxa"/>
            <w:vAlign w:val="bottom"/>
          </w:tcPr>
          <w:p>
            <w:pPr>
              <w:spacing w:after="0"/>
              <w:rPr>
                <w:sz w:val="1"/>
                <w:szCs w:val="1"/>
                <w:color w:val="auto"/>
              </w:rPr>
            </w:pPr>
          </w:p>
        </w:tc>
      </w:tr>
      <w:tr>
        <w:trPr>
          <w:trHeight w:val="239"/>
        </w:trPr>
        <w:tc>
          <w:tcPr>
            <w:tcW w:w="3620" w:type="dxa"/>
            <w:vAlign w:val="bottom"/>
          </w:tcPr>
          <w:p>
            <w:pPr>
              <w:ind w:left="160"/>
              <w:spacing w:after="0" w:line="235"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0.09</w:t>
            </w:r>
          </w:p>
        </w:tc>
        <w:tc>
          <w:tcPr>
            <w:tcW w:w="220" w:type="dxa"/>
            <w:vAlign w:val="bottom"/>
          </w:tcPr>
          <w:p>
            <w:pPr>
              <w:spacing w:after="0"/>
              <w:rPr>
                <w:sz w:val="20"/>
                <w:szCs w:val="20"/>
                <w:color w:val="auto"/>
              </w:rPr>
            </w:pPr>
          </w:p>
        </w:tc>
        <w:tc>
          <w:tcPr>
            <w:tcW w:w="122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0.12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 value at end of year</w:t>
            </w: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 share market value at end of year</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vMerge w:val="continue"/>
          </w:tcPr>
          <w:p>
            <w:pPr>
              <w:spacing w:after="0"/>
              <w:rPr>
                <w:sz w:val="14"/>
                <w:szCs w:val="14"/>
                <w:color w:val="auto"/>
              </w:rPr>
            </w:pPr>
          </w:p>
        </w:tc>
        <w:tc>
          <w:tcPr>
            <w:tcW w:w="220" w:type="dxa"/>
            <w:vAlign w:val="bottom"/>
          </w:tcPr>
          <w:p>
            <w:pPr>
              <w:jc w:val="right"/>
              <w:ind w:right="6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3.94</w:t>
            </w:r>
          </w:p>
        </w:tc>
        <w:tc>
          <w:tcPr>
            <w:tcW w:w="460" w:type="dxa"/>
            <w:vAlign w:val="bottom"/>
            <w:vMerge w:val="continue"/>
          </w:tcPr>
          <w:p>
            <w:pPr>
              <w:spacing w:after="0"/>
              <w:rPr>
                <w:sz w:val="14"/>
                <w:szCs w:val="14"/>
                <w:color w:val="auto"/>
              </w:rPr>
            </w:pPr>
          </w:p>
        </w:tc>
        <w:tc>
          <w:tcPr>
            <w:tcW w:w="220" w:type="dxa"/>
            <w:vAlign w:val="bottom"/>
          </w:tcPr>
          <w:p>
            <w:pPr>
              <w:jc w:val="right"/>
              <w:ind w:right="6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3.80</w:t>
            </w:r>
          </w:p>
        </w:tc>
        <w:tc>
          <w:tcPr>
            <w:tcW w:w="3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20" w:type="dxa"/>
            <w:vAlign w:val="bottom"/>
          </w:tcPr>
          <w:p>
            <w:pPr>
              <w:jc w:val="right"/>
              <w:ind w:right="6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12.95</w:t>
            </w:r>
          </w:p>
        </w:tc>
        <w:tc>
          <w:tcPr>
            <w:tcW w:w="3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13.09</w:t>
            </w:r>
          </w:p>
        </w:tc>
        <w:tc>
          <w:tcPr>
            <w:tcW w:w="3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200" w:type="dxa"/>
            <w:vAlign w:val="bottom"/>
          </w:tcPr>
          <w:p>
            <w:pPr>
              <w:jc w:val="right"/>
              <w:ind w:right="42"/>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6.55</w:t>
            </w: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Total return based on market value</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3.68%</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(69.45)%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60.05%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99.85%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31.61%</w:t>
            </w:r>
          </w:p>
        </w:tc>
        <w:tc>
          <w:tcPr>
            <w:tcW w:w="0" w:type="dxa"/>
            <w:vAlign w:val="bottom"/>
          </w:tcPr>
          <w:p>
            <w:pPr>
              <w:spacing w:after="0"/>
              <w:rPr>
                <w:sz w:val="1"/>
                <w:szCs w:val="1"/>
                <w:color w:val="auto"/>
              </w:rPr>
            </w:pPr>
          </w:p>
        </w:tc>
      </w:tr>
      <w:tr>
        <w:trPr>
          <w:trHeight w:val="223"/>
        </w:trPr>
        <w:tc>
          <w:tcPr>
            <w:tcW w:w="3620" w:type="dxa"/>
            <w:vAlign w:val="bottom"/>
          </w:tcPr>
          <w:p>
            <w:pPr>
              <w:spacing w:after="0" w:line="223" w:lineRule="exact"/>
              <w:rPr>
                <w:sz w:val="20"/>
                <w:szCs w:val="20"/>
                <w:color w:val="auto"/>
              </w:rPr>
            </w:pPr>
            <w:r>
              <w:rPr>
                <w:rFonts w:ascii="Times New Roman" w:cs="Times New Roman" w:eastAsia="Times New Roman" w:hAnsi="Times New Roman"/>
                <w:sz w:val="15"/>
                <w:szCs w:val="15"/>
                <w:color w:val="auto"/>
              </w:rPr>
              <w:t>Total return based on net asset value</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8.12%</w:t>
            </w:r>
          </w:p>
        </w:tc>
        <w:tc>
          <w:tcPr>
            <w:tcW w:w="220" w:type="dxa"/>
            <w:vAlign w:val="bottom"/>
          </w:tcPr>
          <w:p>
            <w:pPr>
              <w:spacing w:after="0"/>
              <w:rPr>
                <w:sz w:val="19"/>
                <w:szCs w:val="19"/>
                <w:color w:val="auto"/>
              </w:rPr>
            </w:pPr>
          </w:p>
        </w:tc>
        <w:tc>
          <w:tcPr>
            <w:tcW w:w="122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(36.01)%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33.04%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15.08%</w:t>
            </w:r>
          </w:p>
        </w:tc>
        <w:tc>
          <w:tcPr>
            <w:tcW w:w="0" w:type="dxa"/>
            <w:vAlign w:val="bottom"/>
          </w:tcPr>
          <w:p>
            <w:pPr>
              <w:spacing w:after="0"/>
              <w:rPr>
                <w:sz w:val="1"/>
                <w:szCs w:val="1"/>
                <w:color w:val="auto"/>
              </w:rPr>
            </w:pPr>
          </w:p>
        </w:tc>
      </w:tr>
      <w:tr>
        <w:trPr>
          <w:trHeight w:val="188"/>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outstanding at end of year</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25,445,805</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28,429,499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31,118,556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19,914,023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17,564,244</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Ratios/Supplemental Data:</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at end of year</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203,357,646</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210,020,702</w:t>
            </w:r>
          </w:p>
        </w:tc>
        <w:tc>
          <w:tcPr>
            <w:tcW w:w="3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364,846,624</w:t>
            </w:r>
          </w:p>
        </w:tc>
        <w:tc>
          <w:tcPr>
            <w:tcW w:w="28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301,583,073</w:t>
            </w:r>
          </w:p>
        </w:tc>
        <w:tc>
          <w:tcPr>
            <w:tcW w:w="3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199,917,289</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Average net assets</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207,608,591</w:t>
            </w:r>
          </w:p>
        </w:tc>
        <w:tc>
          <w:tcPr>
            <w:tcW w:w="460" w:type="dxa"/>
            <w:vAlign w:val="bottom"/>
          </w:tcPr>
          <w:p>
            <w:pPr>
              <w:spacing w:after="0"/>
              <w:rPr>
                <w:sz w:val="16"/>
                <w:szCs w:val="16"/>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310,086,061</w:t>
            </w:r>
          </w:p>
        </w:tc>
        <w:tc>
          <w:tcPr>
            <w:tcW w:w="3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396,209,139</w:t>
            </w:r>
          </w:p>
        </w:tc>
        <w:tc>
          <w:tcPr>
            <w:tcW w:w="28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205,430,809</w:t>
            </w:r>
          </w:p>
        </w:tc>
        <w:tc>
          <w:tcPr>
            <w:tcW w:w="300" w:type="dxa"/>
            <w:vAlign w:val="bottom"/>
          </w:tcPr>
          <w:p>
            <w:pPr>
              <w:spacing w:after="0"/>
              <w:rPr>
                <w:sz w:val="16"/>
                <w:szCs w:val="16"/>
                <w:color w:val="auto"/>
              </w:rPr>
            </w:pPr>
          </w:p>
        </w:tc>
        <w:tc>
          <w:tcPr>
            <w:tcW w:w="3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209,261,190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Ratio of gross operating expenses to average net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6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6"/>
                <w:szCs w:val="16"/>
                <w:color w:val="auto"/>
              </w:rPr>
              <w:t>assets</w:t>
            </w:r>
            <w:r>
              <w:rPr>
                <w:rFonts w:ascii="Times New Roman" w:cs="Times New Roman" w:eastAsia="Times New Roman" w:hAnsi="Times New Roman"/>
                <w:sz w:val="26"/>
                <w:szCs w:val="26"/>
                <w:color w:val="auto"/>
                <w:vertAlign w:val="superscript"/>
              </w:rPr>
              <w:t>(3)</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9.70%</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7.95%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03"/>
        </w:trPr>
        <w:tc>
          <w:tcPr>
            <w:tcW w:w="3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Ratio of income tax provision to average net assets</w:t>
            </w:r>
          </w:p>
        </w:tc>
        <w:tc>
          <w:tcPr>
            <w:tcW w:w="22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177"/>
        </w:trPr>
        <w:tc>
          <w:tcPr>
            <w:tcW w:w="362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Ratio of net operating expenses to average net</w:t>
            </w: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150100" cy="283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100" cy="283845"/>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p>
      <w:pPr>
        <w:ind w:left="6"/>
        <w:spacing w:after="0" w:line="207" w:lineRule="auto"/>
        <w:rPr>
          <w:sz w:val="20"/>
          <w:szCs w:val="20"/>
          <w:color w:val="auto"/>
        </w:rPr>
      </w:pPr>
      <w:r>
        <w:rPr>
          <w:rFonts w:ascii="Times New Roman" w:cs="Times New Roman" w:eastAsia="Times New Roman" w:hAnsi="Times New Roman"/>
          <w:sz w:val="16"/>
          <w:szCs w:val="16"/>
          <w:color w:val="auto"/>
        </w:rPr>
        <w:t>assets</w:t>
      </w:r>
      <w:r>
        <w:rPr>
          <w:rFonts w:ascii="Times New Roman" w:cs="Times New Roman" w:eastAsia="Times New Roman" w:hAnsi="Times New Roman"/>
          <w:sz w:val="26"/>
          <w:szCs w:val="26"/>
          <w:color w:val="auto"/>
          <w:vertAlign w:val="superscript"/>
        </w:rPr>
        <w:t>(3)</w:t>
      </w:r>
    </w:p>
    <w:p>
      <w:pPr>
        <w:spacing w:after="0" w:line="1" w:lineRule="exact"/>
        <w:rPr>
          <w:sz w:val="20"/>
          <w:szCs w:val="20"/>
          <w:color w:val="auto"/>
        </w:rPr>
      </w:pPr>
    </w:p>
    <w:p>
      <w:pPr>
        <w:ind w:left="6"/>
        <w:spacing w:after="0" w:line="203" w:lineRule="auto"/>
        <w:rPr>
          <w:sz w:val="20"/>
          <w:szCs w:val="20"/>
          <w:color w:val="auto"/>
        </w:rPr>
      </w:pPr>
      <w:r>
        <w:rPr>
          <w:rFonts w:ascii="Times New Roman" w:cs="Times New Roman" w:eastAsia="Times New Roman" w:hAnsi="Times New Roman"/>
          <w:sz w:val="16"/>
          <w:szCs w:val="16"/>
          <w:color w:val="auto"/>
        </w:rPr>
        <w:t>Ratio of net investment loss to average net assets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Portfolio Turnover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179133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9.70%</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5.87%</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2.88%</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7.95%</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5.66%</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9"/>
        </w:trPr>
        <w:tc>
          <w:tcPr>
            <w:tcW w:w="1600" w:type="dxa"/>
            <w:vAlign w:val="bottom"/>
            <w:gridSpan w:val="2"/>
          </w:tcPr>
          <w:p>
            <w:pPr>
              <w:jc w:val="right"/>
              <w:ind w:right="280"/>
              <w:spacing w:after="0" w:line="159" w:lineRule="exact"/>
              <w:rPr>
                <w:sz w:val="20"/>
                <w:szCs w:val="20"/>
                <w:color w:val="auto"/>
              </w:rPr>
            </w:pPr>
            <w:r>
              <w:rPr>
                <w:rFonts w:ascii="Times New Roman" w:cs="Times New Roman" w:eastAsia="Times New Roman" w:hAnsi="Times New Roman"/>
                <w:sz w:val="16"/>
                <w:szCs w:val="16"/>
                <w:color w:val="auto"/>
              </w:rPr>
              <w:t>(6.51)%</w:t>
            </w:r>
          </w:p>
        </w:tc>
        <w:tc>
          <w:tcPr>
            <w:tcW w:w="1560" w:type="dxa"/>
            <w:vAlign w:val="bottom"/>
            <w:gridSpan w:val="2"/>
          </w:tcPr>
          <w:p>
            <w:pPr>
              <w:jc w:val="right"/>
              <w:ind w:right="260"/>
              <w:spacing w:after="0" w:line="159" w:lineRule="exact"/>
              <w:rPr>
                <w:sz w:val="20"/>
                <w:szCs w:val="20"/>
                <w:color w:val="auto"/>
              </w:rPr>
            </w:pPr>
            <w:r>
              <w:rPr>
                <w:rFonts w:ascii="Times New Roman" w:cs="Times New Roman" w:eastAsia="Times New Roman" w:hAnsi="Times New Roman"/>
                <w:sz w:val="16"/>
                <w:szCs w:val="16"/>
                <w:color w:val="auto"/>
              </w:rPr>
              <w:t>(4.76)%</w:t>
            </w:r>
          </w:p>
        </w:tc>
        <w:tc>
          <w:tcPr>
            <w:tcW w:w="1580" w:type="dxa"/>
            <w:vAlign w:val="bottom"/>
            <w:gridSpan w:val="2"/>
          </w:tcPr>
          <w:p>
            <w:pPr>
              <w:jc w:val="right"/>
              <w:ind w:right="280"/>
              <w:spacing w:after="0" w:line="159" w:lineRule="exact"/>
              <w:rPr>
                <w:sz w:val="20"/>
                <w:szCs w:val="20"/>
                <w:color w:val="auto"/>
              </w:rPr>
            </w:pPr>
            <w:r>
              <w:rPr>
                <w:rFonts w:ascii="Times New Roman" w:cs="Times New Roman" w:eastAsia="Times New Roman" w:hAnsi="Times New Roman"/>
                <w:sz w:val="16"/>
                <w:szCs w:val="16"/>
                <w:color w:val="auto"/>
              </w:rPr>
              <w:t>(2.51)%</w:t>
            </w:r>
          </w:p>
        </w:tc>
        <w:tc>
          <w:tcPr>
            <w:tcW w:w="1560" w:type="dxa"/>
            <w:vAlign w:val="bottom"/>
            <w:gridSpan w:val="2"/>
          </w:tcPr>
          <w:p>
            <w:pPr>
              <w:jc w:val="right"/>
              <w:ind w:right="260"/>
              <w:spacing w:after="0" w:line="159" w:lineRule="exact"/>
              <w:rPr>
                <w:sz w:val="20"/>
                <w:szCs w:val="20"/>
                <w:color w:val="auto"/>
              </w:rPr>
            </w:pPr>
            <w:r>
              <w:rPr>
                <w:rFonts w:ascii="Times New Roman" w:cs="Times New Roman" w:eastAsia="Times New Roman" w:hAnsi="Times New Roman"/>
                <w:sz w:val="16"/>
                <w:szCs w:val="16"/>
                <w:color w:val="auto"/>
              </w:rPr>
              <w:t>(7.07)%</w:t>
            </w:r>
          </w:p>
        </w:tc>
        <w:tc>
          <w:tcPr>
            <w:tcW w:w="130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6"/>
                <w:szCs w:val="16"/>
                <w:color w:val="auto"/>
              </w:rPr>
              <w:t>(4.52)%</w:t>
            </w:r>
          </w:p>
        </w:tc>
      </w:tr>
      <w:tr>
        <w:trPr>
          <w:trHeight w:val="204"/>
        </w:trPr>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9.34%</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4.31%</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28.34%</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14.87%</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-118110</wp:posOffset>
            </wp:positionV>
            <wp:extent cx="7150100" cy="1193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6" w:space="400"/>
            <w:col w:w="7640"/>
          </w:cols>
          <w:pgMar w:left="314" w:top="217" w:right="319" w:bottom="1440" w:gutter="0" w:footer="0" w:header="0"/>
          <w:type w:val="continuous"/>
        </w:sectPr>
      </w:pPr>
    </w:p>
    <w:p>
      <w:pPr>
        <w:spacing w:after="0" w:line="8" w:lineRule="exact"/>
        <w:rPr>
          <w:sz w:val="20"/>
          <w:szCs w:val="20"/>
          <w:color w:val="auto"/>
        </w:rPr>
      </w:pPr>
    </w:p>
    <w:p>
      <w:pPr>
        <w:ind w:left="566" w:hanging="566"/>
        <w:spacing w:after="0"/>
        <w:tabs>
          <w:tab w:leader="none" w:pos="566"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weighted-average number of shares outstanding for the relevant period.</w:t>
      </w:r>
    </w:p>
    <w:p>
      <w:pPr>
        <w:spacing w:after="0" w:line="19" w:lineRule="exact"/>
        <w:rPr>
          <w:rFonts w:ascii="Times New Roman" w:cs="Times New Roman" w:eastAsia="Times New Roman" w:hAnsi="Times New Roman"/>
          <w:sz w:val="16"/>
          <w:szCs w:val="16"/>
          <w:color w:val="auto"/>
        </w:rPr>
      </w:pPr>
    </w:p>
    <w:p>
      <w:pPr>
        <w:jc w:val="both"/>
        <w:ind w:left="566" w:hanging="566"/>
        <w:spacing w:after="0" w:line="245" w:lineRule="auto"/>
        <w:tabs>
          <w:tab w:leader="none" w:pos="566"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jc w:val="both"/>
        <w:ind w:left="566" w:hanging="566"/>
        <w:spacing w:after="0" w:line="247" w:lineRule="auto"/>
        <w:tabs>
          <w:tab w:leader="none" w:pos="566"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2021, the Company excluded $100,274 of non-recurring expenses. For the year ended December 31, 2020, the Company excluded $1,962,431 of non-recurring expenses. For the year ended December 31, 2019, the Company excluded $1,769,820 of non-recurring expenses. Because the ratios are calculated for the Company’s common stock taken as a whole, an individual investor’s ratios may vary from these ratios.</w:t>
      </w:r>
    </w:p>
    <w:p>
      <w:pPr>
        <w:spacing w:after="0" w:line="16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9—INCOME TAXES</w:t>
      </w:r>
    </w:p>
    <w:p>
      <w:pPr>
        <w:spacing w:after="0" w:line="19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Company elected to be treated as a RIC under Subchapter M of the Code beginning with its taxable year ended December 31, 2014 and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6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6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its ordinary income (taking into account certain deferrals and elections) for each calendar year, (2) 98.2% of its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6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6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GAAP and the portfolio investments held by the taxable subsidiaries are included in the Company’s consolidated financial statements and are recorded at fair value. These taxable subsidiaries are not consolidated with the Company for income tax purposes and may generate income tax expense, or benefit, and tax assets and liabilities as a result of their ownership of certain portfolio investments. Any income generated by these taxable subsidiaries generally would be subject to tax at normal corporate tax rates based on its taxable income.</w:t>
      </w:r>
    </w:p>
    <w:p>
      <w:pPr>
        <w:spacing w:after="0" w:line="166"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59"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As of December 31, 2023 and December 31, 2022, the Company recorded a deferred tax liability of $0. 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7"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59"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The Company and the Taxable Subsidiaries identified their major tax jurisdictions as U.S. federal, New York, and California and may be subject to the taxing authorities’ examination for the tax years 2020–2023 in New York and 2019–2023 in California, respectively. Further, the Company and the Taxable Subsidiaries accrue all interest and penalties related to uncertain tax positions as incurred. As of December 31, 2023, there were no material interest or penalties incurred related to uncertain tax positions.</w:t>
      </w:r>
    </w:p>
    <w:p>
      <w:pPr>
        <w:spacing w:after="0" w:line="159"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Permanent differences between ICTI and net investment income for financial reporting purposes are reclassified among capital accounts in the consolidated financial statements to reflect their tax character. Differences in classification may also result from the treatment of short-term gains as ordinary income for tax purposes. During the years ended December 31, 2023 and 2022, the Company reclassified for book purposes amounts arising from permanent book/tax differences related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40" w:type="dxa"/>
            <w:vAlign w:val="bottom"/>
            <w:gridSpan w:val="5"/>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3"/>
        </w:trPr>
        <w:tc>
          <w:tcPr>
            <w:tcW w:w="744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r>
      <w:tr>
        <w:trPr>
          <w:trHeight w:val="188"/>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(70,745,103)</w:t>
            </w: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(14,709,928)</w:t>
            </w:r>
          </w:p>
        </w:tc>
        <w:tc>
          <w:tcPr>
            <w:tcW w:w="120" w:type="dxa"/>
            <w:vAlign w:val="bottom"/>
            <w:shd w:val="clear" w:color="auto" w:fill="CCEEFF"/>
          </w:tcPr>
          <w:p>
            <w:pPr>
              <w:spacing w:after="0"/>
              <w:rPr>
                <w:sz w:val="16"/>
                <w:szCs w:val="16"/>
                <w:color w:val="auto"/>
              </w:rPr>
            </w:pPr>
          </w:p>
        </w:tc>
      </w:tr>
      <w:tr>
        <w:trPr>
          <w:trHeight w:val="188"/>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undistributed net investment loss</w:t>
            </w:r>
          </w:p>
        </w:tc>
        <w:tc>
          <w:tcPr>
            <w:tcW w:w="380" w:type="dxa"/>
            <w:vAlign w:val="bottom"/>
          </w:tcPr>
          <w:p>
            <w:pPr>
              <w:spacing w:after="0"/>
              <w:rPr>
                <w:sz w:val="16"/>
                <w:szCs w:val="16"/>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73,968,102</w:t>
            </w:r>
          </w:p>
        </w:tc>
        <w:tc>
          <w:tcPr>
            <w:tcW w:w="3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14,709,928</w:t>
            </w:r>
          </w:p>
        </w:tc>
      </w:tr>
      <w:tr>
        <w:trPr>
          <w:trHeight w:val="188"/>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net realized gains from investments</w:t>
            </w:r>
          </w:p>
        </w:tc>
        <w:tc>
          <w:tcPr>
            <w:tcW w:w="3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(2,953,733)</w:t>
            </w: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172" w:lineRule="exact"/>
        <w:rPr>
          <w:sz w:val="20"/>
          <w:szCs w:val="20"/>
          <w:color w:val="auto"/>
        </w:rPr>
      </w:pPr>
    </w:p>
    <w:p>
      <w:pPr>
        <w:jc w:val="both"/>
        <w:ind w:right="20" w:firstLine="282"/>
        <w:spacing w:after="0" w:line="304" w:lineRule="auto"/>
        <w:rPr>
          <w:sz w:val="20"/>
          <w:szCs w:val="20"/>
          <w:color w:val="auto"/>
        </w:rPr>
      </w:pPr>
      <w:r>
        <w:rPr>
          <w:rFonts w:ascii="Times New Roman" w:cs="Times New Roman" w:eastAsia="Times New Roman" w:hAnsi="Times New Roman"/>
          <w:sz w:val="15"/>
          <w:szCs w:val="15"/>
          <w:color w:val="auto"/>
        </w:rPr>
        <w:t>In general, we make certain adjustments to the classification of net assets as a result of permanent book-to-tax differences, which may include nondeductible federal excise taxes and net operating losses, among other items. Certain prior period amounts have been reclassified to conform with the tax-based components of capital at the period end.</w:t>
      </w:r>
    </w:p>
    <w:p>
      <w:pPr>
        <w:spacing w:after="0" w:line="127"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For income tax purposes, distributions paid to stockholders are reported as ordinary income, return of capital, long term capital gains or a combination thereof. The tax character of distributions declared in the years ended December 31, 2023, 2022, and 2021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6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r>
      <w:tr>
        <w:trPr>
          <w:trHeight w:val="18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Ordinary income</w:t>
            </w:r>
          </w:p>
        </w:tc>
        <w:tc>
          <w:tcPr>
            <w:tcW w:w="110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88"/>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Long-term capital gain</w:t>
            </w:r>
          </w:p>
        </w:tc>
        <w:tc>
          <w:tcPr>
            <w:tcW w:w="1100" w:type="dxa"/>
            <w:vAlign w:val="bottom"/>
          </w:tcPr>
          <w:p>
            <w:pPr>
              <w:spacing w:after="0"/>
              <w:rPr>
                <w:sz w:val="16"/>
                <w:szCs w:val="16"/>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3,441,824</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212,197,026</w:t>
            </w:r>
          </w:p>
        </w:tc>
      </w:tr>
      <w:tr>
        <w:trPr>
          <w:trHeight w:val="18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Return of capital</w:t>
            </w:r>
          </w:p>
        </w:tc>
        <w:tc>
          <w:tcPr>
            <w:tcW w:w="1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on a tax basis</w:t>
            </w:r>
          </w:p>
        </w:tc>
        <w:tc>
          <w:tcPr>
            <w:tcW w:w="1100" w:type="dxa"/>
            <w:vAlign w:val="bottom"/>
          </w:tcPr>
          <w:p>
            <w:pPr>
              <w:spacing w:after="0"/>
              <w:rPr>
                <w:sz w:val="17"/>
                <w:szCs w:val="17"/>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15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For federal income tax purposes, the tax cost of investments owned at December 31, 2023 and 2022, was $268,353,952 and $294,674,345, respectively. The gross unrealized appreciation and gross unrealized depreciation on investments owned at December 31, 2023 was $73,341,574 and $93,803,419, respectively, and on investments owned at December 31, 2022 was $56,250,562 and $108,679,513, respectively. The net unrealized appreciation/(depreciation) on investments owned at December 31, 2023 and 2022, was $(20,461,845) and $(52,428,951), respectively.</w:t>
      </w:r>
    </w:p>
    <w:p>
      <w:pPr>
        <w:spacing w:after="0" w:line="164"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At December 31, 2023 and 2022, the components of distributable earnings on a tax basis detailed below differ from the amounts reflected in the Company’s Consolidated Statements of Assets and Liabilities by temporary and other book/tax differences, primarily relating to the tax treatment of certain investments in partnerships and wholly-owned subsidiary corporations, and organizational expenses,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40" w:type="dxa"/>
            <w:vAlign w:val="bottom"/>
            <w:gridSpan w:val="6"/>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3"/>
        </w:trPr>
        <w:tc>
          <w:tcPr>
            <w:tcW w:w="5420" w:type="dxa"/>
            <w:vAlign w:val="bottom"/>
            <w:tcBorders>
              <w:bottom w:val="single" w:sz="8" w:color="CCEEFF"/>
            </w:tcBorders>
          </w:tcPr>
          <w:p>
            <w:pPr>
              <w:spacing w:after="0"/>
              <w:rPr>
                <w:sz w:val="17"/>
                <w:szCs w:val="17"/>
                <w:color w:val="auto"/>
              </w:rPr>
            </w:pPr>
          </w:p>
        </w:tc>
        <w:tc>
          <w:tcPr>
            <w:tcW w:w="20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r>
      <w:tr>
        <w:trPr>
          <w:trHeight w:val="188"/>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Undistributed ordinary loss</w:t>
            </w:r>
          </w:p>
        </w:tc>
        <w:tc>
          <w:tcPr>
            <w:tcW w:w="20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(45,822,672)</w:t>
            </w:r>
          </w:p>
        </w:tc>
        <w:tc>
          <w:tcPr>
            <w:tcW w:w="120" w:type="dxa"/>
            <w:vAlign w:val="bottom"/>
            <w:shd w:val="clear" w:color="auto" w:fill="CCEEFF"/>
          </w:tcPr>
          <w:p>
            <w:pPr>
              <w:spacing w:after="0"/>
              <w:rPr>
                <w:sz w:val="16"/>
                <w:szCs w:val="16"/>
                <w:color w:val="auto"/>
              </w:rPr>
            </w:pPr>
          </w:p>
        </w:tc>
      </w:tr>
      <w:tr>
        <w:trPr>
          <w:trHeight w:val="188"/>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net realized losses on investments</w:t>
            </w: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(20,584,963)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(3,901,291)</w:t>
            </w:r>
          </w:p>
        </w:tc>
      </w:tr>
      <w:tr>
        <w:trPr>
          <w:trHeight w:val="188"/>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appreciation/(depreciation) on investments</w:t>
            </w:r>
          </w:p>
        </w:tc>
        <w:tc>
          <w:tcPr>
            <w:tcW w:w="2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(20,461,845)</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(52,428,951)</w:t>
            </w:r>
          </w:p>
        </w:tc>
      </w:tr>
      <w:tr>
        <w:trPr>
          <w:trHeight w:val="204"/>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Components of distributable earnings at year-end</w:t>
            </w:r>
          </w:p>
        </w:tc>
        <w:tc>
          <w:tcPr>
            <w:tcW w:w="240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(41,046,808)</w:t>
            </w:r>
          </w:p>
        </w:tc>
        <w:tc>
          <w:tcPr>
            <w:tcW w:w="52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(102,152,914)</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10—DEBT CAPITAL ACTIVITIES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6.00% Notes due 2026</w:t>
      </w:r>
    </w:p>
    <w:p>
      <w:pPr>
        <w:spacing w:after="0" w:line="19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On December 17, 2021, the Company issued $70.0 million aggregate principal amount of its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170"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 xml:space="preserve">The 6.00% Notes due 2026 are direct unsecured obligations of the Company and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168"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The 6.00% Notes due 2026 are listed for trading on the Nasdaq Global Select Market under the symbol “SSSSL”. The reported closing market price of SSSSL on December 31, 2023 and December 31, 2022 was $23.80 and $23.51 per note, respectively. As of December 31, 2023 and December 31, 2022, the fair value of the 6.00% Notes due 2026 was $71.4 million and $70.5 million, respectively. The 6.00% Notes due 2026 are classified as Level 1 of the fair value hierarchy (Refer to “Note 2 — Significant Accounting Policies”). As of December 31, 2023 and December 31, 2022, the Company was in compliance with the terms of the Indenture.</w:t>
      </w:r>
    </w:p>
    <w:p>
      <w:pPr>
        <w:sectPr>
          <w:pgSz w:w="11900" w:h="16838" w:orient="portrait"/>
          <w:cols w:equalWidth="0" w:num="1">
            <w:col w:w="11260"/>
          </w:cols>
          <w:pgMar w:left="320" w:top="217" w:right="319" w:bottom="804" w:gutter="0" w:footer="0" w:header="0"/>
        </w:sectPr>
      </w:pP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804"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11—STOCK-BASED COMPENSATION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Amended and Restated 2019 Equity Incentive Plan</w:t>
      </w:r>
    </w:p>
    <w:p>
      <w:pPr>
        <w:spacing w:after="0" w:line="19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On June 19, 2020, the Company’s Board of Directors adopted, and the Company’s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72"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 During the year ended December 31, 2023, the Company granted 60,060 restricted shares to the Company’s non-employee directors pursuant to the Amended &amp; Restated 2019 Equity Incentive Plan. Additionally, on May 31, 2023, 26,736 restricted shares related to the 2022 non-employee director grants vested. Compensation expense associated with the restricted shares is recognized on a quarterly basis over the respective vesting periods.</w:t>
      </w:r>
    </w:p>
    <w:p>
      <w:pPr>
        <w:spacing w:after="0" w:line="16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Other than such restricted shares granted to non-employee directors, the Compensation Committee of the Company’s Board of Directors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68"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During the year ended December 31, 2023, the Company granted 125,000 restricted shares to the Company’s officers pursuant to the Amended &amp; Restated 2019 Equity Incentive Plan. The restricted shares have a vesting period of 3 years. The Company determined that the fair values, based on the grant date close price of such restricted shares granted to the Company’s officers under the Amended &amp; Restated 2019 Equity Incentive Plan during the year ended December 31, 2023 and 2022 were approximately $532,500 and $2,885,000, respectively, in the aggregate.</w:t>
      </w:r>
    </w:p>
    <w:p>
      <w:pPr>
        <w:spacing w:after="0" w:line="164"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For the years ended December 31, 2023 and 2022, the Company recognized stock-based compensation expense of $2,920,526 and $2,606,147, respectively, not including executive and employee forfeits. As of December 31, 2023 and December 31, 2022, there were approximately $4,849,887 and $6,451,610 of total unrecognized compensation costs related to the restricted share grants. Compensation expense associated with the restricted shares is recognized on a quarterly basis over the respective vesting periods.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13" w:name="page114"/>
    <w:bookmarkEnd w:id="113"/>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7" w:lineRule="exact"/>
        <w:rPr>
          <w:sz w:val="20"/>
          <w:szCs w:val="20"/>
          <w:color w:val="auto"/>
        </w:rPr>
      </w:pPr>
    </w:p>
    <w:p>
      <w:pPr>
        <w:ind w:left="6" w:right="20" w:firstLine="282"/>
        <w:spacing w:after="0" w:line="270" w:lineRule="auto"/>
        <w:rPr>
          <w:sz w:val="20"/>
          <w:szCs w:val="20"/>
          <w:color w:val="auto"/>
        </w:rPr>
      </w:pPr>
      <w:r>
        <w:rPr>
          <w:rFonts w:ascii="Times New Roman" w:cs="Times New Roman" w:eastAsia="Times New Roman" w:hAnsi="Times New Roman"/>
          <w:sz w:val="16"/>
          <w:szCs w:val="16"/>
          <w:color w:val="auto"/>
        </w:rPr>
        <w:t>The following table summarizes the activities for the Company’s restricted share grants for the year ended December 31, 2023 under the Amended &amp; Restated 2019 Equity Incentive Plan:</w:t>
      </w:r>
    </w:p>
    <w:p>
      <w:pPr>
        <w:spacing w:after="0" w:line="348" w:lineRule="exact"/>
        <w:rPr>
          <w:sz w:val="20"/>
          <w:szCs w:val="20"/>
          <w:color w:val="auto"/>
        </w:rPr>
      </w:pPr>
    </w:p>
    <w:tbl>
      <w:tblPr>
        <w:tblLayout w:type="fixed"/>
        <w:tblInd w:w="846"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26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Number of Restricted Shares</w:t>
            </w:r>
          </w:p>
        </w:tc>
      </w:tr>
      <w:tr>
        <w:trPr>
          <w:trHeight w:val="188"/>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2022</w:t>
            </w: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606,620</w:t>
            </w:r>
          </w:p>
        </w:tc>
        <w:tc>
          <w:tcPr>
            <w:tcW w:w="80" w:type="dxa"/>
            <w:vAlign w:val="bottom"/>
            <w:tcBorders>
              <w:top w:val="single" w:sz="8" w:color="CCEEFF"/>
            </w:tcBorders>
            <w:shd w:val="clear" w:color="auto" w:fill="CCEEFF"/>
          </w:tcPr>
          <w:p>
            <w:pPr>
              <w:spacing w:after="0"/>
              <w:rPr>
                <w:sz w:val="16"/>
                <w:szCs w:val="16"/>
                <w:color w:val="auto"/>
              </w:rPr>
            </w:pPr>
          </w:p>
        </w:tc>
      </w:tr>
      <w:tr>
        <w:trPr>
          <w:trHeight w:val="203"/>
        </w:trPr>
        <w:tc>
          <w:tcPr>
            <w:tcW w:w="69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361,115</w:t>
            </w:r>
          </w:p>
        </w:tc>
        <w:tc>
          <w:tcPr>
            <w:tcW w:w="80" w:type="dxa"/>
            <w:vAlign w:val="bottom"/>
            <w:tcBorders>
              <w:bottom w:val="single" w:sz="8" w:color="CCEEFF"/>
            </w:tcBorders>
          </w:tcPr>
          <w:p>
            <w:pPr>
              <w:spacing w:after="0"/>
              <w:rPr>
                <w:sz w:val="17"/>
                <w:szCs w:val="17"/>
                <w:color w:val="auto"/>
              </w:rPr>
            </w:pPr>
          </w:p>
        </w:tc>
      </w:tr>
      <w:tr>
        <w:trPr>
          <w:trHeight w:val="212"/>
        </w:trPr>
        <w:tc>
          <w:tcPr>
            <w:tcW w:w="6900" w:type="dxa"/>
            <w:vAlign w:val="bottom"/>
            <w:shd w:val="clear" w:color="auto" w:fill="CCEEFF"/>
          </w:tcPr>
          <w:p>
            <w:pPr>
              <w:ind w:left="160"/>
              <w:spacing w:after="0" w:line="211" w:lineRule="exact"/>
              <w:rPr>
                <w:sz w:val="20"/>
                <w:szCs w:val="20"/>
                <w:color w:val="auto"/>
              </w:rPr>
            </w:pPr>
            <w:r>
              <w:rPr>
                <w:rFonts w:ascii="Times New Roman" w:cs="Times New Roman" w:eastAsia="Times New Roman" w:hAnsi="Times New Roman"/>
                <w:sz w:val="15"/>
                <w:szCs w:val="15"/>
                <w:color w:val="auto"/>
              </w:rPr>
              <w:t>Vested</w:t>
            </w:r>
            <w:r>
              <w:rPr>
                <w:rFonts w:ascii="Times New Roman" w:cs="Times New Roman" w:eastAsia="Times New Roman" w:hAnsi="Times New Roman"/>
                <w:sz w:val="24"/>
                <w:szCs w:val="24"/>
                <w:color w:val="auto"/>
                <w:vertAlign w:val="superscript"/>
              </w:rPr>
              <w:t>(1)</w:t>
            </w:r>
          </w:p>
        </w:tc>
        <w:tc>
          <w:tcPr>
            <w:tcW w:w="2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(342,772)</w:t>
            </w: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2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2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7"/>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Vested as of December 31, 2023</w:t>
            </w:r>
          </w:p>
        </w:tc>
        <w:tc>
          <w:tcPr>
            <w:tcW w:w="2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513,572</w:t>
            </w: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179133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71" w:lineRule="exact"/>
        <w:rPr>
          <w:sz w:val="20"/>
          <w:szCs w:val="20"/>
          <w:color w:val="auto"/>
        </w:rPr>
      </w:pPr>
    </w:p>
    <w:p>
      <w:pPr>
        <w:ind w:left="286" w:hanging="286"/>
        <w:spacing w:after="0" w:line="270" w:lineRule="auto"/>
        <w:tabs>
          <w:tab w:leader="none" w:pos="286"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of vested shares reflects the total shares vested during the period and has not been reduced for those vested shares forfeited at time of vest related to net share settlement.</w:t>
      </w:r>
    </w:p>
    <w:p>
      <w:pPr>
        <w:spacing w:after="0" w:line="150" w:lineRule="exact"/>
        <w:rPr>
          <w:sz w:val="20"/>
          <w:szCs w:val="20"/>
          <w:color w:val="auto"/>
        </w:rPr>
      </w:pPr>
    </w:p>
    <w:p>
      <w:pPr>
        <w:jc w:val="both"/>
        <w:ind w:left="6" w:firstLine="282"/>
        <w:spacing w:after="0" w:line="258" w:lineRule="auto"/>
        <w:rPr>
          <w:sz w:val="20"/>
          <w:szCs w:val="20"/>
          <w:color w:val="auto"/>
        </w:rPr>
      </w:pPr>
      <w:r>
        <w:rPr>
          <w:rFonts w:ascii="Times New Roman" w:cs="Times New Roman" w:eastAsia="Times New Roman" w:hAnsi="Times New Roman"/>
          <w:sz w:val="16"/>
          <w:szCs w:val="16"/>
          <w:color w:val="auto"/>
        </w:rPr>
        <w:t>The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 On June 16, 2020, the Company received exemptive relief from the SEC to permit such withholding of shares.</w:t>
      </w:r>
    </w:p>
    <w:p>
      <w:pPr>
        <w:spacing w:after="0" w:line="1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NOTE 12—SUBSEQUENT EVENTS</w:t>
      </w:r>
    </w:p>
    <w:p>
      <w:pPr>
        <w:spacing w:after="0" w:line="1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Portfolio Activity</w:t>
      </w:r>
    </w:p>
    <w:p>
      <w:pPr>
        <w:spacing w:after="0" w:line="194"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6"/>
          <w:szCs w:val="16"/>
          <w:color w:val="auto"/>
        </w:rPr>
        <w:t>From January 1, 2024 through March 13, 2024, the Company made the following investments (not including capitalized transaction costs or investments in short-term U.S.</w:t>
      </w:r>
    </w:p>
    <w:p>
      <w:pPr>
        <w:spacing w:after="0" w:line="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Treasury bills).</w:t>
      </w:r>
    </w:p>
    <w:p>
      <w:pPr>
        <w:spacing w:after="0" w:line="374"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8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22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380" w:type="dxa"/>
            <w:vAlign w:val="bottom"/>
          </w:tcPr>
          <w:p>
            <w:pPr>
              <w:spacing w:after="0"/>
              <w:rPr>
                <w:sz w:val="18"/>
                <w:szCs w:val="18"/>
                <w:color w:val="auto"/>
              </w:rPr>
            </w:pPr>
          </w:p>
        </w:tc>
        <w:tc>
          <w:tcPr>
            <w:tcW w:w="16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0"/>
        </w:trPr>
        <w:tc>
          <w:tcPr>
            <w:tcW w:w="45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Supplying Demand, Inc. (d/b/a Liquid Death)</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Preferred shares, Series F-1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1/18/2024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9,999,996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9,999,996</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6"/>
          <w:szCs w:val="16"/>
          <w:color w:val="auto"/>
        </w:rPr>
        <w:t>From January 1, 2024 through March 13, 2024, the Company exited or received proceeds from the following investments (excluding short-term U.S. Treasury bills):</w:t>
      </w:r>
    </w:p>
    <w:p>
      <w:pPr>
        <w:spacing w:after="0" w:line="190" w:lineRule="exact"/>
        <w:rPr>
          <w:sz w:val="20"/>
          <w:szCs w:val="20"/>
          <w:color w:val="auto"/>
        </w:rPr>
      </w:pPr>
    </w:p>
    <w:tbl>
      <w:tblPr>
        <w:tblLayout w:type="fixed"/>
        <w:tblInd w:w="6"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6"/>
              </w:rPr>
              <w:t>Average Net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2"/>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Transaction Date</w:t>
            </w:r>
          </w:p>
        </w:tc>
        <w:tc>
          <w:tcPr>
            <w:tcW w:w="34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jc w:val="center"/>
              <w:spacing w:after="0" w:line="238" w:lineRule="exact"/>
              <w:rPr>
                <w:sz w:val="20"/>
                <w:szCs w:val="20"/>
                <w:color w:val="auto"/>
              </w:rPr>
            </w:pPr>
            <w:r>
              <w:rPr>
                <w:rFonts w:ascii="Times New Roman" w:cs="Times New Roman" w:eastAsia="Times New Roman" w:hAnsi="Times New Roman"/>
                <w:sz w:val="16"/>
                <w:szCs w:val="16"/>
                <w:b w:val="1"/>
                <w:bCs w:val="1"/>
                <w:color w:val="auto"/>
                <w:w w:val="92"/>
              </w:rPr>
              <w:t xml:space="preserve">Share Price </w:t>
            </w:r>
            <w:r>
              <w:rPr>
                <w:rFonts w:ascii="Times New Roman" w:cs="Times New Roman" w:eastAsia="Times New Roman" w:hAnsi="Times New Roman"/>
                <w:sz w:val="26"/>
                <w:szCs w:val="26"/>
                <w:b w:val="1"/>
                <w:bCs w:val="1"/>
                <w:color w:val="auto"/>
                <w:w w:val="92"/>
                <w:vertAlign w:val="superscript"/>
              </w:rPr>
              <w:t>(1)</w:t>
            </w:r>
          </w:p>
        </w:tc>
        <w:tc>
          <w:tcPr>
            <w:tcW w:w="3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8"/>
              </w:rPr>
              <w:t>Net Proceeds</w:t>
            </w:r>
          </w:p>
        </w:tc>
        <w:tc>
          <w:tcPr>
            <w:tcW w:w="3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spacing w:after="0" w:line="238" w:lineRule="exact"/>
              <w:rPr>
                <w:sz w:val="20"/>
                <w:szCs w:val="20"/>
                <w:color w:val="auto"/>
              </w:rPr>
            </w:pPr>
            <w:r>
              <w:rPr>
                <w:rFonts w:ascii="Times New Roman" w:cs="Times New Roman" w:eastAsia="Times New Roman" w:hAnsi="Times New Roman"/>
                <w:sz w:val="16"/>
                <w:szCs w:val="16"/>
                <w:b w:val="1"/>
                <w:bCs w:val="1"/>
                <w:color w:val="auto"/>
                <w:w w:val="92"/>
              </w:rPr>
              <w:t>Realized Gain</w:t>
            </w:r>
            <w:r>
              <w:rPr>
                <w:rFonts w:ascii="Times New Roman" w:cs="Times New Roman" w:eastAsia="Times New Roman" w:hAnsi="Times New Roman"/>
                <w:sz w:val="26"/>
                <w:szCs w:val="26"/>
                <w:b w:val="1"/>
                <w:bCs w:val="1"/>
                <w:color w:val="auto"/>
                <w:w w:val="92"/>
                <w:vertAlign w:val="superscript"/>
              </w:rPr>
              <w:t>(2)</w:t>
            </w:r>
          </w:p>
        </w:tc>
        <w:tc>
          <w:tcPr>
            <w:tcW w:w="120" w:type="dxa"/>
            <w:vAlign w:val="bottom"/>
            <w:tcBorders>
              <w:bottom w:val="single" w:sz="8" w:color="CCEEFF"/>
            </w:tcBorders>
          </w:tcPr>
          <w:p>
            <w:pPr>
              <w:spacing w:after="0"/>
              <w:rPr>
                <w:sz w:val="21"/>
                <w:szCs w:val="21"/>
                <w:color w:val="auto"/>
              </w:rPr>
            </w:pPr>
          </w:p>
        </w:tc>
      </w:tr>
      <w:tr>
        <w:trPr>
          <w:trHeight w:val="247"/>
        </w:trPr>
        <w:tc>
          <w:tcPr>
            <w:tcW w:w="394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6"/>
                <w:szCs w:val="16"/>
                <w:color w:val="auto"/>
              </w:rPr>
              <w:t>Nextdoor Holdings, Inc.</w:t>
            </w:r>
            <w:r>
              <w:rPr>
                <w:rFonts w:ascii="Times New Roman" w:cs="Times New Roman" w:eastAsia="Times New Roman" w:hAnsi="Times New Roman"/>
                <w:sz w:val="26"/>
                <w:szCs w:val="26"/>
                <w:color w:val="auto"/>
                <w:vertAlign w:val="superscript"/>
              </w:rPr>
              <w:t>(3)</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Various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112,420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215,318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(411,151)</w:t>
            </w:r>
          </w:p>
        </w:tc>
      </w:tr>
      <w:tr>
        <w:trPr>
          <w:trHeight w:val="215"/>
        </w:trPr>
        <w:tc>
          <w:tcPr>
            <w:tcW w:w="4160" w:type="dxa"/>
            <w:vAlign w:val="bottom"/>
            <w:gridSpan w:val="2"/>
          </w:tcPr>
          <w:p>
            <w:pPr>
              <w:spacing w:after="0" w:line="211" w:lineRule="exact"/>
              <w:rPr>
                <w:sz w:val="20"/>
                <w:szCs w:val="20"/>
                <w:color w:val="auto"/>
              </w:rPr>
            </w:pPr>
            <w:r>
              <w:rPr>
                <w:rFonts w:ascii="Times New Roman" w:cs="Times New Roman" w:eastAsia="Times New Roman" w:hAnsi="Times New Roman"/>
                <w:sz w:val="15"/>
                <w:szCs w:val="15"/>
                <w:color w:val="auto"/>
              </w:rPr>
              <w:t xml:space="preserve">PSQ Holdings, Inc. (d/b/a PublicSquare) </w:t>
            </w:r>
            <w:r>
              <w:rPr>
                <w:rFonts w:ascii="Times New Roman" w:cs="Times New Roman" w:eastAsia="Times New Roman" w:hAnsi="Times New Roman"/>
                <w:sz w:val="15"/>
                <w:szCs w:val="15"/>
                <w:i w:val="1"/>
                <w:iCs w:val="1"/>
                <w:color w:val="auto"/>
              </w:rPr>
              <w:t>- Warrants</w:t>
            </w:r>
            <w:r>
              <w:rPr>
                <w:rFonts w:ascii="Times New Roman" w:cs="Times New Roman" w:eastAsia="Times New Roman" w:hAnsi="Times New Roman"/>
                <w:sz w:val="24"/>
                <w:szCs w:val="24"/>
                <w:color w:val="auto"/>
                <w:vertAlign w:val="superscript"/>
              </w:rPr>
              <w:t>(4)</w:t>
            </w: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Various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102,998</w:t>
            </w:r>
          </w:p>
        </w:tc>
        <w:tc>
          <w:tcPr>
            <w:tcW w:w="300" w:type="dxa"/>
            <w:vAlign w:val="bottom"/>
          </w:tcPr>
          <w:p>
            <w:pPr>
              <w:spacing w:after="0"/>
              <w:rPr>
                <w:sz w:val="18"/>
                <w:szCs w:val="18"/>
                <w:color w:val="auto"/>
              </w:rPr>
            </w:pPr>
          </w:p>
        </w:tc>
        <w:tc>
          <w:tcPr>
            <w:tcW w:w="9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60,067</w:t>
            </w:r>
          </w:p>
        </w:tc>
      </w:tr>
      <w:tr>
        <w:trPr>
          <w:trHeight w:val="200"/>
        </w:trPr>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318,316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(351,084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9133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ind w:left="286" w:hanging="286"/>
        <w:spacing w:after="0"/>
        <w:tabs>
          <w:tab w:leader="none" w:pos="28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19"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 does not include adjustments to amounts held in escrow receivable.</w:t>
      </w:r>
    </w:p>
    <w:p>
      <w:pPr>
        <w:spacing w:after="0" w:line="4"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February 23, 2024, SuRo Capital had sold its remaining Nextdoor Holdings, Inc. public common shares.</w:t>
      </w:r>
    </w:p>
    <w:p>
      <w:pPr>
        <w:spacing w:after="0" w:line="4"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13, 2024, SuRo Capital held 2,296,037 PSQ Holdings, Inc. (d/b/a PublicSquare) public warrants.</w:t>
      </w:r>
    </w:p>
    <w:p>
      <w:pPr>
        <w:spacing w:after="0" w:line="177" w:lineRule="exact"/>
        <w:rPr>
          <w:sz w:val="20"/>
          <w:szCs w:val="20"/>
          <w:color w:val="auto"/>
        </w:rPr>
      </w:pPr>
    </w:p>
    <w:p>
      <w:pPr>
        <w:jc w:val="both"/>
        <w:ind w:left="6" w:firstLine="282"/>
        <w:spacing w:after="0" w:line="251" w:lineRule="auto"/>
        <w:rPr>
          <w:sz w:val="20"/>
          <w:szCs w:val="20"/>
          <w:color w:val="auto"/>
        </w:rPr>
      </w:pPr>
      <w:r>
        <w:rPr>
          <w:rFonts w:ascii="Times New Roman" w:cs="Times New Roman" w:eastAsia="Times New Roman" w:hAnsi="Times New Roman"/>
          <w:sz w:val="16"/>
          <w:szCs w:val="16"/>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6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Modified Dutch Auction Tender Offer</w:t>
      </w:r>
    </w:p>
    <w:p>
      <w:pPr>
        <w:spacing w:after="0" w:line="194" w:lineRule="exact"/>
        <w:rPr>
          <w:sz w:val="20"/>
          <w:szCs w:val="20"/>
          <w:color w:val="auto"/>
        </w:rPr>
      </w:pPr>
    </w:p>
    <w:p>
      <w:pPr>
        <w:jc w:val="both"/>
        <w:ind w:left="6" w:firstLine="282"/>
        <w:spacing w:after="0" w:line="253" w:lineRule="auto"/>
        <w:rPr>
          <w:sz w:val="20"/>
          <w:szCs w:val="20"/>
          <w:color w:val="auto"/>
        </w:rPr>
      </w:pPr>
      <w:r>
        <w:rPr>
          <w:rFonts w:ascii="Times New Roman" w:cs="Times New Roman" w:eastAsia="Times New Roman" w:hAnsi="Times New Roman"/>
          <w:sz w:val="16"/>
          <w:szCs w:val="16"/>
          <w:color w:val="auto"/>
        </w:rPr>
        <w:t>On February 14, 2024, the Company’s Board of Directors authorized a modified Dutch Auction tender offer (the “Tender Offer”) to purchase up to 2,000,000 shares of its common stock at a price per share of not less than $4.00 and not greater than $5.00 in $0.10 increments, using available cash. The Tender Offer commenced on February 20, 2024 and will expire at 5:00 P.M. Eastern Time on April 1, 2024, unless extended. If the Tender Offer is fully subscribed, the Company will purchase 2,000,000 shares, or approximately 7.9%, of the Company’s outstanding shares of its common stock. Any shares tendered may be withdrawn prior to expiration of the Tender Offer.</w:t>
      </w:r>
    </w:p>
    <w:p>
      <w:pPr>
        <w:spacing w:after="0" w:line="164" w:lineRule="exact"/>
        <w:rPr>
          <w:sz w:val="20"/>
          <w:szCs w:val="20"/>
          <w:color w:val="auto"/>
        </w:rPr>
      </w:pPr>
    </w:p>
    <w:p>
      <w:pPr>
        <w:jc w:val="both"/>
        <w:ind w:left="6" w:firstLine="282"/>
        <w:spacing w:after="0" w:line="270" w:lineRule="auto"/>
        <w:rPr>
          <w:sz w:val="20"/>
          <w:szCs w:val="20"/>
          <w:color w:val="auto"/>
        </w:rPr>
      </w:pPr>
      <w:r>
        <w:rPr>
          <w:rFonts w:ascii="Times New Roman" w:cs="Times New Roman" w:eastAsia="Times New Roman" w:hAnsi="Times New Roman"/>
          <w:sz w:val="16"/>
          <w:szCs w:val="16"/>
          <w:color w:val="auto"/>
        </w:rPr>
        <w:t>Based on the number of shares tendered and the prices specified by the tendering stockholders, the Company will determine the lowest per-share price that will enable it to acquire up to 2,000,000 shares of its common stock. All shares accepted in the Tender Offer will be purchase at the same price even if tendered at a lower price.</w:t>
      </w:r>
    </w:p>
    <w:p>
      <w:pPr>
        <w:sectPr>
          <w:pgSz w:w="11900" w:h="16838" w:orient="portrait"/>
          <w:cols w:equalWidth="0" w:num="1">
            <w:col w:w="11266"/>
          </w:cols>
          <w:pgMar w:left="314" w:top="217" w:right="319" w:bottom="1440" w:gutter="0" w:footer="0" w:header="0"/>
        </w:sectPr>
      </w:pPr>
    </w:p>
    <w:p>
      <w:pPr>
        <w:spacing w:after="0" w:line="15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5010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13—SELECTED QUARTERLY FINANCIAL DATA</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2"/>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1122"/>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March 31, 2023</w:t>
            </w:r>
          </w:p>
        </w:tc>
        <w:tc>
          <w:tcPr>
            <w:tcW w:w="120" w:type="dxa"/>
            <w:vAlign w:val="bottom"/>
          </w:tcPr>
          <w:p>
            <w:pPr>
              <w:spacing w:after="0"/>
              <w:rPr>
                <w:sz w:val="17"/>
                <w:szCs w:val="17"/>
                <w:color w:val="auto"/>
              </w:rPr>
            </w:pPr>
          </w:p>
        </w:tc>
      </w:tr>
      <w:tr>
        <w:trPr>
          <w:trHeight w:val="188"/>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Investment Income</w:t>
            </w: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2,459,734</w:t>
            </w: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1,465,746</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1,372,218</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1,299,082</w:t>
            </w:r>
          </w:p>
        </w:tc>
        <w:tc>
          <w:tcPr>
            <w:tcW w:w="120" w:type="dxa"/>
            <w:vAlign w:val="bottom"/>
            <w:tcBorders>
              <w:top w:val="single" w:sz="8" w:color="CCEEFF"/>
            </w:tcBorders>
            <w:shd w:val="clear" w:color="auto" w:fill="CCEEFF"/>
          </w:tcPr>
          <w:p>
            <w:pPr>
              <w:spacing w:after="0"/>
              <w:rPr>
                <w:sz w:val="16"/>
                <w:szCs w:val="16"/>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5,203,812</w:t>
            </w:r>
          </w:p>
        </w:tc>
        <w:tc>
          <w:tcPr>
            <w:tcW w:w="3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4,134,172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5,177,558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5,520,847</w:t>
            </w:r>
          </w:p>
        </w:tc>
      </w:tr>
      <w:tr>
        <w:trPr>
          <w:trHeight w:val="188"/>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Loss</w:t>
            </w: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(2,744,078)</w:t>
            </w: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(2,668,426)</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(3,805,340)</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(4,221,765)</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2,594,633</w:t>
            </w:r>
          </w:p>
        </w:tc>
        <w:tc>
          <w:tcPr>
            <w:tcW w:w="3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(1,461,281)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(13,270,199)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189,343</w:t>
            </w:r>
          </w:p>
        </w:tc>
      </w:tr>
      <w:tr>
        <w:trPr>
          <w:trHeight w:val="22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(8,973,578)</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29,323,067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1,455,515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8,648,931</w:t>
            </w:r>
          </w:p>
        </w:tc>
      </w:tr>
      <w:tr>
        <w:trPr>
          <w:trHeight w:val="223"/>
        </w:trPr>
        <w:tc>
          <w:tcPr>
            <w:tcW w:w="4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Increase/(Decrease) in Net Assets Resulting from Operations</w:t>
            </w:r>
          </w:p>
        </w:tc>
        <w:tc>
          <w:tcPr>
            <w:tcW w:w="160" w:type="dxa"/>
            <w:vAlign w:val="bottom"/>
            <w:tcBorders>
              <w:top w:val="single" w:sz="8" w:color="CCEEFF"/>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(9,123,023</w:t>
            </w:r>
          </w:p>
        </w:tc>
        <w:tc>
          <w:tcPr>
            <w:tcW w:w="360" w:type="dxa"/>
            <w:vAlign w:val="bottom"/>
            <w:tcBorders>
              <w:top w:val="single" w:sz="8" w:color="CCEEFF"/>
              <w:bottom w:val="single" w:sz="8" w:color="CCEEFF"/>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25,193,360</w:t>
            </w:r>
          </w:p>
        </w:tc>
        <w:tc>
          <w:tcPr>
            <w:tcW w:w="18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(15,620,024</w:t>
            </w:r>
          </w:p>
        </w:tc>
        <w:tc>
          <w:tcPr>
            <w:tcW w:w="180" w:type="dxa"/>
            <w:vAlign w:val="bottom"/>
            <w:tcBorders>
              <w:top w:val="single" w:sz="8" w:color="CCEEFF"/>
              <w:bottom w:val="single" w:sz="8" w:color="CCEEFF"/>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4,616,509</w:t>
            </w:r>
          </w:p>
        </w:tc>
        <w:tc>
          <w:tcPr>
            <w:tcW w:w="120" w:type="dxa"/>
            <w:vAlign w:val="bottom"/>
            <w:tcBorders>
              <w:top w:val="single" w:sz="8" w:color="CCEEFF"/>
              <w:bottom w:val="single" w:sz="8" w:color="CCEEFF"/>
            </w:tcBorders>
          </w:tcPr>
          <w:p>
            <w:pPr>
              <w:spacing w:after="0"/>
              <w:rPr>
                <w:sz w:val="19"/>
                <w:szCs w:val="19"/>
                <w:color w:val="auto"/>
              </w:rPr>
            </w:pPr>
          </w:p>
        </w:tc>
      </w:tr>
      <w:tr>
        <w:trPr>
          <w:trHeight w:val="123"/>
        </w:trPr>
        <w:tc>
          <w:tcPr>
            <w:tcW w:w="45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Net Increase/(Decrease) in Net Assets from Operations per Common</w:t>
            </w: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20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8"/>
        </w:trPr>
        <w:tc>
          <w:tcPr>
            <w:tcW w:w="4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54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(0.36)</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(0.60)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0.16</w:t>
            </w:r>
          </w:p>
        </w:tc>
      </w:tr>
      <w:tr>
        <w:trPr>
          <w:trHeight w:val="188"/>
        </w:trPr>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5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(0.36)</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0.99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0.16</w:t>
            </w:r>
          </w:p>
        </w:tc>
      </w:tr>
      <w:tr>
        <w:trPr>
          <w:trHeight w:val="188"/>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Outstanding–Basic</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25,251,921</w:t>
            </w:r>
          </w:p>
        </w:tc>
        <w:tc>
          <w:tcPr>
            <w:tcW w:w="3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25,351,306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25,952,447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28,378,529</w:t>
            </w:r>
          </w:p>
        </w:tc>
      </w:tr>
      <w:tr>
        <w:trPr>
          <w:trHeight w:val="18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Outstanding–Diluted</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25,251,921</w:t>
            </w:r>
          </w:p>
        </w:tc>
        <w:tc>
          <w:tcPr>
            <w:tcW w:w="3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25,351,306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25,952,447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28,378,529</w:t>
            </w: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122"/>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540" w:type="dxa"/>
            <w:vAlign w:val="bottom"/>
            <w:gridSpan w:val="3"/>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97"/>
              </w:rPr>
              <w:t>September 30, 2022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March 31, 2022</w:t>
            </w:r>
          </w:p>
        </w:tc>
        <w:tc>
          <w:tcPr>
            <w:tcW w:w="120" w:type="dxa"/>
            <w:vAlign w:val="bottom"/>
          </w:tcPr>
          <w:p>
            <w:pPr>
              <w:spacing w:after="0"/>
              <w:rPr>
                <w:sz w:val="17"/>
                <w:szCs w:val="17"/>
                <w:color w:val="auto"/>
              </w:rPr>
            </w:pPr>
          </w:p>
        </w:tc>
      </w:tr>
      <w:tr>
        <w:trPr>
          <w:trHeight w:val="188"/>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Investment Income</w:t>
            </w: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1,462,951</w:t>
            </w: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519,511</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890,631</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583,100</w:t>
            </w:r>
          </w:p>
        </w:tc>
        <w:tc>
          <w:tcPr>
            <w:tcW w:w="120" w:type="dxa"/>
            <w:vAlign w:val="bottom"/>
            <w:tcBorders>
              <w:top w:val="single" w:sz="8" w:color="CCEEFF"/>
            </w:tcBorders>
            <w:shd w:val="clear" w:color="auto" w:fill="CCEEFF"/>
          </w:tcPr>
          <w:p>
            <w:pPr>
              <w:spacing w:after="0"/>
              <w:rPr>
                <w:sz w:val="16"/>
                <w:szCs w:val="16"/>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4,326,133</w:t>
            </w:r>
          </w:p>
        </w:tc>
        <w:tc>
          <w:tcPr>
            <w:tcW w:w="340" w:type="dxa"/>
            <w:vAlign w:val="bottom"/>
          </w:tcPr>
          <w:p>
            <w:pPr>
              <w:spacing w:after="0"/>
              <w:rPr>
                <w:sz w:val="17"/>
                <w:szCs w:val="17"/>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4,328,744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4,701,519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4,807,805</w:t>
            </w:r>
          </w:p>
        </w:tc>
      </w:tr>
      <w:tr>
        <w:trPr>
          <w:trHeight w:val="188"/>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Loss</w:t>
            </w: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(2,863,182)</w:t>
            </w: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(3,809,233)</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(3,810,888)</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(4,224,705)</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(1,894,406)</w:t>
            </w:r>
          </w:p>
        </w:tc>
        <w:tc>
          <w:tcPr>
            <w:tcW w:w="340" w:type="dxa"/>
            <w:vAlign w:val="bottom"/>
          </w:tcPr>
          <w:p>
            <w:pPr>
              <w:spacing w:after="0"/>
              <w:rPr>
                <w:sz w:val="16"/>
                <w:szCs w:val="16"/>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(5,141,097)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(1,966,225)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3,096,275</w:t>
            </w:r>
          </w:p>
        </w:tc>
      </w:tr>
      <w:tr>
        <w:trPr>
          <w:trHeight w:val="22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(7,633,982)</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(36,951,920)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(88,562,575)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21,584,885</w:t>
            </w:r>
          </w:p>
        </w:tc>
      </w:tr>
      <w:tr>
        <w:trPr>
          <w:trHeight w:val="223"/>
        </w:trPr>
        <w:tc>
          <w:tcPr>
            <w:tcW w:w="4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Increase/(Decrease) in Net Assets Resulting from Operations</w:t>
            </w:r>
          </w:p>
        </w:tc>
        <w:tc>
          <w:tcPr>
            <w:tcW w:w="160" w:type="dxa"/>
            <w:vAlign w:val="bottom"/>
            <w:tcBorders>
              <w:top w:val="single" w:sz="8" w:color="CCEEFF"/>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(12,391,570</w:t>
            </w:r>
          </w:p>
        </w:tc>
        <w:tc>
          <w:tcPr>
            <w:tcW w:w="360" w:type="dxa"/>
            <w:vAlign w:val="bottom"/>
            <w:tcBorders>
              <w:top w:val="single" w:sz="8" w:color="CCEEFF"/>
              <w:bottom w:val="single" w:sz="8" w:color="CCEEFF"/>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(45,902,250</w:t>
            </w:r>
          </w:p>
        </w:tc>
        <w:tc>
          <w:tcPr>
            <w:tcW w:w="18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(94,339,688</w:t>
            </w:r>
          </w:p>
        </w:tc>
        <w:tc>
          <w:tcPr>
            <w:tcW w:w="180" w:type="dxa"/>
            <w:vAlign w:val="bottom"/>
            <w:tcBorders>
              <w:top w:val="single" w:sz="8" w:color="CCEEFF"/>
              <w:bottom w:val="single" w:sz="8" w:color="CCEEFF"/>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20,456,455</w:t>
            </w:r>
          </w:p>
        </w:tc>
        <w:tc>
          <w:tcPr>
            <w:tcW w:w="120" w:type="dxa"/>
            <w:vAlign w:val="bottom"/>
            <w:tcBorders>
              <w:top w:val="single" w:sz="8" w:color="CCEEFF"/>
              <w:bottom w:val="single" w:sz="8" w:color="CCEEFF"/>
            </w:tcBorders>
          </w:tcPr>
          <w:p>
            <w:pPr>
              <w:spacing w:after="0"/>
              <w:rPr>
                <w:sz w:val="19"/>
                <w:szCs w:val="19"/>
                <w:color w:val="auto"/>
              </w:rPr>
            </w:pPr>
          </w:p>
        </w:tc>
      </w:tr>
      <w:tr>
        <w:trPr>
          <w:trHeight w:val="123"/>
        </w:trPr>
        <w:tc>
          <w:tcPr>
            <w:tcW w:w="45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Net Increase/(Decrease) in Net Assets from Operations per Common</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20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8"/>
        </w:trPr>
        <w:tc>
          <w:tcPr>
            <w:tcW w:w="4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50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(0.44)</w:t>
            </w: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(1.54)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(3.08)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0.66</w:t>
            </w:r>
          </w:p>
        </w:tc>
      </w:tr>
      <w:tr>
        <w:trPr>
          <w:trHeight w:val="188"/>
        </w:trPr>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5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(0.44)</w:t>
            </w: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0.66</w:t>
            </w:r>
          </w:p>
        </w:tc>
      </w:tr>
      <w:tr>
        <w:trPr>
          <w:trHeight w:val="188"/>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Outstanding–Basic</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28,349,822</w:t>
            </w:r>
          </w:p>
        </w:tc>
        <w:tc>
          <w:tcPr>
            <w:tcW w:w="340" w:type="dxa"/>
            <w:vAlign w:val="bottom"/>
          </w:tcPr>
          <w:p>
            <w:pPr>
              <w:spacing w:after="0"/>
              <w:rPr>
                <w:sz w:val="16"/>
                <w:szCs w:val="16"/>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29,781,801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30,633,878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31,228,046</w:t>
            </w:r>
          </w:p>
        </w:tc>
      </w:tr>
      <w:tr>
        <w:trPr>
          <w:trHeight w:val="18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Outstanding–Diluted</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28,349,822</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29,781,801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30,633,878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31,228,046</w:t>
            </w: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September 30, 2021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March 31, 2021</w:t>
            </w:r>
          </w:p>
        </w:tc>
        <w:tc>
          <w:tcPr>
            <w:tcW w:w="120" w:type="dxa"/>
            <w:vAlign w:val="bottom"/>
          </w:tcPr>
          <w:p>
            <w:pPr>
              <w:spacing w:after="0"/>
              <w:rPr>
                <w:sz w:val="17"/>
                <w:szCs w:val="17"/>
                <w:color w:val="auto"/>
              </w:rPr>
            </w:pPr>
          </w:p>
        </w:tc>
      </w:tr>
      <w:tr>
        <w:trPr>
          <w:trHeight w:val="188"/>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Investment Income</w:t>
            </w: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380,754</w:t>
            </w: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523,916</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274,820</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291,352</w:t>
            </w:r>
          </w:p>
        </w:tc>
        <w:tc>
          <w:tcPr>
            <w:tcW w:w="120" w:type="dxa"/>
            <w:vAlign w:val="bottom"/>
            <w:tcBorders>
              <w:top w:val="single" w:sz="8" w:color="CCEEFF"/>
            </w:tcBorders>
            <w:shd w:val="clear" w:color="auto" w:fill="CCEEFF"/>
          </w:tcPr>
          <w:p>
            <w:pPr>
              <w:spacing w:after="0"/>
              <w:rPr>
                <w:sz w:val="16"/>
                <w:szCs w:val="16"/>
                <w:color w:val="auto"/>
              </w:rPr>
            </w:pP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3,210,777</w:t>
            </w:r>
          </w:p>
        </w:tc>
        <w:tc>
          <w:tcPr>
            <w:tcW w:w="3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2,747,394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2,317,820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3,125,670</w:t>
            </w:r>
          </w:p>
        </w:tc>
      </w:tr>
      <w:tr>
        <w:trPr>
          <w:trHeight w:val="188"/>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Loss</w:t>
            </w: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(2,830,023)</w:t>
            </w: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(2,223,478)</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(2,043,000)</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(2,834,318)</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Realized Gain on Investments</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46,428,514</w:t>
            </w:r>
          </w:p>
        </w:tc>
        <w:tc>
          <w:tcPr>
            <w:tcW w:w="3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32,495,660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27,658,812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112,152,518</w:t>
            </w:r>
          </w:p>
        </w:tc>
      </w:tr>
      <w:tr>
        <w:trPr>
          <w:trHeight w:val="22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(53,134,601)</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(15,023,778)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7,741,252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(1,315,837)</w:t>
            </w:r>
          </w:p>
        </w:tc>
      </w:tr>
      <w:tr>
        <w:trPr>
          <w:trHeight w:val="223"/>
        </w:trPr>
        <w:tc>
          <w:tcPr>
            <w:tcW w:w="4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Increase/(Decrease) in Net Assets Resulting from Operations</w:t>
            </w:r>
          </w:p>
        </w:tc>
        <w:tc>
          <w:tcPr>
            <w:tcW w:w="160" w:type="dxa"/>
            <w:vAlign w:val="bottom"/>
            <w:tcBorders>
              <w:top w:val="single" w:sz="8" w:color="CCEEFF"/>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(9,536,110</w:t>
            </w:r>
          </w:p>
        </w:tc>
        <w:tc>
          <w:tcPr>
            <w:tcW w:w="360" w:type="dxa"/>
            <w:vAlign w:val="bottom"/>
            <w:tcBorders>
              <w:top w:val="single" w:sz="8" w:color="CCEEFF"/>
              <w:bottom w:val="single" w:sz="8" w:color="CCEEFF"/>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15,248,404</w:t>
            </w:r>
          </w:p>
        </w:tc>
        <w:tc>
          <w:tcPr>
            <w:tcW w:w="18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33,357,064</w:t>
            </w:r>
          </w:p>
        </w:tc>
        <w:tc>
          <w:tcPr>
            <w:tcW w:w="18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108,002,363</w:t>
            </w:r>
          </w:p>
        </w:tc>
        <w:tc>
          <w:tcPr>
            <w:tcW w:w="120" w:type="dxa"/>
            <w:vAlign w:val="bottom"/>
            <w:tcBorders>
              <w:top w:val="single" w:sz="8" w:color="CCEEFF"/>
              <w:bottom w:val="single" w:sz="8" w:color="CCEEFF"/>
            </w:tcBorders>
          </w:tcPr>
          <w:p>
            <w:pPr>
              <w:spacing w:after="0"/>
              <w:rPr>
                <w:sz w:val="19"/>
                <w:szCs w:val="19"/>
                <w:color w:val="auto"/>
              </w:rPr>
            </w:pPr>
          </w:p>
        </w:tc>
      </w:tr>
      <w:tr>
        <w:trPr>
          <w:trHeight w:val="123"/>
        </w:trPr>
        <w:tc>
          <w:tcPr>
            <w:tcW w:w="45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Net Increase/(Decrease) in Net Assets from Operations per Common</w:t>
            </w: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20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8"/>
        </w:trPr>
        <w:tc>
          <w:tcPr>
            <w:tcW w:w="4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50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(0.32)</w:t>
            </w: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5.27</w:t>
            </w:r>
          </w:p>
        </w:tc>
      </w:tr>
      <w:tr>
        <w:trPr>
          <w:trHeight w:val="188"/>
        </w:trPr>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5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(0.32)</w:t>
            </w: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0.55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4.50</w:t>
            </w:r>
          </w:p>
        </w:tc>
      </w:tr>
      <w:tr>
        <w:trPr>
          <w:trHeight w:val="188"/>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Outstanding–Basic</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29,883,824</w:t>
            </w:r>
          </w:p>
        </w:tc>
        <w:tc>
          <w:tcPr>
            <w:tcW w:w="3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27,619,062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25,334,482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20,486,621</w:t>
            </w:r>
          </w:p>
        </w:tc>
      </w:tr>
      <w:tr>
        <w:trPr>
          <w:trHeight w:val="18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Outstanding–Diluted</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29,883,824</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27,619,062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25,334,482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24,123,339</w:t>
            </w:r>
          </w:p>
        </w:tc>
      </w:tr>
      <w:tr>
        <w:trPr>
          <w:trHeight w:val="380"/>
        </w:trPr>
        <w:tc>
          <w:tcPr>
            <w:tcW w:w="4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rPr>
              <w:t>112</w:t>
            </w: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17"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 AND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14—SUPPLEMENTAL FINANCIAL DATA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Summarized Financial Information of Unconsolidated Subsidiaries</w:t>
      </w:r>
    </w:p>
    <w:p>
      <w:pPr>
        <w:spacing w:after="0" w:line="194"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159"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6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The Company’s three controlled portfolio companies as of December 31, 2023, SPBRX, INC. (f/k/a GSV Sustainability Partners, Inc.), Architect Capital PayJoy SPV, LLC, and Colombier Sponsor II LLC, did not meet the definition of a “significant subsidiary” as set forth in Rule 1-02(w)(2). For comparability purposes, the Company has omitted the previously disclosed summarized financial information of the Company’s significant subsidiaries for the year ended December 31, 2022 as the Company’s significant subsidiaries would not have been considered significant subsidiaries under the Final Rules.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5"/>
          <w:szCs w:val="15"/>
          <w:b w:val="1"/>
          <w:bCs w:val="1"/>
          <w:color w:val="auto"/>
        </w:rPr>
        <w:t>Changes in and Disagreements with Accountants on Accounting and Financial Disclosure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19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9A.</w:t>
      </w:r>
      <w:r>
        <w:rPr>
          <w:sz w:val="20"/>
          <w:szCs w:val="20"/>
          <w:color w:val="auto"/>
        </w:rPr>
        <w:tab/>
      </w:r>
      <w:r>
        <w:rPr>
          <w:rFonts w:ascii="Times New Roman" w:cs="Times New Roman" w:eastAsia="Times New Roman" w:hAnsi="Times New Roman"/>
          <w:sz w:val="15"/>
          <w:szCs w:val="15"/>
          <w:b w:val="1"/>
          <w:bCs w:val="1"/>
          <w:color w:val="auto"/>
        </w:rPr>
        <w:t>Controls and Procedures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Evaluation of Disclosure Controls and Procedures</w:t>
      </w:r>
    </w:p>
    <w:p>
      <w:pPr>
        <w:spacing w:after="0" w:line="19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As of December 31, 2023,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Management’s Report on Internal Controls Over Financial Reporting</w:t>
      </w:r>
    </w:p>
    <w:p>
      <w:pPr>
        <w:spacing w:after="0" w:line="19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such term is defined in Rule 13a-15(f) of the Exchange Act, and for performing an assessment of the effectiveness of internal control over financial reporting as of December 31, 2023. Internal control over financial reporting is a process designed by, or under the supervision of, our principal executive and principal financial officers, or persons performing similar functions,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consolidated financial statements in accordance with generally accepted accounting principles, and that receipts and expenditures are being made only in accordance with authorizations of our management and directors, as applicable; and (iii) 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jc w:val="both"/>
        <w:ind w:firstLine="282"/>
        <w:spacing w:after="0" w:line="258"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9" w:lineRule="exact"/>
        <w:rPr>
          <w:sz w:val="20"/>
          <w:szCs w:val="20"/>
          <w:color w:val="auto"/>
        </w:rPr>
      </w:pPr>
    </w:p>
    <w:p>
      <w:pPr>
        <w:jc w:val="both"/>
        <w:ind w:right="20" w:firstLine="282"/>
        <w:spacing w:after="0" w:line="258" w:lineRule="auto"/>
        <w:rPr>
          <w:sz w:val="20"/>
          <w:szCs w:val="20"/>
          <w:color w:val="auto"/>
        </w:rPr>
      </w:pPr>
      <w:r>
        <w:rPr>
          <w:rFonts w:ascii="Times New Roman" w:cs="Times New Roman" w:eastAsia="Times New Roman" w:hAnsi="Times New Roman"/>
          <w:sz w:val="16"/>
          <w:szCs w:val="16"/>
          <w:color w:val="auto"/>
        </w:rPr>
        <w:t>Management performed an assessment of the effectiveness of our internal control over financial reporting as of December 31, 2023 based upon criteria in Internal Control-Integrated Framework (2013) issued by the Committee of Sponsoring Organizations of the Treadway Commission (“COSO”). Based on this assessment, management determined that our internal control over financial reporting was effective as of December 31, 2023.</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This annual report does not include an attestation report of our registered public accounting firm pursuant to the rules of the SEC.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 Changes in Internal Control Over Financial Reporting</w:t>
      </w:r>
    </w:p>
    <w:p>
      <w:pPr>
        <w:spacing w:after="0" w:line="19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(as defined in Rules 13a-15(f) and 15d-15(f) under the Exchange Act) that occurred during the fiscal year ended December 31, 2023 that have materially affected, or are reasonably likely to materially affect, our internal control over financial reporting.</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17" w:name="page118"/>
    <w:bookmarkEnd w:id="117"/>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ind w:left="6"/>
        <w:spacing w:after="0"/>
        <w:tabs>
          <w:tab w:leader="none" w:pos="826" w:val="left"/>
        </w:tabs>
        <w:rPr>
          <w:sz w:val="20"/>
          <w:szCs w:val="20"/>
          <w:color w:val="auto"/>
        </w:rPr>
      </w:pPr>
      <w:r>
        <w:rPr>
          <w:rFonts w:ascii="Times New Roman" w:cs="Times New Roman" w:eastAsia="Times New Roman" w:hAnsi="Times New Roman"/>
          <w:sz w:val="16"/>
          <w:szCs w:val="16"/>
          <w:b w:val="1"/>
          <w:bCs w:val="1"/>
          <w:color w:val="auto"/>
        </w:rPr>
        <w:t>Item 9B.</w:t>
      </w:r>
      <w:r>
        <w:rPr>
          <w:sz w:val="20"/>
          <w:szCs w:val="20"/>
          <w:color w:val="auto"/>
        </w:rPr>
        <w:tab/>
      </w:r>
      <w:r>
        <w:rPr>
          <w:rFonts w:ascii="Times New Roman" w:cs="Times New Roman" w:eastAsia="Times New Roman" w:hAnsi="Times New Roman"/>
          <w:sz w:val="15"/>
          <w:szCs w:val="15"/>
          <w:b w:val="1"/>
          <w:bCs w:val="1"/>
          <w:color w:val="auto"/>
        </w:rPr>
        <w:t>Other Information</w:t>
      </w:r>
    </w:p>
    <w:p>
      <w:pPr>
        <w:spacing w:after="0" w:line="192"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6"/>
          <w:szCs w:val="16"/>
          <w:b w:val="1"/>
          <w:bCs w:val="1"/>
          <w:color w:val="auto"/>
        </w:rPr>
        <w:t>Fees and Expenses</w:t>
      </w:r>
    </w:p>
    <w:p>
      <w:pPr>
        <w:spacing w:after="0" w:line="194" w:lineRule="exact"/>
        <w:rPr>
          <w:sz w:val="20"/>
          <w:szCs w:val="20"/>
          <w:color w:val="auto"/>
        </w:rPr>
      </w:pPr>
    </w:p>
    <w:p>
      <w:pPr>
        <w:jc w:val="both"/>
        <w:ind w:left="6" w:right="20" w:firstLine="282"/>
        <w:spacing w:after="0" w:line="272" w:lineRule="auto"/>
        <w:rPr>
          <w:sz w:val="20"/>
          <w:szCs w:val="20"/>
          <w:color w:val="auto"/>
        </w:rPr>
      </w:pPr>
      <w:r>
        <w:rPr>
          <w:rFonts w:ascii="Times New Roman" w:cs="Times New Roman" w:eastAsia="Times New Roman" w:hAnsi="Times New Roman"/>
          <w:sz w:val="15"/>
          <w:szCs w:val="15"/>
          <w:color w:val="auto"/>
        </w:rPr>
        <w:t>The following table is intended to assist you in understanding the costs and expenses that an investor will bear directly or indirectly.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Annual Report on Form 10-K contains a reference to fees or expenses paid by “us” or “SuRo Capital,” or that “we” will pay fees or expenses, you will indirectly bear such fees or expenses as an investor in SuRo Capital Corp., however, your responsibility for such fees or expenses is limited to your investment in SuRo Capital Corp. The fee table and example below include all fees and expenses of our consolidated subsidiaries.</w:t>
      </w:r>
    </w:p>
    <w:p>
      <w:pPr>
        <w:spacing w:after="0" w:line="167"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 transaction expenses:</w:t>
            </w:r>
          </w:p>
        </w:tc>
        <w:tc>
          <w:tcPr>
            <w:tcW w:w="2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Sales load (as a percentage of offering price)</w:t>
            </w:r>
          </w:p>
        </w:tc>
        <w:tc>
          <w:tcPr>
            <w:tcW w:w="2580" w:type="dxa"/>
            <w:vAlign w:val="bottom"/>
            <w:gridSpan w:val="3"/>
          </w:tcPr>
          <w:p>
            <w:pPr>
              <w:jc w:val="right"/>
              <w:ind w:right="1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2"/>
                <w:szCs w:val="12"/>
                <w:color w:val="auto"/>
              </w:rPr>
              <w:t>(1)</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Offering expenses (as a percentage of offering price)</w:t>
            </w:r>
          </w:p>
        </w:tc>
        <w:tc>
          <w:tcPr>
            <w:tcW w:w="2580" w:type="dxa"/>
            <w:vAlign w:val="bottom"/>
            <w:gridSpan w:val="3"/>
            <w:shd w:val="clear" w:color="auto" w:fill="CCEEFF"/>
          </w:tcPr>
          <w:p>
            <w:pPr>
              <w:jc w:val="right"/>
              <w:ind w:right="1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2"/>
                <w:szCs w:val="12"/>
                <w:color w:val="auto"/>
              </w:rPr>
              <w:t>(2)</w:t>
            </w:r>
          </w:p>
        </w:tc>
      </w:tr>
      <w:tr>
        <w:trPr>
          <w:trHeight w:val="235"/>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Dividend reinvestment plan expenses</w:t>
            </w:r>
          </w:p>
        </w:tc>
        <w:tc>
          <w:tcPr>
            <w:tcW w:w="2580" w:type="dxa"/>
            <w:vAlign w:val="bottom"/>
            <w:gridSpan w:val="3"/>
          </w:tcPr>
          <w:p>
            <w:pPr>
              <w:jc w:val="right"/>
              <w:ind w:right="160"/>
              <w:spacing w:after="0" w:line="235"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2"/>
                <w:szCs w:val="12"/>
                <w:color w:val="auto"/>
              </w:rPr>
              <w:t>(3)</w:t>
            </w:r>
          </w:p>
        </w:tc>
      </w:tr>
      <w:tr>
        <w:trPr>
          <w:trHeight w:val="24"/>
        </w:trPr>
        <w:tc>
          <w:tcPr>
            <w:tcW w:w="8680" w:type="dxa"/>
            <w:vAlign w:val="bottom"/>
            <w:shd w:val="clear" w:color="auto" w:fill="CCEEFF"/>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460" w:type="dxa"/>
            <w:vAlign w:val="bottom"/>
            <w:gridSpan w:val="2"/>
            <w:shd w:val="clear" w:color="auto" w:fill="CCEEFF"/>
          </w:tcPr>
          <w:p>
            <w:pPr>
              <w:spacing w:after="0"/>
              <w:rPr>
                <w:sz w:val="2"/>
                <w:szCs w:val="2"/>
                <w:color w:val="auto"/>
              </w:rPr>
            </w:pPr>
          </w:p>
        </w:tc>
      </w:tr>
      <w:tr>
        <w:trPr>
          <w:trHeight w:val="21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 transaction expenses (as a percentage of offering price)</w:t>
            </w:r>
          </w:p>
        </w:tc>
        <w:tc>
          <w:tcPr>
            <w:tcW w:w="2580" w:type="dxa"/>
            <w:vAlign w:val="bottom"/>
            <w:gridSpan w:val="3"/>
            <w:shd w:val="clear" w:color="auto" w:fill="CCEEFF"/>
          </w:tcPr>
          <w:p>
            <w:pPr>
              <w:jc w:val="right"/>
              <w:ind w:right="160"/>
              <w:spacing w:after="0" w:line="211"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1"/>
                <w:szCs w:val="11"/>
                <w:color w:val="auto"/>
              </w:rPr>
              <w:t>(4)</w:t>
            </w:r>
          </w:p>
        </w:tc>
      </w:tr>
      <w:tr>
        <w:trPr>
          <w:trHeight w:val="223"/>
        </w:trPr>
        <w:tc>
          <w:tcPr>
            <w:tcW w:w="8680" w:type="dxa"/>
            <w:vAlign w:val="bottom"/>
          </w:tcPr>
          <w:p>
            <w:pPr>
              <w:spacing w:after="0" w:line="223" w:lineRule="exact"/>
              <w:rPr>
                <w:sz w:val="20"/>
                <w:szCs w:val="20"/>
                <w:color w:val="auto"/>
              </w:rPr>
            </w:pPr>
            <w:r>
              <w:rPr>
                <w:rFonts w:ascii="Times New Roman" w:cs="Times New Roman" w:eastAsia="Times New Roman" w:hAnsi="Times New Roman"/>
                <w:sz w:val="15"/>
                <w:szCs w:val="15"/>
                <w:b w:val="1"/>
                <w:bCs w:val="1"/>
                <w:color w:val="auto"/>
              </w:rPr>
              <w:t>Annual expenses (as a percentage of net assets attributable to common stock)</w:t>
            </w:r>
            <w:r>
              <w:rPr>
                <w:rFonts w:ascii="Times New Roman" w:cs="Times New Roman" w:eastAsia="Times New Roman" w:hAnsi="Times New Roman"/>
                <w:sz w:val="25"/>
                <w:szCs w:val="25"/>
                <w:b w:val="1"/>
                <w:bCs w:val="1"/>
                <w:color w:val="auto"/>
                <w:vertAlign w:val="superscript"/>
              </w:rPr>
              <w:t>(8)</w:t>
            </w:r>
            <w:r>
              <w:rPr>
                <w:rFonts w:ascii="Times New Roman" w:cs="Times New Roman" w:eastAsia="Times New Roman" w:hAnsi="Times New Roman"/>
                <w:sz w:val="15"/>
                <w:szCs w:val="15"/>
                <w:b w:val="1"/>
                <w:bCs w:val="1"/>
                <w:color w:val="auto"/>
              </w:rPr>
              <w:t>:</w:t>
            </w:r>
          </w:p>
        </w:tc>
        <w:tc>
          <w:tcPr>
            <w:tcW w:w="2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580" w:type="dxa"/>
            <w:vAlign w:val="bottom"/>
            <w:gridSpan w:val="3"/>
            <w:shd w:val="clear" w:color="auto" w:fill="CCEEFF"/>
          </w:tcPr>
          <w:p>
            <w:pPr>
              <w:jc w:val="right"/>
              <w:ind w:right="160"/>
              <w:spacing w:after="0" w:line="223" w:lineRule="exact"/>
              <w:rPr>
                <w:sz w:val="20"/>
                <w:szCs w:val="20"/>
                <w:color w:val="auto"/>
              </w:rPr>
            </w:pPr>
            <w:r>
              <w:rPr>
                <w:rFonts w:ascii="Times New Roman" w:cs="Times New Roman" w:eastAsia="Times New Roman" w:hAnsi="Times New Roman"/>
                <w:sz w:val="15"/>
                <w:szCs w:val="15"/>
                <w:color w:val="auto"/>
              </w:rPr>
              <w:t>6.58%</w:t>
            </w:r>
            <w:r>
              <w:rPr>
                <w:rFonts w:ascii="Times New Roman" w:cs="Times New Roman" w:eastAsia="Times New Roman" w:hAnsi="Times New Roman"/>
                <w:sz w:val="25"/>
                <w:szCs w:val="25"/>
                <w:color w:val="auto"/>
                <w:vertAlign w:val="superscript"/>
              </w:rPr>
              <w:t>(5)</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Interest payments on borrowed funds</w:t>
            </w:r>
          </w:p>
        </w:tc>
        <w:tc>
          <w:tcPr>
            <w:tcW w:w="2580" w:type="dxa"/>
            <w:vAlign w:val="bottom"/>
            <w:gridSpan w:val="3"/>
          </w:tcPr>
          <w:p>
            <w:pPr>
              <w:jc w:val="right"/>
              <w:ind w:right="160"/>
              <w:spacing w:after="0" w:line="223" w:lineRule="exact"/>
              <w:rPr>
                <w:sz w:val="20"/>
                <w:szCs w:val="20"/>
                <w:color w:val="auto"/>
              </w:rPr>
            </w:pPr>
            <w:r>
              <w:rPr>
                <w:rFonts w:ascii="Times New Roman" w:cs="Times New Roman" w:eastAsia="Times New Roman" w:hAnsi="Times New Roman"/>
                <w:sz w:val="15"/>
                <w:szCs w:val="15"/>
                <w:color w:val="auto"/>
              </w:rPr>
              <w:t>2.37%</w:t>
            </w:r>
            <w:r>
              <w:rPr>
                <w:rFonts w:ascii="Times New Roman" w:cs="Times New Roman" w:eastAsia="Times New Roman" w:hAnsi="Times New Roman"/>
                <w:sz w:val="25"/>
                <w:szCs w:val="25"/>
                <w:color w:val="auto"/>
                <w:vertAlign w:val="superscript"/>
              </w:rPr>
              <w:t>(6)</w:t>
            </w:r>
          </w:p>
        </w:tc>
      </w:tr>
      <w:tr>
        <w:trPr>
          <w:trHeight w:val="255"/>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2580" w:type="dxa"/>
            <w:vAlign w:val="bottom"/>
            <w:gridSpan w:val="3"/>
            <w:shd w:val="clear" w:color="auto" w:fill="CCEEFF"/>
          </w:tcPr>
          <w:p>
            <w:pPr>
              <w:jc w:val="right"/>
              <w:ind w:right="160"/>
              <w:spacing w:after="0" w:line="235" w:lineRule="exact"/>
              <w:rPr>
                <w:sz w:val="20"/>
                <w:szCs w:val="20"/>
                <w:color w:val="auto"/>
              </w:rPr>
            </w:pPr>
            <w:r>
              <w:rPr>
                <w:rFonts w:ascii="Times New Roman" w:cs="Times New Roman" w:eastAsia="Times New Roman" w:hAnsi="Times New Roman"/>
                <w:sz w:val="16"/>
                <w:szCs w:val="16"/>
                <w:color w:val="auto"/>
              </w:rPr>
              <w:t>0.90%</w:t>
            </w:r>
            <w:r>
              <w:rPr>
                <w:rFonts w:ascii="Times New Roman" w:cs="Times New Roman" w:eastAsia="Times New Roman" w:hAnsi="Times New Roman"/>
                <w:sz w:val="26"/>
                <w:szCs w:val="26"/>
                <w:color w:val="auto"/>
                <w:vertAlign w:val="superscript"/>
              </w:rPr>
              <w:t>(7)</w:t>
            </w:r>
          </w:p>
        </w:tc>
      </w:tr>
      <w:tr>
        <w:trPr>
          <w:trHeight w:val="183"/>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annual expenses</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46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868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79133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87" w:lineRule="exact"/>
        <w:rPr>
          <w:sz w:val="20"/>
          <w:szCs w:val="20"/>
          <w:color w:val="auto"/>
        </w:rPr>
      </w:pPr>
    </w:p>
    <w:p>
      <w:pPr>
        <w:ind w:left="286" w:hanging="286"/>
        <w:spacing w:after="0"/>
        <w:tabs>
          <w:tab w:leader="none" w:pos="28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our securities are sold to or through underwriters, a corresponding prospectus or prospectus supplement will disclose the applicable sales load.</w:t>
      </w:r>
    </w:p>
    <w:p>
      <w:pPr>
        <w:spacing w:after="0" w:line="19" w:lineRule="exact"/>
        <w:rPr>
          <w:rFonts w:ascii="Times New Roman" w:cs="Times New Roman" w:eastAsia="Times New Roman" w:hAnsi="Times New Roman"/>
          <w:sz w:val="16"/>
          <w:szCs w:val="16"/>
          <w:color w:val="auto"/>
        </w:rPr>
      </w:pPr>
    </w:p>
    <w:p>
      <w:pPr>
        <w:ind w:left="286" w:hanging="286"/>
        <w:spacing w:after="0" w:line="245" w:lineRule="auto"/>
        <w:tabs>
          <w:tab w:leader="none" w:pos="28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we conduct an offering of our securities, a corresponding prospectus or prospectus supplement will disclose the estimated offering expenses. Our common stockholders will bear, directly or indirectly, the expenses of any offering of our securities, including debt securities.</w:t>
      </w:r>
    </w:p>
    <w:p>
      <w:pPr>
        <w:jc w:val="both"/>
        <w:ind w:left="286" w:hanging="286"/>
        <w:spacing w:after="0" w:line="245" w:lineRule="auto"/>
        <w:tabs>
          <w:tab w:leader="none" w:pos="28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our DRIP, the plan administrator’s fees will be paid by us. There will be no brokerage charges or other charges to stockholders who participate in the plan except that, if a participant elects by his or its written or telephonic notice to the plan administrator in advance of termination to have the plan administrator sell part or all of his or its shares and remit the proceeds to the participant, the plan administrator is authorized to deduct a $15 transaction fee plus brokerage commission from the proceeds. The expenses of our DRIP are included in “Other expenses.”</w:t>
      </w:r>
    </w:p>
    <w:p>
      <w:pPr>
        <w:ind w:left="286" w:hanging="286"/>
        <w:spacing w:after="0"/>
        <w:tabs>
          <w:tab w:leader="none" w:pos="28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stockholder transaction expenses may include sales load and will be disclosed in a future prospectus or prospectus supplement, if any.</w:t>
      </w:r>
    </w:p>
    <w:p>
      <w:pPr>
        <w:spacing w:after="0" w:line="4" w:lineRule="exact"/>
        <w:rPr>
          <w:rFonts w:ascii="Times New Roman" w:cs="Times New Roman" w:eastAsia="Times New Roman" w:hAnsi="Times New Roman"/>
          <w:sz w:val="16"/>
          <w:szCs w:val="16"/>
          <w:color w:val="auto"/>
        </w:rPr>
      </w:pPr>
    </w:p>
    <w:p>
      <w:pPr>
        <w:jc w:val="both"/>
        <w:ind w:left="286" w:right="20" w:hanging="286"/>
        <w:spacing w:after="0" w:line="245" w:lineRule="auto"/>
        <w:tabs>
          <w:tab w:leader="none" w:pos="28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in this table represent estimated annual operating expenses based upon the actual annual operating expenses of the Company and its consolidated subsidiaries for the year ended December 31, 2023. We do not have an investment adviser and are internally managed by our executive officers under the supervision of our Board of Directors. As a result, we do not pay investment advisory fees, but instead we pay the operating costs associated with employing investment management professionals including, without limitation, compensation expenses related to salaries, discretionary bonuses and restricted stock grants.</w:t>
      </w:r>
    </w:p>
    <w:p>
      <w:pPr>
        <w:jc w:val="both"/>
        <w:ind w:left="286" w:hanging="286"/>
        <w:spacing w:after="0" w:line="245" w:lineRule="auto"/>
        <w:tabs>
          <w:tab w:leader="none" w:pos="28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exposed to the risks of leverage, which may be considered a speculative investment technique. The use of leverage magnifies the potential for gain and loss on amounts invested and, therefore, increases the risks associated with an investment in us. Interest payments on borrowed funds represents our estimated annual interest payments based on actual interest rate terms under our outstanding 6.00% Notes due 2026 as of December 31, 2023.</w:t>
      </w:r>
    </w:p>
    <w:p>
      <w:pPr>
        <w:ind w:left="286" w:hanging="286"/>
        <w:spacing w:after="0"/>
        <w:tabs>
          <w:tab w:leader="none" w:pos="28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expenses,” which we calculate to equal approximately $1.8 million, are estimated based upon actual “Other expenses” for the year ended December 31, 2023.</w:t>
      </w:r>
    </w:p>
    <w:p>
      <w:pPr>
        <w:spacing w:after="0" w:line="4"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assets attributable to common stock,” which we calculate to equal approximately $203.4 million, reflect our net assets for the year ended December 31, 2023.</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Example</w:t>
      </w:r>
    </w:p>
    <w:p>
      <w:pPr>
        <w:spacing w:after="0" w:line="194" w:lineRule="exact"/>
        <w:rPr>
          <w:sz w:val="20"/>
          <w:szCs w:val="20"/>
          <w:color w:val="auto"/>
        </w:rPr>
      </w:pPr>
    </w:p>
    <w:p>
      <w:pPr>
        <w:jc w:val="both"/>
        <w:ind w:left="6" w:firstLine="282"/>
        <w:spacing w:after="0" w:line="258" w:lineRule="auto"/>
        <w:rPr>
          <w:sz w:val="20"/>
          <w:szCs w:val="20"/>
          <w:color w:val="auto"/>
        </w:rPr>
      </w:pPr>
      <w:r>
        <w:rPr>
          <w:rFonts w:ascii="Times New Roman" w:cs="Times New Roman" w:eastAsia="Times New Roman" w:hAnsi="Times New Roman"/>
          <w:sz w:val="16"/>
          <w:szCs w:val="16"/>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 See footnote 6 above for additional information regarding certain assumptions regarding our level of leverage.</w:t>
      </w:r>
    </w:p>
    <w:p>
      <w:pPr>
        <w:spacing w:after="0" w:line="169" w:lineRule="exact"/>
        <w:rPr>
          <w:sz w:val="20"/>
          <w:szCs w:val="20"/>
          <w:color w:val="auto"/>
        </w:rPr>
      </w:pPr>
    </w:p>
    <w:tbl>
      <w:tblPr>
        <w:tblLayout w:type="fixed"/>
        <w:tblInd w:w="286"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 Years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10 Years</w:t>
            </w:r>
          </w:p>
        </w:tc>
      </w:tr>
      <w:tr>
        <w:trPr>
          <w:trHeight w:val="160"/>
        </w:trPr>
        <w:tc>
          <w:tcPr>
            <w:tcW w:w="4660" w:type="dxa"/>
            <w:vAlign w:val="bottom"/>
            <w:tcBorders>
              <w:top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You would pay the following expenses on a $1,000 investment,</w:t>
            </w:r>
          </w:p>
        </w:tc>
        <w:tc>
          <w:tcPr>
            <w:tcW w:w="9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05"/>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assuming a 5% annual return</w:t>
            </w:r>
          </w:p>
        </w:tc>
        <w:tc>
          <w:tcPr>
            <w:tcW w:w="92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360" w:type="dxa"/>
            <w:vAlign w:val="bottom"/>
            <w:gridSpan w:val="2"/>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275</w:t>
            </w:r>
          </w:p>
        </w:tc>
        <w:tc>
          <w:tcPr>
            <w:tcW w:w="1100" w:type="dxa"/>
            <w:vAlign w:val="bottom"/>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418</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699</w:t>
            </w:r>
          </w:p>
        </w:tc>
      </w:tr>
    </w:tbl>
    <w:p>
      <w:pPr>
        <w:spacing w:after="0" w:line="172" w:lineRule="exact"/>
        <w:rPr>
          <w:sz w:val="20"/>
          <w:szCs w:val="20"/>
          <w:color w:val="auto"/>
        </w:rPr>
      </w:pPr>
    </w:p>
    <w:p>
      <w:pPr>
        <w:jc w:val="both"/>
        <w:ind w:left="6" w:firstLine="282"/>
        <w:spacing w:after="0" w:line="250" w:lineRule="auto"/>
        <w:rPr>
          <w:sz w:val="20"/>
          <w:szCs w:val="20"/>
          <w:color w:val="auto"/>
        </w:rPr>
      </w:pPr>
      <w:r>
        <w:rPr>
          <w:rFonts w:ascii="Times New Roman" w:cs="Times New Roman" w:eastAsia="Times New Roman" w:hAnsi="Times New Roman"/>
          <w:sz w:val="16"/>
          <w:szCs w:val="16"/>
          <w:color w:val="auto"/>
        </w:rPr>
        <w:t>The example and the expenses in the tables above should not be considered a representation of our future expenses, and actual expenses may be greater or less than those shown. While the example assumes, as required by the SEC, a 5.0% annual return, our performance will vary and may result in a return greater or less than 5.0%. In addition, while the example assumes reinvestment of all dividends at net asset value participants in our DRIP will receive a number of shares of our common stock, determined by dividing the total dollar amount of the dividend payable to a participant by the market price per share of our common stock at the close of trading on the dividend payment date, which may be at, above or below net asset value. See “Market for Registrant’s Common Equity, Related Stockholder Matters and Issuer Purchases of Equity Securities - Distributions” for additional information regarding our DRIP.</w:t>
      </w:r>
    </w:p>
    <w:p>
      <w:pPr>
        <w:spacing w:after="0" w:line="16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194"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6"/>
          <w:szCs w:val="16"/>
          <w:color w:val="auto"/>
        </w:rPr>
        <w:t>Not applicable.</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9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5"/>
          <w:szCs w:val="15"/>
          <w:b w:val="1"/>
          <w:bCs w:val="1"/>
          <w:color w:val="auto"/>
        </w:rPr>
        <w:t>Directors, Executive Officers and Corporate Governance</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information required by Item 10 will be contained in the 2024 Proxy Statement, to be filed with the SEC within 120 days after December 31, 2023, and is incorporated herein by reference. There have been no material changes to the procedures by which stockholders may recommend nominees to our Board of Directors.</w:t>
      </w:r>
    </w:p>
    <w:p>
      <w:pPr>
        <w:spacing w:after="0" w:line="150"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have adopted a Code of Business Conduct and Ethics for our employees and directors, including, specifically, our Chief Executive Officer, our Chief Financial Officer, and our other executive officers. Our Code of Business Conduct and Ethics satisfies the requirements for a “code of ethics” within the meaning of SEC rules. A copy of the Code of Business Conduct and Ethics is posted on our website at https://investors.surocap.com/corporate-governance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We intend to disclose any changes in, or waivers from, the Code of Business Conduct and Ethics by posting such information on the same website or by filing a Form 8-K, in each case to the extent such disclosure is required by rules of the SEC or NASDAQ.</w:t>
      </w:r>
    </w:p>
    <w:p>
      <w:pPr>
        <w:spacing w:after="0" w:line="16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5"/>
          <w:szCs w:val="15"/>
          <w:b w:val="1"/>
          <w:bCs w:val="1"/>
          <w:color w:val="auto"/>
        </w:rPr>
        <w:t>Executive Compensation</w:t>
      </w:r>
    </w:p>
    <w:p>
      <w:pPr>
        <w:spacing w:after="0" w:line="19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The information required by Item 11 will be contained in the 2024 Proxy Statement, to be filed with the SEC within 120 days after December 31, 2023, and is incorporated herein by reference.</w:t>
      </w:r>
    </w:p>
    <w:p>
      <w:pPr>
        <w:spacing w:after="0" w:line="1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ab/>
      </w:r>
      <w:r>
        <w:rPr>
          <w:rFonts w:ascii="Times New Roman" w:cs="Times New Roman" w:eastAsia="Times New Roman" w:hAnsi="Times New Roman"/>
          <w:sz w:val="15"/>
          <w:szCs w:val="15"/>
          <w:b w:val="1"/>
          <w:bCs w:val="1"/>
          <w:color w:val="auto"/>
        </w:rPr>
        <w:t>Security Ownership of Certain Beneficial Owners and Management and Related Stockholder Matters</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information required by Item 12 will be contained in the 2024 Proxy Statement, to be filed with the SEC within 120 days after December 31, 2023, and is incorporated herein by reference.</w:t>
      </w:r>
    </w:p>
    <w:p>
      <w:pPr>
        <w:spacing w:after="0" w:line="1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5"/>
          <w:szCs w:val="15"/>
          <w:b w:val="1"/>
          <w:bCs w:val="1"/>
          <w:color w:val="auto"/>
        </w:rPr>
        <w:t>Certain Relationships and Related Transactions, and Director Independence</w:t>
      </w:r>
    </w:p>
    <w:p>
      <w:pPr>
        <w:spacing w:after="0" w:line="194" w:lineRule="exact"/>
        <w:rPr>
          <w:sz w:val="20"/>
          <w:szCs w:val="20"/>
          <w:color w:val="auto"/>
        </w:rPr>
      </w:pPr>
    </w:p>
    <w:p>
      <w:pPr>
        <w:jc w:val="both"/>
        <w:ind w:right="20" w:firstLine="317"/>
        <w:spacing w:after="0" w:line="270" w:lineRule="auto"/>
        <w:rPr>
          <w:sz w:val="20"/>
          <w:szCs w:val="20"/>
          <w:color w:val="auto"/>
        </w:rPr>
      </w:pPr>
      <w:r>
        <w:rPr>
          <w:rFonts w:ascii="Times New Roman" w:cs="Times New Roman" w:eastAsia="Times New Roman" w:hAnsi="Times New Roman"/>
          <w:sz w:val="16"/>
          <w:szCs w:val="16"/>
          <w:color w:val="auto"/>
        </w:rPr>
        <w:t>The information required by Item 13 will be contained in the 2024 Proxy Statement, to be filed with the SEC within 120 days after December 31, 2023, and is incorporated herein by reference.</w:t>
      </w:r>
    </w:p>
    <w:p>
      <w:pPr>
        <w:spacing w:after="0" w:line="1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5"/>
          <w:szCs w:val="15"/>
          <w:b w:val="1"/>
          <w:bCs w:val="1"/>
          <w:color w:val="auto"/>
        </w:rPr>
        <w:t>Principal Accountant Fees and Services</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information required by Item 14 will be contained in the 2024 Proxy Statement, to be filed with the SEC within 120 days after December 31, 2023, and is incorporated herein by reference.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217" w:right="3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4"/>
        </w:trPr>
        <w:tc>
          <w:tcPr>
            <w:tcW w:w="1068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068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10660" w:type="dxa"/>
            <w:vAlign w:val="bottom"/>
            <w:gridSpan w:val="9"/>
          </w:tcPr>
          <w:p>
            <w:pPr>
              <w:ind w:left="540"/>
              <w:spacing w:after="0"/>
              <w:rPr>
                <w:sz w:val="20"/>
                <w:szCs w:val="20"/>
                <w:color w:val="auto"/>
              </w:rPr>
            </w:pPr>
            <w:r>
              <w:rPr>
                <w:rFonts w:ascii="Times New Roman" w:cs="Times New Roman" w:eastAsia="Times New Roman" w:hAnsi="Times New Roman"/>
                <w:sz w:val="16"/>
                <w:szCs w:val="16"/>
                <w:color w:val="auto"/>
              </w:rPr>
              <w:t>The following documents are filed or incorporated by reference as part of this annual report on Form 10-K:</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10660" w:type="dxa"/>
            <w:vAlign w:val="bottom"/>
            <w:gridSpan w:val="9"/>
          </w:tcPr>
          <w:p>
            <w:pPr>
              <w:ind w:left="260"/>
              <w:spacing w:after="0"/>
              <w:rPr>
                <w:sz w:val="20"/>
                <w:szCs w:val="20"/>
                <w:color w:val="auto"/>
              </w:rPr>
            </w:pPr>
            <w:r>
              <w:rPr>
                <w:rFonts w:ascii="Times New Roman" w:cs="Times New Roman" w:eastAsia="Times New Roman" w:hAnsi="Times New Roman"/>
                <w:sz w:val="16"/>
                <w:szCs w:val="16"/>
                <w:color w:val="auto"/>
              </w:rPr>
              <w:t>(1) Financial Statements—Refer to Part II, Item 8 of this Form 10-K, which are incorporated herein by reference.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40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660" w:type="dxa"/>
            <w:vAlign w:val="bottom"/>
            <w:gridSpan w:val="9"/>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0000EE"/>
              </w:rPr>
              <w:t>Report of Independent Registered Public Accounting Firm</w:t>
            </w:r>
          </w:p>
        </w:tc>
        <w:tc>
          <w:tcPr>
            <w:tcW w:w="580" w:type="dxa"/>
            <w:vAlign w:val="bottom"/>
            <w:shd w:val="clear" w:color="auto" w:fill="CCEEFF"/>
          </w:tcPr>
          <w:p>
            <w:pPr>
              <w:jc w:val="center"/>
              <w:spacing w:after="0" w:line="121" w:lineRule="exact"/>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6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5320" w:type="dxa"/>
            <w:vAlign w:val="bottom"/>
            <w:tcBorders>
              <w:bottom w:val="single" w:sz="8" w:color="0000EE"/>
            </w:tcBorders>
            <w:gridSpan w:val="5"/>
          </w:tcPr>
          <w:p>
            <w:pPr>
              <w:spacing w:after="0" w:line="153" w:lineRule="exact"/>
              <w:rPr>
                <w:sz w:val="20"/>
                <w:szCs w:val="20"/>
                <w:color w:val="auto"/>
              </w:rPr>
            </w:pPr>
            <w:r>
              <w:rPr>
                <w:rFonts w:ascii="Times New Roman" w:cs="Times New Roman" w:eastAsia="Times New Roman" w:hAnsi="Times New Roman"/>
                <w:sz w:val="16"/>
                <w:szCs w:val="16"/>
                <w:color w:val="0000EE"/>
                <w:w w:val="97"/>
              </w:rPr>
              <w:t>Consolidated Statements of Assets and Liabilities as of December 31, 2023 and 2022</w:t>
            </w:r>
          </w:p>
        </w:tc>
        <w:tc>
          <w:tcPr>
            <w:tcW w:w="5340" w:type="dxa"/>
            <w:vAlign w:val="bottom"/>
            <w:gridSpan w:val="4"/>
          </w:tcPr>
          <w:p>
            <w:pPr>
              <w:spacing w:after="0"/>
              <w:rPr>
                <w:sz w:val="13"/>
                <w:szCs w:val="13"/>
                <w:color w:val="auto"/>
              </w:rPr>
            </w:pPr>
          </w:p>
        </w:tc>
        <w:tc>
          <w:tcPr>
            <w:tcW w:w="58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68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Borders>
              <w:bottom w:val="single" w:sz="8" w:color="0000EE"/>
            </w:tcBorders>
            <w:gridSpan w:val="6"/>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7"/>
              </w:rPr>
              <w:t>Consolidated Statements of Operations for the years ended December 31, 2023, 2022 and 2021</w:t>
            </w:r>
          </w:p>
        </w:tc>
        <w:tc>
          <w:tcPr>
            <w:tcW w:w="4720" w:type="dxa"/>
            <w:vAlign w:val="bottom"/>
            <w:tcBorders>
              <w:bottom w:val="single" w:sz="8" w:color="CCEEFF"/>
            </w:tcBorders>
            <w:gridSpan w:val="3"/>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69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660" w:type="dxa"/>
            <w:vAlign w:val="bottom"/>
            <w:gridSpan w:val="9"/>
          </w:tcPr>
          <w:p>
            <w:pPr>
              <w:spacing w:after="0" w:line="153" w:lineRule="exact"/>
              <w:rPr>
                <w:sz w:val="20"/>
                <w:szCs w:val="20"/>
                <w:color w:val="auto"/>
              </w:rPr>
            </w:pPr>
            <w:r>
              <w:rPr>
                <w:rFonts w:ascii="Times New Roman" w:cs="Times New Roman" w:eastAsia="Times New Roman" w:hAnsi="Times New Roman"/>
                <w:sz w:val="16"/>
                <w:szCs w:val="16"/>
                <w:color w:val="0000EE"/>
              </w:rPr>
              <w:t>Consolidated Statements of Changes in Net Assets for the years ended December 31, 2023, 2022 and 2021</w:t>
            </w:r>
          </w:p>
        </w:tc>
        <w:tc>
          <w:tcPr>
            <w:tcW w:w="58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60" w:type="dxa"/>
            <w:vAlign w:val="bottom"/>
            <w:tcBorders>
              <w:top w:val="single" w:sz="8" w:color="0000EE"/>
            </w:tcBorders>
            <w:gridSpan w:val="8"/>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2023, 2022 and 2021</w:t>
            </w:r>
          </w:p>
        </w:tc>
        <w:tc>
          <w:tcPr>
            <w:tcW w:w="400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71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980" w:type="dxa"/>
            <w:vAlign w:val="bottom"/>
            <w:tcBorders>
              <w:top w:val="single" w:sz="8" w:color="0000EE"/>
            </w:tcBorders>
            <w:gridSpan w:val="7"/>
          </w:tcPr>
          <w:p>
            <w:pPr>
              <w:spacing w:after="0" w:line="153" w:lineRule="exact"/>
              <w:rPr>
                <w:sz w:val="20"/>
                <w:szCs w:val="20"/>
                <w:color w:val="auto"/>
              </w:rPr>
            </w:pPr>
            <w:r>
              <w:rPr>
                <w:rFonts w:ascii="Times New Roman" w:cs="Times New Roman" w:eastAsia="Times New Roman" w:hAnsi="Times New Roman"/>
                <w:sz w:val="16"/>
                <w:szCs w:val="16"/>
                <w:color w:val="0000EE"/>
              </w:rPr>
              <w:t>Consolidated Schedule of Investments as of December 31, 2023</w:t>
            </w:r>
          </w:p>
        </w:tc>
        <w:tc>
          <w:tcPr>
            <w:tcW w:w="4680" w:type="dxa"/>
            <w:vAlign w:val="bottom"/>
            <w:tcBorders>
              <w:top w:val="single" w:sz="8" w:color="CCEEFF"/>
            </w:tcBorders>
            <w:gridSpan w:val="2"/>
          </w:tcPr>
          <w:p>
            <w:pPr>
              <w:spacing w:after="0"/>
              <w:rPr>
                <w:sz w:val="13"/>
                <w:szCs w:val="13"/>
                <w:color w:val="auto"/>
              </w:rPr>
            </w:pPr>
          </w:p>
        </w:tc>
        <w:tc>
          <w:tcPr>
            <w:tcW w:w="580" w:type="dxa"/>
            <w:vAlign w:val="bottom"/>
            <w:tcBorders>
              <w:top w:val="single" w:sz="8" w:color="CCEEFF"/>
            </w:tcBorders>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660" w:type="dxa"/>
            <w:vAlign w:val="bottom"/>
            <w:gridSpan w:val="9"/>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Consolidated Schedule of Investments as of December 31, 2022</w:t>
            </w:r>
          </w:p>
        </w:tc>
        <w:tc>
          <w:tcPr>
            <w:tcW w:w="5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76</w:t>
            </w:r>
          </w:p>
        </w:tc>
        <w:tc>
          <w:tcPr>
            <w:tcW w:w="0" w:type="dxa"/>
            <w:vAlign w:val="bottom"/>
          </w:tcPr>
          <w:p>
            <w:pPr>
              <w:spacing w:after="0"/>
              <w:rPr>
                <w:sz w:val="1"/>
                <w:szCs w:val="1"/>
                <w:color w:val="auto"/>
              </w:rPr>
            </w:pPr>
          </w:p>
        </w:tc>
      </w:tr>
      <w:tr>
        <w:trPr>
          <w:trHeight w:val="153"/>
        </w:trPr>
        <w:tc>
          <w:tcPr>
            <w:tcW w:w="20" w:type="dxa"/>
            <w:vAlign w:val="bottom"/>
            <w:tcBorders>
              <w:bottom w:val="single" w:sz="8" w:color="0000EE"/>
            </w:tcBorders>
          </w:tcPr>
          <w:p>
            <w:pPr>
              <w:spacing w:after="0"/>
              <w:rPr>
                <w:sz w:val="13"/>
                <w:szCs w:val="13"/>
                <w:color w:val="auto"/>
              </w:rPr>
            </w:pPr>
          </w:p>
        </w:tc>
        <w:tc>
          <w:tcPr>
            <w:tcW w:w="2720" w:type="dxa"/>
            <w:vAlign w:val="bottom"/>
            <w:tcBorders>
              <w:top w:val="single" w:sz="8" w:color="0000EE"/>
              <w:bottom w:val="single" w:sz="8" w:color="0000EE"/>
            </w:tcBorders>
            <w:gridSpan w:val="2"/>
          </w:tcPr>
          <w:p>
            <w:pPr>
              <w:spacing w:after="0" w:line="153" w:lineRule="exact"/>
              <w:rPr>
                <w:sz w:val="20"/>
                <w:szCs w:val="20"/>
                <w:color w:val="auto"/>
              </w:rPr>
            </w:pPr>
            <w:r>
              <w:rPr>
                <w:rFonts w:ascii="Times New Roman" w:cs="Times New Roman" w:eastAsia="Times New Roman" w:hAnsi="Times New Roman"/>
                <w:sz w:val="16"/>
                <w:szCs w:val="16"/>
                <w:color w:val="0000EE"/>
                <w:w w:val="96"/>
              </w:rPr>
              <w:t>Notes to Consolidated Financial Statements</w:t>
            </w:r>
          </w:p>
        </w:tc>
        <w:tc>
          <w:tcPr>
            <w:tcW w:w="1260" w:type="dxa"/>
            <w:vAlign w:val="bottom"/>
            <w:tcBorders>
              <w:top w:val="single" w:sz="8" w:color="0000EE"/>
            </w:tcBorders>
            <w:gridSpan w:val="2"/>
          </w:tcPr>
          <w:p>
            <w:pPr>
              <w:spacing w:after="0"/>
              <w:rPr>
                <w:sz w:val="13"/>
                <w:szCs w:val="13"/>
                <w:color w:val="auto"/>
              </w:rPr>
            </w:pPr>
          </w:p>
        </w:tc>
        <w:tc>
          <w:tcPr>
            <w:tcW w:w="6680" w:type="dxa"/>
            <w:vAlign w:val="bottom"/>
            <w:tcBorders>
              <w:top w:val="single" w:sz="8" w:color="CCEEFF"/>
            </w:tcBorders>
            <w:gridSpan w:val="5"/>
          </w:tcPr>
          <w:p>
            <w:pPr>
              <w:spacing w:after="0"/>
              <w:rPr>
                <w:sz w:val="13"/>
                <w:szCs w:val="13"/>
                <w:color w:val="auto"/>
              </w:rPr>
            </w:pPr>
          </w:p>
        </w:tc>
        <w:tc>
          <w:tcPr>
            <w:tcW w:w="580" w:type="dxa"/>
            <w:vAlign w:val="bottom"/>
            <w:tcBorders>
              <w:top w:val="single" w:sz="8" w:color="CCEEFF"/>
            </w:tcBorders>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80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60" w:right="20" w:hanging="284"/>
        <w:spacing w:after="0" w:line="270" w:lineRule="auto"/>
        <w:tabs>
          <w:tab w:leader="none" w:pos="5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 Schedules—None. We have omitted financial statement schedules because they are not required or are not applicable, or the required information is shown in the financial statements or notes to the financial statements.</w:t>
      </w:r>
    </w:p>
    <w:p>
      <w:pPr>
        <w:spacing w:after="0" w:line="150"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exhibits are filed as part of this report or hereby incorporated by reference to exhibits previously filed with the SEC:</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2560" w:type="dxa"/>
            <w:vAlign w:val="bottom"/>
            <w:gridSpan w:val="17"/>
            <w:vMerge w:val="restart"/>
          </w:tcPr>
          <w:p>
            <w:pPr>
              <w:spacing w:after="0"/>
              <w:rPr>
                <w:rFonts w:ascii="Times New Roman" w:cs="Times New Roman" w:eastAsia="Times New Roman" w:hAnsi="Times New Roman"/>
                <w:sz w:val="16"/>
                <w:szCs w:val="16"/>
                <w:color w:val="0000EE"/>
                <w:w w:val="97"/>
              </w:rPr>
            </w:pPr>
            <w:hyperlink r:id="rId160">
              <w:r>
                <w:rPr>
                  <w:rFonts w:ascii="Times New Roman" w:cs="Times New Roman" w:eastAsia="Times New Roman" w:hAnsi="Times New Roman"/>
                  <w:sz w:val="16"/>
                  <w:szCs w:val="16"/>
                  <w:color w:val="0000EE"/>
                  <w:w w:val="97"/>
                </w:rPr>
                <w:t>Articles of Amendment and Restatement</w:t>
              </w:r>
            </w:hyperlink>
          </w:p>
        </w:tc>
        <w:tc>
          <w:tcPr>
            <w:tcW w:w="1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3"/>
                <w:szCs w:val="13"/>
                <w:color w:val="0000EE"/>
                <w:w w:val="78"/>
              </w:rPr>
              <w:t>(1)</w:t>
            </w:r>
          </w:p>
        </w:tc>
        <w:tc>
          <w:tcPr>
            <w:tcW w:w="13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28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4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9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30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80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30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118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560" w:type="dxa"/>
            <w:vAlign w:val="bottom"/>
            <w:vMerge w:val="continue"/>
          </w:tcPr>
          <w:p>
            <w:pPr>
              <w:spacing w:after="0"/>
              <w:rPr>
                <w:sz w:val="3"/>
                <w:szCs w:val="3"/>
                <w:color w:val="auto"/>
              </w:rPr>
            </w:pPr>
          </w:p>
        </w:tc>
        <w:tc>
          <w:tcPr>
            <w:tcW w:w="2560" w:type="dxa"/>
            <w:vAlign w:val="bottom"/>
            <w:tcBorders>
              <w:bottom w:val="single" w:sz="8" w:color="0000EE"/>
            </w:tcBorders>
            <w:gridSpan w:val="17"/>
            <w:vMerge w:val="continue"/>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480" w:type="dxa"/>
            <w:vAlign w:val="bottom"/>
            <w:gridSpan w:val="4"/>
            <w:vMerge w:val="restart"/>
          </w:tcPr>
          <w:p>
            <w:pPr>
              <w:spacing w:after="0"/>
              <w:rPr>
                <w:rFonts w:ascii="Times New Roman" w:cs="Times New Roman" w:eastAsia="Times New Roman" w:hAnsi="Times New Roman"/>
                <w:sz w:val="16"/>
                <w:szCs w:val="16"/>
                <w:color w:val="0000EE"/>
                <w:w w:val="96"/>
              </w:rPr>
            </w:pPr>
            <w:hyperlink r:id="rId161">
              <w:r>
                <w:rPr>
                  <w:rFonts w:ascii="Times New Roman" w:cs="Times New Roman" w:eastAsia="Times New Roman" w:hAnsi="Times New Roman"/>
                  <w:sz w:val="16"/>
                  <w:szCs w:val="16"/>
                  <w:color w:val="0000EE"/>
                  <w:w w:val="96"/>
                </w:rPr>
                <w:t>Articles of Amendment</w:t>
              </w:r>
            </w:hyperlink>
          </w:p>
        </w:tc>
        <w:tc>
          <w:tcPr>
            <w:tcW w:w="140" w:type="dxa"/>
            <w:vAlign w:val="bottom"/>
            <w:tcBorders>
              <w:bottom w:val="single" w:sz="8" w:color="0000EE"/>
            </w:tcBorders>
            <w:gridSpan w:val="4"/>
          </w:tcPr>
          <w:p>
            <w:pPr>
              <w:jc w:val="right"/>
              <w:spacing w:after="0" w:line="133" w:lineRule="exact"/>
              <w:rPr>
                <w:rFonts w:ascii="Times New Roman" w:cs="Times New Roman" w:eastAsia="Times New Roman" w:hAnsi="Times New Roman"/>
                <w:sz w:val="13"/>
                <w:szCs w:val="13"/>
                <w:color w:val="0000EE"/>
                <w:w w:val="78"/>
              </w:rPr>
            </w:pPr>
            <w:hyperlink r:id="rId161">
              <w:r>
                <w:rPr>
                  <w:rFonts w:ascii="Times New Roman" w:cs="Times New Roman" w:eastAsia="Times New Roman" w:hAnsi="Times New Roman"/>
                  <w:sz w:val="13"/>
                  <w:szCs w:val="13"/>
                  <w:color w:val="0000EE"/>
                  <w:w w:val="78"/>
                </w:rPr>
                <w:t>(2)</w:t>
              </w:r>
            </w:hyperlink>
          </w:p>
        </w:tc>
        <w:tc>
          <w:tcPr>
            <w:tcW w:w="8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14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4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60" w:type="dxa"/>
            <w:vAlign w:val="bottom"/>
            <w:vMerge w:val="continue"/>
          </w:tcPr>
          <w:p>
            <w:pPr>
              <w:spacing w:after="0"/>
              <w:rPr>
                <w:sz w:val="3"/>
                <w:szCs w:val="3"/>
                <w:color w:val="auto"/>
              </w:rPr>
            </w:pPr>
          </w:p>
        </w:tc>
        <w:tc>
          <w:tcPr>
            <w:tcW w:w="1480" w:type="dxa"/>
            <w:vAlign w:val="bottom"/>
            <w:tcBorders>
              <w:bottom w:val="single" w:sz="8" w:color="0000EE"/>
            </w:tcBorders>
            <w:gridSpan w:val="4"/>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480" w:type="dxa"/>
            <w:vAlign w:val="bottom"/>
            <w:gridSpan w:val="4"/>
            <w:vMerge w:val="restart"/>
          </w:tcPr>
          <w:p>
            <w:pPr>
              <w:spacing w:after="0"/>
              <w:rPr>
                <w:rFonts w:ascii="Times New Roman" w:cs="Times New Roman" w:eastAsia="Times New Roman" w:hAnsi="Times New Roman"/>
                <w:sz w:val="16"/>
                <w:szCs w:val="16"/>
                <w:color w:val="0000EE"/>
                <w:w w:val="96"/>
              </w:rPr>
            </w:pPr>
            <w:hyperlink r:id="rId162">
              <w:r>
                <w:rPr>
                  <w:rFonts w:ascii="Times New Roman" w:cs="Times New Roman" w:eastAsia="Times New Roman" w:hAnsi="Times New Roman"/>
                  <w:sz w:val="16"/>
                  <w:szCs w:val="16"/>
                  <w:color w:val="0000EE"/>
                  <w:w w:val="96"/>
                </w:rPr>
                <w:t>Articles of Amendment</w:t>
              </w:r>
            </w:hyperlink>
          </w:p>
        </w:tc>
        <w:tc>
          <w:tcPr>
            <w:tcW w:w="140" w:type="dxa"/>
            <w:vAlign w:val="bottom"/>
            <w:tcBorders>
              <w:bottom w:val="single" w:sz="8" w:color="0000EE"/>
            </w:tcBorders>
            <w:gridSpan w:val="4"/>
          </w:tcPr>
          <w:p>
            <w:pPr>
              <w:jc w:val="right"/>
              <w:spacing w:after="0" w:line="133" w:lineRule="exact"/>
              <w:rPr>
                <w:rFonts w:ascii="Times New Roman" w:cs="Times New Roman" w:eastAsia="Times New Roman" w:hAnsi="Times New Roman"/>
                <w:sz w:val="13"/>
                <w:szCs w:val="13"/>
                <w:color w:val="0000EE"/>
                <w:w w:val="78"/>
              </w:rPr>
            </w:pPr>
            <w:hyperlink r:id="rId162">
              <w:r>
                <w:rPr>
                  <w:rFonts w:ascii="Times New Roman" w:cs="Times New Roman" w:eastAsia="Times New Roman" w:hAnsi="Times New Roman"/>
                  <w:sz w:val="13"/>
                  <w:szCs w:val="13"/>
                  <w:color w:val="0000EE"/>
                  <w:w w:val="78"/>
                </w:rPr>
                <w:t>(3)</w:t>
              </w:r>
            </w:hyperlink>
          </w:p>
        </w:tc>
        <w:tc>
          <w:tcPr>
            <w:tcW w:w="8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14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4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60" w:type="dxa"/>
            <w:vAlign w:val="bottom"/>
            <w:vMerge w:val="continue"/>
          </w:tcPr>
          <w:p>
            <w:pPr>
              <w:spacing w:after="0"/>
              <w:rPr>
                <w:sz w:val="3"/>
                <w:szCs w:val="3"/>
                <w:color w:val="auto"/>
              </w:rPr>
            </w:pPr>
          </w:p>
        </w:tc>
        <w:tc>
          <w:tcPr>
            <w:tcW w:w="1480" w:type="dxa"/>
            <w:vAlign w:val="bottom"/>
            <w:tcBorders>
              <w:bottom w:val="single" w:sz="8" w:color="0000EE"/>
            </w:tcBorders>
            <w:gridSpan w:val="4"/>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480" w:type="dxa"/>
            <w:vAlign w:val="bottom"/>
            <w:gridSpan w:val="4"/>
            <w:vMerge w:val="restart"/>
          </w:tcPr>
          <w:p>
            <w:pPr>
              <w:spacing w:after="0"/>
              <w:rPr>
                <w:rFonts w:ascii="Times New Roman" w:cs="Times New Roman" w:eastAsia="Times New Roman" w:hAnsi="Times New Roman"/>
                <w:sz w:val="16"/>
                <w:szCs w:val="16"/>
                <w:color w:val="0000EE"/>
                <w:w w:val="96"/>
              </w:rPr>
            </w:pPr>
            <w:hyperlink r:id="rId163">
              <w:r>
                <w:rPr>
                  <w:rFonts w:ascii="Times New Roman" w:cs="Times New Roman" w:eastAsia="Times New Roman" w:hAnsi="Times New Roman"/>
                  <w:sz w:val="16"/>
                  <w:szCs w:val="16"/>
                  <w:color w:val="0000EE"/>
                  <w:w w:val="96"/>
                </w:rPr>
                <w:t>Articles of Amendment</w:t>
              </w:r>
            </w:hyperlink>
          </w:p>
        </w:tc>
        <w:tc>
          <w:tcPr>
            <w:tcW w:w="140" w:type="dxa"/>
            <w:vAlign w:val="bottom"/>
            <w:tcBorders>
              <w:bottom w:val="single" w:sz="8" w:color="0000EE"/>
            </w:tcBorders>
            <w:gridSpan w:val="4"/>
          </w:tcPr>
          <w:p>
            <w:pPr>
              <w:jc w:val="right"/>
              <w:spacing w:after="0" w:line="133" w:lineRule="exact"/>
              <w:rPr>
                <w:rFonts w:ascii="Times New Roman" w:cs="Times New Roman" w:eastAsia="Times New Roman" w:hAnsi="Times New Roman"/>
                <w:sz w:val="13"/>
                <w:szCs w:val="13"/>
                <w:color w:val="0000EE"/>
                <w:w w:val="78"/>
              </w:rPr>
            </w:pPr>
            <w:hyperlink r:id="rId163">
              <w:r>
                <w:rPr>
                  <w:rFonts w:ascii="Times New Roman" w:cs="Times New Roman" w:eastAsia="Times New Roman" w:hAnsi="Times New Roman"/>
                  <w:sz w:val="13"/>
                  <w:szCs w:val="13"/>
                  <w:color w:val="0000EE"/>
                  <w:w w:val="78"/>
                </w:rPr>
                <w:t>(4)</w:t>
              </w:r>
            </w:hyperlink>
          </w:p>
        </w:tc>
        <w:tc>
          <w:tcPr>
            <w:tcW w:w="8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14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4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60" w:type="dxa"/>
            <w:vAlign w:val="bottom"/>
            <w:vMerge w:val="continue"/>
          </w:tcPr>
          <w:p>
            <w:pPr>
              <w:spacing w:after="0"/>
              <w:rPr>
                <w:sz w:val="3"/>
                <w:szCs w:val="3"/>
                <w:color w:val="auto"/>
              </w:rPr>
            </w:pPr>
          </w:p>
        </w:tc>
        <w:tc>
          <w:tcPr>
            <w:tcW w:w="1480" w:type="dxa"/>
            <w:vAlign w:val="bottom"/>
            <w:tcBorders>
              <w:bottom w:val="single" w:sz="8" w:color="0000EE"/>
            </w:tcBorders>
            <w:gridSpan w:val="4"/>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2460" w:type="dxa"/>
            <w:vAlign w:val="bottom"/>
            <w:gridSpan w:val="16"/>
            <w:vMerge w:val="restart"/>
          </w:tcPr>
          <w:p>
            <w:pPr>
              <w:spacing w:after="0"/>
              <w:rPr>
                <w:rFonts w:ascii="Times New Roman" w:cs="Times New Roman" w:eastAsia="Times New Roman" w:hAnsi="Times New Roman"/>
                <w:sz w:val="16"/>
                <w:szCs w:val="16"/>
                <w:color w:val="0000EE"/>
                <w:w w:val="96"/>
              </w:rPr>
            </w:pPr>
            <w:hyperlink r:id="rId164">
              <w:r>
                <w:rPr>
                  <w:rFonts w:ascii="Times New Roman" w:cs="Times New Roman" w:eastAsia="Times New Roman" w:hAnsi="Times New Roman"/>
                  <w:sz w:val="16"/>
                  <w:szCs w:val="16"/>
                  <w:color w:val="0000EE"/>
                  <w:w w:val="96"/>
                </w:rPr>
                <w:t>Second Amended and Restated Bylaws</w:t>
              </w:r>
            </w:hyperlink>
          </w:p>
        </w:tc>
        <w:tc>
          <w:tcPr>
            <w:tcW w:w="160" w:type="dxa"/>
            <w:vAlign w:val="bottom"/>
            <w:tcBorders>
              <w:bottom w:val="single" w:sz="8" w:color="0000EE"/>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0000EE"/>
                <w:w w:val="92"/>
              </w:rPr>
              <w:t>(4)</w:t>
            </w:r>
          </w:p>
        </w:tc>
        <w:tc>
          <w:tcPr>
            <w:tcW w:w="14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4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560" w:type="dxa"/>
            <w:vAlign w:val="bottom"/>
            <w:vMerge w:val="continue"/>
          </w:tcPr>
          <w:p>
            <w:pPr>
              <w:spacing w:after="0"/>
              <w:rPr>
                <w:sz w:val="3"/>
                <w:szCs w:val="3"/>
                <w:color w:val="auto"/>
              </w:rPr>
            </w:pPr>
          </w:p>
        </w:tc>
        <w:tc>
          <w:tcPr>
            <w:tcW w:w="2460" w:type="dxa"/>
            <w:vAlign w:val="bottom"/>
            <w:tcBorders>
              <w:bottom w:val="single" w:sz="8" w:color="0000EE"/>
            </w:tcBorders>
            <w:gridSpan w:val="16"/>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2220" w:type="dxa"/>
            <w:vAlign w:val="bottom"/>
            <w:gridSpan w:val="13"/>
            <w:vMerge w:val="restart"/>
          </w:tcPr>
          <w:p>
            <w:pPr>
              <w:spacing w:after="0"/>
              <w:rPr>
                <w:rFonts w:ascii="Times New Roman" w:cs="Times New Roman" w:eastAsia="Times New Roman" w:hAnsi="Times New Roman"/>
                <w:sz w:val="16"/>
                <w:szCs w:val="16"/>
                <w:color w:val="0000EE"/>
                <w:w w:val="96"/>
              </w:rPr>
            </w:pPr>
            <w:hyperlink r:id="rId165">
              <w:r>
                <w:rPr>
                  <w:rFonts w:ascii="Times New Roman" w:cs="Times New Roman" w:eastAsia="Times New Roman" w:hAnsi="Times New Roman"/>
                  <w:sz w:val="16"/>
                  <w:szCs w:val="16"/>
                  <w:color w:val="0000EE"/>
                  <w:w w:val="96"/>
                </w:rPr>
                <w:t>Form of Common Stock Certificate</w:t>
              </w:r>
            </w:hyperlink>
          </w:p>
        </w:tc>
        <w:tc>
          <w:tcPr>
            <w:tcW w:w="160" w:type="dxa"/>
            <w:vAlign w:val="bottom"/>
            <w:tcBorders>
              <w:bottom w:val="single" w:sz="8" w:color="0000EE"/>
            </w:tcBorders>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0000EE"/>
                <w:w w:val="92"/>
              </w:rPr>
              <w:t>(5)</w:t>
            </w:r>
          </w:p>
        </w:tc>
        <w:tc>
          <w:tcPr>
            <w:tcW w:w="1680" w:type="dxa"/>
            <w:vAlign w:val="bottom"/>
            <w:gridSpan w:val="5"/>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4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60" w:type="dxa"/>
            <w:vAlign w:val="bottom"/>
            <w:vMerge w:val="continue"/>
          </w:tcPr>
          <w:p>
            <w:pPr>
              <w:spacing w:after="0"/>
              <w:rPr>
                <w:sz w:val="3"/>
                <w:szCs w:val="3"/>
                <w:color w:val="auto"/>
              </w:rPr>
            </w:pPr>
          </w:p>
        </w:tc>
        <w:tc>
          <w:tcPr>
            <w:tcW w:w="2220" w:type="dxa"/>
            <w:vAlign w:val="bottom"/>
            <w:tcBorders>
              <w:bottom w:val="single" w:sz="8" w:color="0000EE"/>
            </w:tcBorders>
            <w:gridSpan w:val="13"/>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gridSpan w:val="5"/>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7340" w:type="dxa"/>
            <w:vAlign w:val="bottom"/>
            <w:gridSpan w:val="38"/>
            <w:vMerge w:val="restart"/>
          </w:tcPr>
          <w:p>
            <w:pPr>
              <w:spacing w:after="0"/>
              <w:rPr>
                <w:rFonts w:ascii="Times New Roman" w:cs="Times New Roman" w:eastAsia="Times New Roman" w:hAnsi="Times New Roman"/>
                <w:sz w:val="16"/>
                <w:szCs w:val="16"/>
                <w:color w:val="0000EE"/>
                <w:w w:val="97"/>
              </w:rPr>
            </w:pPr>
            <w:hyperlink r:id="rId166">
              <w:r>
                <w:rPr>
                  <w:rFonts w:ascii="Times New Roman" w:cs="Times New Roman" w:eastAsia="Times New Roman" w:hAnsi="Times New Roman"/>
                  <w:sz w:val="16"/>
                  <w:szCs w:val="16"/>
                  <w:color w:val="0000EE"/>
                  <w:w w:val="97"/>
                </w:rPr>
                <w:t>Base Indenture, dated March 28, 2018, by and between the Registrant and U.S. Bank National Association, as trustee</w:t>
              </w:r>
            </w:hyperlink>
          </w:p>
        </w:tc>
        <w:tc>
          <w:tcPr>
            <w:tcW w:w="160" w:type="dxa"/>
            <w:vAlign w:val="bottom"/>
            <w:tcBorders>
              <w:bottom w:val="single" w:sz="8" w:color="0000EE"/>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0000EE"/>
                <w:w w:val="92"/>
              </w:rPr>
              <w:t>(6)</w:t>
            </w:r>
          </w:p>
        </w:tc>
        <w:tc>
          <w:tcPr>
            <w:tcW w:w="8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60" w:type="dxa"/>
            <w:vAlign w:val="bottom"/>
            <w:vMerge w:val="continue"/>
          </w:tcPr>
          <w:p>
            <w:pPr>
              <w:spacing w:after="0"/>
              <w:rPr>
                <w:sz w:val="3"/>
                <w:szCs w:val="3"/>
                <w:color w:val="auto"/>
              </w:rPr>
            </w:pPr>
          </w:p>
        </w:tc>
        <w:tc>
          <w:tcPr>
            <w:tcW w:w="7340" w:type="dxa"/>
            <w:vAlign w:val="bottom"/>
            <w:tcBorders>
              <w:bottom w:val="single" w:sz="8" w:color="0000EE"/>
            </w:tcBorders>
            <w:gridSpan w:val="38"/>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4.3</w:t>
            </w:r>
          </w:p>
        </w:tc>
        <w:tc>
          <w:tcPr>
            <w:tcW w:w="10700" w:type="dxa"/>
            <w:vAlign w:val="bottom"/>
            <w:tcBorders>
              <w:bottom w:val="single" w:sz="8" w:color="0000EE"/>
            </w:tcBorders>
            <w:gridSpan w:val="51"/>
          </w:tcPr>
          <w:p>
            <w:pPr>
              <w:spacing w:after="0" w:line="168" w:lineRule="exact"/>
              <w:rPr>
                <w:rFonts w:ascii="Times New Roman" w:cs="Times New Roman" w:eastAsia="Times New Roman" w:hAnsi="Times New Roman"/>
                <w:sz w:val="16"/>
                <w:szCs w:val="16"/>
                <w:color w:val="0000EE"/>
                <w:w w:val="98"/>
              </w:rPr>
            </w:pPr>
            <w:hyperlink r:id="rId167">
              <w:r>
                <w:rPr>
                  <w:rFonts w:ascii="Times New Roman" w:cs="Times New Roman" w:eastAsia="Times New Roman" w:hAnsi="Times New Roman"/>
                  <w:sz w:val="16"/>
                  <w:szCs w:val="16"/>
                  <w:color w:val="0000EE"/>
                  <w:w w:val="98"/>
                </w:rPr>
                <w:t>Second Supplemental Indenture, dated December 17, 2021, relating to the 6.00% Notes due 2026, by and between the Company and U.S. Bank National Association, as</w:t>
              </w:r>
            </w:hyperlink>
          </w:p>
        </w:tc>
        <w:tc>
          <w:tcPr>
            <w:tcW w:w="0" w:type="dxa"/>
            <w:vAlign w:val="bottom"/>
          </w:tcPr>
          <w:p>
            <w:pPr>
              <w:spacing w:after="0"/>
              <w:rPr>
                <w:sz w:val="1"/>
                <w:szCs w:val="1"/>
                <w:color w:val="auto"/>
              </w:rPr>
            </w:pPr>
          </w:p>
        </w:tc>
      </w:tr>
      <w:tr>
        <w:trPr>
          <w:trHeight w:val="145"/>
        </w:trPr>
        <w:tc>
          <w:tcPr>
            <w:tcW w:w="560" w:type="dxa"/>
            <w:vAlign w:val="bottom"/>
          </w:tcPr>
          <w:p>
            <w:pPr>
              <w:spacing w:after="0"/>
              <w:rPr>
                <w:sz w:val="12"/>
                <w:szCs w:val="12"/>
                <w:color w:val="auto"/>
              </w:rPr>
            </w:pPr>
          </w:p>
        </w:tc>
        <w:tc>
          <w:tcPr>
            <w:tcW w:w="420" w:type="dxa"/>
            <w:vAlign w:val="bottom"/>
            <w:vMerge w:val="restart"/>
          </w:tcPr>
          <w:p>
            <w:pPr>
              <w:spacing w:after="0"/>
              <w:rPr>
                <w:rFonts w:ascii="Times New Roman" w:cs="Times New Roman" w:eastAsia="Times New Roman" w:hAnsi="Times New Roman"/>
                <w:sz w:val="16"/>
                <w:szCs w:val="16"/>
                <w:color w:val="0000EE"/>
                <w:w w:val="93"/>
              </w:rPr>
            </w:pPr>
            <w:hyperlink r:id="rId167">
              <w:r>
                <w:rPr>
                  <w:rFonts w:ascii="Times New Roman" w:cs="Times New Roman" w:eastAsia="Times New Roman" w:hAnsi="Times New Roman"/>
                  <w:sz w:val="16"/>
                  <w:szCs w:val="16"/>
                  <w:color w:val="0000EE"/>
                  <w:w w:val="93"/>
                </w:rPr>
                <w:t>trustee</w:t>
              </w:r>
            </w:hyperlink>
          </w:p>
        </w:tc>
        <w:tc>
          <w:tcPr>
            <w:tcW w:w="140" w:type="dxa"/>
            <w:vAlign w:val="bottom"/>
            <w:tcBorders>
              <w:bottom w:val="single" w:sz="8" w:color="0000EE"/>
            </w:tcBorders>
            <w:gridSpan w:val="2"/>
          </w:tcPr>
          <w:p>
            <w:pPr>
              <w:jc w:val="right"/>
              <w:spacing w:after="0" w:line="133" w:lineRule="exact"/>
              <w:rPr>
                <w:rFonts w:ascii="Times New Roman" w:cs="Times New Roman" w:eastAsia="Times New Roman" w:hAnsi="Times New Roman"/>
                <w:sz w:val="13"/>
                <w:szCs w:val="13"/>
                <w:color w:val="0000EE"/>
                <w:w w:val="78"/>
              </w:rPr>
            </w:pPr>
            <w:hyperlink r:id="rId167">
              <w:r>
                <w:rPr>
                  <w:rFonts w:ascii="Times New Roman" w:cs="Times New Roman" w:eastAsia="Times New Roman" w:hAnsi="Times New Roman"/>
                  <w:sz w:val="13"/>
                  <w:szCs w:val="13"/>
                  <w:color w:val="0000EE"/>
                  <w:w w:val="78"/>
                </w:rPr>
                <w:t>(7)</w:t>
              </w:r>
            </w:hyperlink>
          </w:p>
        </w:tc>
        <w:tc>
          <w:tcPr>
            <w:tcW w:w="10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gridSpan w:val="2"/>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100" w:type="dxa"/>
            <w:vAlign w:val="bottom"/>
            <w:gridSpan w:val="8"/>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260" w:type="dxa"/>
            <w:vAlign w:val="bottom"/>
            <w:gridSpan w:val="4"/>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42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100" w:type="dxa"/>
            <w:vAlign w:val="bottom"/>
            <w:gridSpan w:val="8"/>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EE"/>
                <w:w w:val="92"/>
              </w:rPr>
              <w:t>(7)</w:t>
            </w:r>
          </w:p>
        </w:tc>
        <w:tc>
          <w:tcPr>
            <w:tcW w:w="4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560" w:type="dxa"/>
            <w:vAlign w:val="bottom"/>
            <w:vMerge w:val="continue"/>
          </w:tcPr>
          <w:p>
            <w:pPr>
              <w:spacing w:after="0"/>
              <w:rPr>
                <w:sz w:val="12"/>
                <w:szCs w:val="12"/>
                <w:color w:val="auto"/>
              </w:rPr>
            </w:pPr>
          </w:p>
        </w:tc>
        <w:tc>
          <w:tcPr>
            <w:tcW w:w="4620" w:type="dxa"/>
            <w:vAlign w:val="bottom"/>
            <w:gridSpan w:val="24"/>
            <w:vMerge w:val="restart"/>
          </w:tcPr>
          <w:p>
            <w:pPr>
              <w:spacing w:after="0"/>
              <w:rPr>
                <w:rFonts w:ascii="Times New Roman" w:cs="Times New Roman" w:eastAsia="Times New Roman" w:hAnsi="Times New Roman"/>
                <w:sz w:val="16"/>
                <w:szCs w:val="16"/>
                <w:color w:val="0000EE"/>
                <w:w w:val="97"/>
              </w:rPr>
            </w:pPr>
            <w:hyperlink r:id="rId168">
              <w:r>
                <w:rPr>
                  <w:rFonts w:ascii="Times New Roman" w:cs="Times New Roman" w:eastAsia="Times New Roman" w:hAnsi="Times New Roman"/>
                  <w:sz w:val="16"/>
                  <w:szCs w:val="16"/>
                  <w:color w:val="0000EE"/>
                  <w:w w:val="97"/>
                </w:rPr>
                <w:t>Form of 6.00% Notes due 2026 (incorporated by reference to Exhibit 4.3)</w:t>
              </w:r>
            </w:hyperlink>
          </w:p>
        </w:tc>
        <w:tc>
          <w:tcPr>
            <w:tcW w:w="160" w:type="dxa"/>
            <w:vAlign w:val="bottom"/>
            <w:tcBorders>
              <w:bottom w:val="single" w:sz="8" w:color="0000EE"/>
            </w:tcBorders>
            <w:gridSpan w:val="2"/>
            <w:vMerge w:val="continue"/>
          </w:tcPr>
          <w:p>
            <w:pPr>
              <w:spacing w:after="0"/>
              <w:rPr>
                <w:sz w:val="12"/>
                <w:szCs w:val="12"/>
                <w:color w:val="auto"/>
              </w:rPr>
            </w:pPr>
          </w:p>
        </w:tc>
        <w:tc>
          <w:tcPr>
            <w:tcW w:w="4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260" w:type="dxa"/>
            <w:vAlign w:val="bottom"/>
            <w:gridSpan w:val="4"/>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560" w:type="dxa"/>
            <w:vAlign w:val="bottom"/>
            <w:vMerge w:val="continue"/>
          </w:tcPr>
          <w:p>
            <w:pPr>
              <w:spacing w:after="0"/>
              <w:rPr>
                <w:sz w:val="3"/>
                <w:szCs w:val="3"/>
                <w:color w:val="auto"/>
              </w:rPr>
            </w:pPr>
          </w:p>
        </w:tc>
        <w:tc>
          <w:tcPr>
            <w:tcW w:w="4620" w:type="dxa"/>
            <w:vAlign w:val="bottom"/>
            <w:tcBorders>
              <w:bottom w:val="single" w:sz="8" w:color="0000EE"/>
            </w:tcBorders>
            <w:gridSpan w:val="24"/>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560" w:type="dxa"/>
            <w:vAlign w:val="bottom"/>
            <w:gridSpan w:val="6"/>
            <w:vMerge w:val="restart"/>
          </w:tcPr>
          <w:p>
            <w:pPr>
              <w:spacing w:after="0"/>
              <w:rPr>
                <w:rFonts w:ascii="Times New Roman" w:cs="Times New Roman" w:eastAsia="Times New Roman" w:hAnsi="Times New Roman"/>
                <w:sz w:val="16"/>
                <w:szCs w:val="16"/>
                <w:color w:val="0000EE"/>
                <w:w w:val="96"/>
              </w:rPr>
            </w:pPr>
            <w:hyperlink r:id="rId169">
              <w:r>
                <w:rPr>
                  <w:rFonts w:ascii="Times New Roman" w:cs="Times New Roman" w:eastAsia="Times New Roman" w:hAnsi="Times New Roman"/>
                  <w:sz w:val="16"/>
                  <w:szCs w:val="16"/>
                  <w:color w:val="0000EE"/>
                  <w:w w:val="96"/>
                </w:rPr>
                <w:t>Description of Securities</w:t>
              </w:r>
            </w:hyperlink>
          </w:p>
        </w:tc>
        <w:tc>
          <w:tcPr>
            <w:tcW w:w="140" w:type="dxa"/>
            <w:vAlign w:val="bottom"/>
            <w:tcBorders>
              <w:bottom w:val="single" w:sz="8" w:color="0000EE"/>
            </w:tcBorders>
            <w:gridSpan w:val="3"/>
          </w:tcPr>
          <w:p>
            <w:pPr>
              <w:jc w:val="right"/>
              <w:spacing w:after="0" w:line="133" w:lineRule="exact"/>
              <w:rPr>
                <w:rFonts w:ascii="Times New Roman" w:cs="Times New Roman" w:eastAsia="Times New Roman" w:hAnsi="Times New Roman"/>
                <w:sz w:val="13"/>
                <w:szCs w:val="13"/>
                <w:color w:val="0000EE"/>
                <w:w w:val="78"/>
              </w:rPr>
            </w:pPr>
            <w:hyperlink r:id="rId169">
              <w:r>
                <w:rPr>
                  <w:rFonts w:ascii="Times New Roman" w:cs="Times New Roman" w:eastAsia="Times New Roman" w:hAnsi="Times New Roman"/>
                  <w:sz w:val="13"/>
                  <w:szCs w:val="13"/>
                  <w:color w:val="0000EE"/>
                  <w:w w:val="78"/>
                </w:rPr>
                <w:t>(8)</w:t>
              </w:r>
            </w:hyperlink>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2100" w:type="dxa"/>
            <w:vAlign w:val="bottom"/>
            <w:gridSpan w:val="8"/>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600" w:type="dxa"/>
            <w:vAlign w:val="bottom"/>
            <w:gridSpan w:val="2"/>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260" w:type="dxa"/>
            <w:vAlign w:val="bottom"/>
            <w:gridSpan w:val="4"/>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60" w:type="dxa"/>
            <w:vAlign w:val="bottom"/>
            <w:vMerge w:val="continue"/>
          </w:tcPr>
          <w:p>
            <w:pPr>
              <w:spacing w:after="0"/>
              <w:rPr>
                <w:sz w:val="3"/>
                <w:szCs w:val="3"/>
                <w:color w:val="auto"/>
              </w:rPr>
            </w:pPr>
          </w:p>
        </w:tc>
        <w:tc>
          <w:tcPr>
            <w:tcW w:w="1560" w:type="dxa"/>
            <w:vAlign w:val="bottom"/>
            <w:tcBorders>
              <w:bottom w:val="single" w:sz="8" w:color="0000EE"/>
            </w:tcBorders>
            <w:gridSpan w:val="6"/>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gridSpan w:val="2"/>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100" w:type="dxa"/>
            <w:vAlign w:val="bottom"/>
            <w:gridSpan w:val="8"/>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800" w:type="dxa"/>
            <w:vAlign w:val="bottom"/>
            <w:gridSpan w:val="10"/>
            <w:vMerge w:val="restart"/>
          </w:tcPr>
          <w:p>
            <w:pPr>
              <w:spacing w:after="0"/>
              <w:rPr>
                <w:rFonts w:ascii="Times New Roman" w:cs="Times New Roman" w:eastAsia="Times New Roman" w:hAnsi="Times New Roman"/>
                <w:sz w:val="16"/>
                <w:szCs w:val="16"/>
                <w:color w:val="0000EE"/>
                <w:w w:val="96"/>
              </w:rPr>
            </w:pPr>
            <w:hyperlink r:id="rId170">
              <w:r>
                <w:rPr>
                  <w:rFonts w:ascii="Times New Roman" w:cs="Times New Roman" w:eastAsia="Times New Roman" w:hAnsi="Times New Roman"/>
                  <w:sz w:val="16"/>
                  <w:szCs w:val="16"/>
                  <w:color w:val="0000EE"/>
                  <w:w w:val="96"/>
                </w:rPr>
                <w:t>Dividend Reinvestment Plan</w:t>
              </w:r>
            </w:hyperlink>
          </w:p>
        </w:tc>
        <w:tc>
          <w:tcPr>
            <w:tcW w:w="160" w:type="dxa"/>
            <w:vAlign w:val="bottom"/>
            <w:tcBorders>
              <w:bottom w:val="single" w:sz="8" w:color="0000EE"/>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0000EE"/>
                <w:w w:val="92"/>
              </w:rPr>
              <w:t>(1)</w:t>
            </w:r>
          </w:p>
        </w:tc>
        <w:tc>
          <w:tcPr>
            <w:tcW w:w="2100" w:type="dxa"/>
            <w:vAlign w:val="bottom"/>
            <w:gridSpan w:val="8"/>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280" w:type="dxa"/>
            <w:vAlign w:val="bottom"/>
            <w:vMerge w:val="restart"/>
          </w:tcPr>
          <w:p>
            <w:pPr>
              <w:spacing w:after="0"/>
              <w:rPr>
                <w:sz w:val="12"/>
                <w:szCs w:val="12"/>
                <w:color w:val="auto"/>
              </w:rPr>
            </w:pPr>
          </w:p>
        </w:tc>
        <w:tc>
          <w:tcPr>
            <w:tcW w:w="160" w:type="dxa"/>
            <w:vAlign w:val="bottom"/>
            <w:gridSpan w:val="2"/>
            <w:vMerge w:val="restart"/>
          </w:tcPr>
          <w:p>
            <w:pPr>
              <w:spacing w:after="0"/>
              <w:rPr>
                <w:sz w:val="12"/>
                <w:szCs w:val="12"/>
                <w:color w:val="auto"/>
              </w:rPr>
            </w:pPr>
          </w:p>
        </w:tc>
        <w:tc>
          <w:tcPr>
            <w:tcW w:w="600" w:type="dxa"/>
            <w:vAlign w:val="bottom"/>
            <w:gridSpan w:val="2"/>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260" w:type="dxa"/>
            <w:vAlign w:val="bottom"/>
            <w:gridSpan w:val="4"/>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60" w:type="dxa"/>
            <w:vAlign w:val="bottom"/>
            <w:vMerge w:val="continue"/>
          </w:tcPr>
          <w:p>
            <w:pPr>
              <w:spacing w:after="0"/>
              <w:rPr>
                <w:sz w:val="3"/>
                <w:szCs w:val="3"/>
                <w:color w:val="auto"/>
              </w:rPr>
            </w:pPr>
          </w:p>
        </w:tc>
        <w:tc>
          <w:tcPr>
            <w:tcW w:w="1800" w:type="dxa"/>
            <w:vAlign w:val="bottom"/>
            <w:tcBorders>
              <w:bottom w:val="single" w:sz="8" w:color="0000EE"/>
            </w:tcBorders>
            <w:gridSpan w:val="10"/>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2100" w:type="dxa"/>
            <w:vAlign w:val="bottom"/>
            <w:gridSpan w:val="8"/>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4480" w:type="dxa"/>
            <w:vAlign w:val="bottom"/>
            <w:gridSpan w:val="23"/>
            <w:vMerge w:val="restart"/>
          </w:tcPr>
          <w:p>
            <w:pPr>
              <w:spacing w:after="0"/>
              <w:rPr>
                <w:rFonts w:ascii="Times New Roman" w:cs="Times New Roman" w:eastAsia="Times New Roman" w:hAnsi="Times New Roman"/>
                <w:sz w:val="16"/>
                <w:szCs w:val="16"/>
                <w:color w:val="0000EE"/>
                <w:w w:val="97"/>
              </w:rPr>
            </w:pPr>
            <w:hyperlink r:id="rId171">
              <w:r>
                <w:rPr>
                  <w:rFonts w:ascii="Times New Roman" w:cs="Times New Roman" w:eastAsia="Times New Roman" w:hAnsi="Times New Roman"/>
                  <w:sz w:val="16"/>
                  <w:szCs w:val="16"/>
                  <w:color w:val="0000EE"/>
                  <w:w w:val="97"/>
                </w:rPr>
                <w:t>SuRo Capital Corp. Amended and Restated 2019 Equity Incentive Plan</w:t>
              </w:r>
            </w:hyperlink>
          </w:p>
        </w:tc>
        <w:tc>
          <w:tcPr>
            <w:tcW w:w="160" w:type="dxa"/>
            <w:vAlign w:val="bottom"/>
            <w:tcBorders>
              <w:bottom w:val="single" w:sz="8" w:color="0000EE"/>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0000EE"/>
                <w:w w:val="78"/>
              </w:rPr>
              <w:t>(9)</w:t>
            </w:r>
          </w:p>
        </w:tc>
        <w:tc>
          <w:tcPr>
            <w:tcW w:w="600" w:type="dxa"/>
            <w:vAlign w:val="bottom"/>
            <w:gridSpan w:val="2"/>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260" w:type="dxa"/>
            <w:vAlign w:val="bottom"/>
            <w:gridSpan w:val="4"/>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560" w:type="dxa"/>
            <w:vAlign w:val="bottom"/>
            <w:vMerge w:val="continue"/>
          </w:tcPr>
          <w:p>
            <w:pPr>
              <w:spacing w:after="0"/>
              <w:rPr>
                <w:sz w:val="3"/>
                <w:szCs w:val="3"/>
                <w:color w:val="auto"/>
              </w:rPr>
            </w:pPr>
          </w:p>
        </w:tc>
        <w:tc>
          <w:tcPr>
            <w:tcW w:w="4480" w:type="dxa"/>
            <w:vAlign w:val="bottom"/>
            <w:tcBorders>
              <w:bottom w:val="single" w:sz="8" w:color="0000EE"/>
            </w:tcBorders>
            <w:gridSpan w:val="23"/>
            <w:vMerge w:val="continue"/>
          </w:tcPr>
          <w:p>
            <w:pPr>
              <w:spacing w:after="0"/>
              <w:rPr>
                <w:sz w:val="3"/>
                <w:szCs w:val="3"/>
                <w:color w:val="auto"/>
              </w:rPr>
            </w:pPr>
          </w:p>
        </w:tc>
        <w:tc>
          <w:tcPr>
            <w:tcW w:w="160" w:type="dxa"/>
            <w:vAlign w:val="bottom"/>
            <w:gridSpan w:val="2"/>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5300" w:type="dxa"/>
            <w:vAlign w:val="bottom"/>
            <w:gridSpan w:val="28"/>
            <w:vMerge w:val="restart"/>
          </w:tcPr>
          <w:p>
            <w:pPr>
              <w:spacing w:after="0"/>
              <w:rPr>
                <w:rFonts w:ascii="Times New Roman" w:cs="Times New Roman" w:eastAsia="Times New Roman" w:hAnsi="Times New Roman"/>
                <w:sz w:val="16"/>
                <w:szCs w:val="16"/>
                <w:color w:val="0000EE"/>
                <w:w w:val="97"/>
              </w:rPr>
            </w:pPr>
            <w:hyperlink r:id="rId172">
              <w:r>
                <w:rPr>
                  <w:rFonts w:ascii="Times New Roman" w:cs="Times New Roman" w:eastAsia="Times New Roman" w:hAnsi="Times New Roman"/>
                  <w:sz w:val="16"/>
                  <w:szCs w:val="16"/>
                  <w:color w:val="0000EE"/>
                  <w:w w:val="97"/>
                </w:rPr>
                <w:t>Form of SuRo Capital Corp. Restricted Stock Agreement (Non-Employee Directors)</w:t>
              </w:r>
            </w:hyperlink>
          </w:p>
        </w:tc>
        <w:tc>
          <w:tcPr>
            <w:tcW w:w="160" w:type="dxa"/>
            <w:vAlign w:val="bottom"/>
            <w:tcBorders>
              <w:bottom w:val="single" w:sz="8" w:color="0000EE"/>
            </w:tcBorders>
            <w:gridSpan w:val="3"/>
          </w:tcPr>
          <w:p>
            <w:pPr>
              <w:jc w:val="right"/>
              <w:spacing w:after="0" w:line="124" w:lineRule="exact"/>
              <w:rPr>
                <w:sz w:val="20"/>
                <w:szCs w:val="20"/>
                <w:color w:val="auto"/>
              </w:rPr>
            </w:pPr>
            <w:r>
              <w:rPr>
                <w:rFonts w:ascii="Times New Roman" w:cs="Times New Roman" w:eastAsia="Times New Roman" w:hAnsi="Times New Roman"/>
                <w:sz w:val="13"/>
                <w:szCs w:val="13"/>
                <w:color w:val="0000EE"/>
                <w:w w:val="92"/>
              </w:rPr>
              <w:t>(9)</w:t>
            </w:r>
          </w:p>
        </w:tc>
        <w:tc>
          <w:tcPr>
            <w:tcW w:w="2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260" w:type="dxa"/>
            <w:vAlign w:val="bottom"/>
            <w:gridSpan w:val="4"/>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60" w:type="dxa"/>
            <w:vAlign w:val="bottom"/>
            <w:vMerge w:val="continue"/>
          </w:tcPr>
          <w:p>
            <w:pPr>
              <w:spacing w:after="0"/>
              <w:rPr>
                <w:sz w:val="3"/>
                <w:szCs w:val="3"/>
                <w:color w:val="auto"/>
              </w:rPr>
            </w:pPr>
          </w:p>
        </w:tc>
        <w:tc>
          <w:tcPr>
            <w:tcW w:w="5300" w:type="dxa"/>
            <w:vAlign w:val="bottom"/>
            <w:tcBorders>
              <w:bottom w:val="single" w:sz="8" w:color="0000EE"/>
            </w:tcBorders>
            <w:gridSpan w:val="28"/>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5240" w:type="dxa"/>
            <w:vAlign w:val="bottom"/>
            <w:gridSpan w:val="27"/>
            <w:vMerge w:val="restart"/>
          </w:tcPr>
          <w:p>
            <w:pPr>
              <w:spacing w:after="0"/>
              <w:rPr>
                <w:rFonts w:ascii="Times New Roman" w:cs="Times New Roman" w:eastAsia="Times New Roman" w:hAnsi="Times New Roman"/>
                <w:sz w:val="16"/>
                <w:szCs w:val="16"/>
                <w:color w:val="0000EE"/>
                <w:w w:val="97"/>
              </w:rPr>
            </w:pPr>
            <w:hyperlink r:id="rId173">
              <w:r>
                <w:rPr>
                  <w:rFonts w:ascii="Times New Roman" w:cs="Times New Roman" w:eastAsia="Times New Roman" w:hAnsi="Times New Roman"/>
                  <w:sz w:val="16"/>
                  <w:szCs w:val="16"/>
                  <w:color w:val="0000EE"/>
                  <w:w w:val="97"/>
                </w:rPr>
                <w:t>Form of SuRo Capital Corp. Restricted Stock Agreement (Employees and Officers)</w:t>
              </w:r>
            </w:hyperlink>
          </w:p>
        </w:tc>
        <w:tc>
          <w:tcPr>
            <w:tcW w:w="140" w:type="dxa"/>
            <w:vAlign w:val="bottom"/>
            <w:tcBorders>
              <w:bottom w:val="single" w:sz="8" w:color="0000EE"/>
            </w:tcBorders>
            <w:gridSpan w:val="3"/>
          </w:tcPr>
          <w:p>
            <w:pPr>
              <w:jc w:val="right"/>
              <w:spacing w:after="0" w:line="133" w:lineRule="exact"/>
              <w:rPr>
                <w:rFonts w:ascii="Times New Roman" w:cs="Times New Roman" w:eastAsia="Times New Roman" w:hAnsi="Times New Roman"/>
                <w:sz w:val="13"/>
                <w:szCs w:val="13"/>
                <w:color w:val="0000EE"/>
                <w:w w:val="78"/>
              </w:rPr>
            </w:pPr>
            <w:hyperlink r:id="rId173">
              <w:r>
                <w:rPr>
                  <w:rFonts w:ascii="Times New Roman" w:cs="Times New Roman" w:eastAsia="Times New Roman" w:hAnsi="Times New Roman"/>
                  <w:sz w:val="13"/>
                  <w:szCs w:val="13"/>
                  <w:color w:val="0000EE"/>
                  <w:w w:val="78"/>
                </w:rPr>
                <w:t>(9)</w:t>
              </w:r>
            </w:hyperlink>
          </w:p>
        </w:tc>
        <w:tc>
          <w:tcPr>
            <w:tcW w:w="3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260" w:type="dxa"/>
            <w:vAlign w:val="bottom"/>
            <w:gridSpan w:val="4"/>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560" w:type="dxa"/>
            <w:vAlign w:val="bottom"/>
            <w:vMerge w:val="continue"/>
          </w:tcPr>
          <w:p>
            <w:pPr>
              <w:spacing w:after="0"/>
              <w:rPr>
                <w:sz w:val="3"/>
                <w:szCs w:val="3"/>
                <w:color w:val="auto"/>
              </w:rPr>
            </w:pPr>
          </w:p>
        </w:tc>
        <w:tc>
          <w:tcPr>
            <w:tcW w:w="5240" w:type="dxa"/>
            <w:vAlign w:val="bottom"/>
            <w:tcBorders>
              <w:bottom w:val="single" w:sz="8" w:color="0000EE"/>
            </w:tcBorders>
            <w:gridSpan w:val="27"/>
            <w:vMerge w:val="continue"/>
          </w:tcPr>
          <w:p>
            <w:pPr>
              <w:spacing w:after="0"/>
              <w:rPr>
                <w:sz w:val="3"/>
                <w:szCs w:val="3"/>
                <w:color w:val="auto"/>
              </w:rPr>
            </w:pPr>
          </w:p>
        </w:tc>
        <w:tc>
          <w:tcPr>
            <w:tcW w:w="140" w:type="dxa"/>
            <w:vAlign w:val="bottom"/>
            <w:gridSpan w:val="3"/>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4060" w:type="dxa"/>
            <w:vAlign w:val="bottom"/>
            <w:gridSpan w:val="20"/>
            <w:vMerge w:val="restart"/>
          </w:tcPr>
          <w:p>
            <w:pPr>
              <w:spacing w:after="0"/>
              <w:rPr>
                <w:rFonts w:ascii="Times New Roman" w:cs="Times New Roman" w:eastAsia="Times New Roman" w:hAnsi="Times New Roman"/>
                <w:sz w:val="16"/>
                <w:szCs w:val="16"/>
                <w:color w:val="0000EE"/>
                <w:w w:val="97"/>
              </w:rPr>
            </w:pPr>
            <w:hyperlink r:id="rId174">
              <w:r>
                <w:rPr>
                  <w:rFonts w:ascii="Times New Roman" w:cs="Times New Roman" w:eastAsia="Times New Roman" w:hAnsi="Times New Roman"/>
                  <w:sz w:val="16"/>
                  <w:szCs w:val="16"/>
                  <w:color w:val="0000EE"/>
                  <w:w w:val="97"/>
                </w:rPr>
                <w:t>Form of SuRo Capital Corp. Non-Qualified Stock Option Award</w:t>
              </w:r>
            </w:hyperlink>
          </w:p>
        </w:tc>
        <w:tc>
          <w:tcPr>
            <w:tcW w:w="140" w:type="dxa"/>
            <w:vAlign w:val="bottom"/>
            <w:tcBorders>
              <w:bottom w:val="single" w:sz="8" w:color="0000EE"/>
            </w:tcBorders>
            <w:gridSpan w:val="2"/>
          </w:tcPr>
          <w:p>
            <w:pPr>
              <w:jc w:val="right"/>
              <w:spacing w:after="0" w:line="133" w:lineRule="exact"/>
              <w:rPr>
                <w:rFonts w:ascii="Times New Roman" w:cs="Times New Roman" w:eastAsia="Times New Roman" w:hAnsi="Times New Roman"/>
                <w:sz w:val="13"/>
                <w:szCs w:val="13"/>
                <w:color w:val="0000EE"/>
                <w:w w:val="78"/>
              </w:rPr>
            </w:pPr>
            <w:hyperlink r:id="rId174">
              <w:r>
                <w:rPr>
                  <w:rFonts w:ascii="Times New Roman" w:cs="Times New Roman" w:eastAsia="Times New Roman" w:hAnsi="Times New Roman"/>
                  <w:sz w:val="13"/>
                  <w:szCs w:val="13"/>
                  <w:color w:val="0000EE"/>
                  <w:w w:val="78"/>
                </w:rPr>
                <w:t>(9)</w:t>
              </w:r>
            </w:hyperlink>
          </w:p>
        </w:tc>
        <w:tc>
          <w:tcPr>
            <w:tcW w:w="1520" w:type="dxa"/>
            <w:vAlign w:val="bottom"/>
            <w:gridSpan w:val="10"/>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9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260" w:type="dxa"/>
            <w:vAlign w:val="bottom"/>
            <w:gridSpan w:val="4"/>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60" w:type="dxa"/>
            <w:vAlign w:val="bottom"/>
            <w:vMerge w:val="continue"/>
          </w:tcPr>
          <w:p>
            <w:pPr>
              <w:spacing w:after="0"/>
              <w:rPr>
                <w:sz w:val="3"/>
                <w:szCs w:val="3"/>
                <w:color w:val="auto"/>
              </w:rPr>
            </w:pPr>
          </w:p>
        </w:tc>
        <w:tc>
          <w:tcPr>
            <w:tcW w:w="4060" w:type="dxa"/>
            <w:vAlign w:val="bottom"/>
            <w:tcBorders>
              <w:bottom w:val="single" w:sz="8" w:color="0000EE"/>
            </w:tcBorders>
            <w:gridSpan w:val="20"/>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gridSpan w:val="10"/>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6840" w:type="dxa"/>
            <w:vAlign w:val="bottom"/>
            <w:gridSpan w:val="35"/>
            <w:vMerge w:val="restart"/>
          </w:tcPr>
          <w:p>
            <w:pPr>
              <w:spacing w:after="0"/>
              <w:rPr>
                <w:rFonts w:ascii="Times New Roman" w:cs="Times New Roman" w:eastAsia="Times New Roman" w:hAnsi="Times New Roman"/>
                <w:sz w:val="16"/>
                <w:szCs w:val="16"/>
                <w:color w:val="0000EE"/>
                <w:w w:val="97"/>
              </w:rPr>
            </w:pPr>
            <w:hyperlink r:id="rId175">
              <w:r>
                <w:rPr>
                  <w:rFonts w:ascii="Times New Roman" w:cs="Times New Roman" w:eastAsia="Times New Roman" w:hAnsi="Times New Roman"/>
                  <w:sz w:val="16"/>
                  <w:szCs w:val="16"/>
                  <w:color w:val="0000EE"/>
                  <w:w w:val="97"/>
                </w:rPr>
                <w:t>Custody Agreement dated April 14, 2011 by and between the Registrant and U.S. Bank National Association</w:t>
              </w:r>
            </w:hyperlink>
          </w:p>
        </w:tc>
        <w:tc>
          <w:tcPr>
            <w:tcW w:w="200" w:type="dxa"/>
            <w:vAlign w:val="bottom"/>
            <w:tcBorders>
              <w:bottom w:val="single" w:sz="8" w:color="0000EE"/>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0000EE"/>
                <w:w w:val="82"/>
              </w:rPr>
              <w:t>(10)</w:t>
            </w:r>
          </w:p>
        </w:tc>
        <w:tc>
          <w:tcPr>
            <w:tcW w:w="1260" w:type="dxa"/>
            <w:vAlign w:val="bottom"/>
            <w:gridSpan w:val="4"/>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60" w:type="dxa"/>
            <w:vAlign w:val="bottom"/>
            <w:vMerge w:val="continue"/>
          </w:tcPr>
          <w:p>
            <w:pPr>
              <w:spacing w:after="0"/>
              <w:rPr>
                <w:sz w:val="3"/>
                <w:szCs w:val="3"/>
                <w:color w:val="auto"/>
              </w:rPr>
            </w:pPr>
          </w:p>
        </w:tc>
        <w:tc>
          <w:tcPr>
            <w:tcW w:w="6840" w:type="dxa"/>
            <w:vAlign w:val="bottom"/>
            <w:tcBorders>
              <w:bottom w:val="single" w:sz="8" w:color="0000EE"/>
            </w:tcBorders>
            <w:gridSpan w:val="35"/>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9060" w:type="dxa"/>
            <w:vAlign w:val="bottom"/>
            <w:gridSpan w:val="46"/>
            <w:vMerge w:val="restart"/>
          </w:tcPr>
          <w:p>
            <w:pPr>
              <w:spacing w:after="0"/>
              <w:rPr>
                <w:rFonts w:ascii="Times New Roman" w:cs="Times New Roman" w:eastAsia="Times New Roman" w:hAnsi="Times New Roman"/>
                <w:sz w:val="16"/>
                <w:szCs w:val="16"/>
                <w:color w:val="0000EE"/>
                <w:w w:val="97"/>
              </w:rPr>
            </w:pPr>
            <w:hyperlink r:id="rId176">
              <w:r>
                <w:rPr>
                  <w:rFonts w:ascii="Times New Roman" w:cs="Times New Roman" w:eastAsia="Times New Roman" w:hAnsi="Times New Roman"/>
                  <w:sz w:val="16"/>
                  <w:szCs w:val="16"/>
                  <w:color w:val="0000EE"/>
                  <w:w w:val="97"/>
                </w:rPr>
                <w:t>Custody Agreement, dated October 28, 2022, by and between the Registrant and U.S. Bank Trust Company, National Association, as Custodian.</w:t>
              </w:r>
            </w:hyperlink>
          </w:p>
        </w:tc>
        <w:tc>
          <w:tcPr>
            <w:tcW w:w="200" w:type="dxa"/>
            <w:vAlign w:val="bottom"/>
            <w:tcBorders>
              <w:bottom w:val="single" w:sz="8" w:color="0000EE"/>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0000EE"/>
                <w:w w:val="82"/>
              </w:rPr>
              <w:t>(11)</w:t>
            </w:r>
          </w:p>
        </w:tc>
        <w:tc>
          <w:tcPr>
            <w:tcW w:w="118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560" w:type="dxa"/>
            <w:vAlign w:val="bottom"/>
            <w:vMerge w:val="continue"/>
          </w:tcPr>
          <w:p>
            <w:pPr>
              <w:spacing w:after="0"/>
              <w:rPr>
                <w:sz w:val="3"/>
                <w:szCs w:val="3"/>
                <w:color w:val="auto"/>
              </w:rPr>
            </w:pPr>
          </w:p>
        </w:tc>
        <w:tc>
          <w:tcPr>
            <w:tcW w:w="9060" w:type="dxa"/>
            <w:vAlign w:val="bottom"/>
            <w:tcBorders>
              <w:bottom w:val="single" w:sz="8" w:color="0000EE"/>
            </w:tcBorders>
            <w:gridSpan w:val="46"/>
            <w:vMerge w:val="continue"/>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0440" w:type="dxa"/>
            <w:vAlign w:val="bottom"/>
            <w:gridSpan w:val="49"/>
            <w:vMerge w:val="restart"/>
          </w:tcPr>
          <w:p>
            <w:pPr>
              <w:spacing w:after="0"/>
              <w:rPr>
                <w:rFonts w:ascii="Times New Roman" w:cs="Times New Roman" w:eastAsia="Times New Roman" w:hAnsi="Times New Roman"/>
                <w:sz w:val="16"/>
                <w:szCs w:val="16"/>
                <w:color w:val="0000EE"/>
                <w:w w:val="97"/>
              </w:rPr>
            </w:pPr>
            <w:hyperlink r:id="rId177">
              <w:r>
                <w:rPr>
                  <w:rFonts w:ascii="Times New Roman" w:cs="Times New Roman" w:eastAsia="Times New Roman" w:hAnsi="Times New Roman"/>
                  <w:sz w:val="16"/>
                  <w:szCs w:val="16"/>
                  <w:color w:val="0000EE"/>
                  <w:w w:val="97"/>
                </w:rPr>
                <w:t>Document Custody Agreement, dated October 28, 2022, by and between the Registrant and U.S. Bank Trust Company, National Association, as Document Custodian.</w:t>
              </w:r>
            </w:hyperlink>
          </w:p>
        </w:tc>
        <w:tc>
          <w:tcPr>
            <w:tcW w:w="200" w:type="dxa"/>
            <w:vAlign w:val="bottom"/>
            <w:tcBorders>
              <w:bottom w:val="single" w:sz="8" w:color="0000EE"/>
            </w:tcBorders>
          </w:tcPr>
          <w:p>
            <w:pPr>
              <w:jc w:val="right"/>
              <w:spacing w:after="0" w:line="124" w:lineRule="exact"/>
              <w:rPr>
                <w:sz w:val="20"/>
                <w:szCs w:val="20"/>
                <w:color w:val="auto"/>
              </w:rPr>
            </w:pPr>
            <w:r>
              <w:rPr>
                <w:rFonts w:ascii="Times New Roman" w:cs="Times New Roman" w:eastAsia="Times New Roman" w:hAnsi="Times New Roman"/>
                <w:sz w:val="13"/>
                <w:szCs w:val="13"/>
                <w:color w:val="0000EE"/>
                <w:w w:val="82"/>
              </w:rPr>
              <w:t>(11)</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560" w:type="dxa"/>
            <w:vAlign w:val="bottom"/>
            <w:vMerge w:val="continue"/>
          </w:tcPr>
          <w:p>
            <w:pPr>
              <w:spacing w:after="0"/>
              <w:rPr>
                <w:sz w:val="3"/>
                <w:szCs w:val="3"/>
                <w:color w:val="auto"/>
              </w:rPr>
            </w:pPr>
          </w:p>
        </w:tc>
        <w:tc>
          <w:tcPr>
            <w:tcW w:w="10440" w:type="dxa"/>
            <w:vAlign w:val="bottom"/>
            <w:tcBorders>
              <w:bottom w:val="single" w:sz="8" w:color="0000EE"/>
            </w:tcBorders>
            <w:gridSpan w:val="49"/>
            <w:vMerge w:val="continue"/>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8300" w:type="dxa"/>
            <w:vAlign w:val="bottom"/>
            <w:gridSpan w:val="41"/>
            <w:vMerge w:val="restart"/>
          </w:tcPr>
          <w:p>
            <w:pPr>
              <w:spacing w:after="0"/>
              <w:rPr>
                <w:rFonts w:ascii="Times New Roman" w:cs="Times New Roman" w:eastAsia="Times New Roman" w:hAnsi="Times New Roman"/>
                <w:sz w:val="16"/>
                <w:szCs w:val="16"/>
                <w:color w:val="0000EE"/>
                <w:w w:val="97"/>
              </w:rPr>
            </w:pPr>
            <w:hyperlink r:id="rId178">
              <w:r>
                <w:rPr>
                  <w:rFonts w:ascii="Times New Roman" w:cs="Times New Roman" w:eastAsia="Times New Roman" w:hAnsi="Times New Roman"/>
                  <w:sz w:val="16"/>
                  <w:szCs w:val="16"/>
                  <w:color w:val="0000EE"/>
                  <w:w w:val="97"/>
                </w:rPr>
                <w:t>Custody Agreement, dated April 19, 2023, by and between the Registrant and Western Alliance Trust Company, N.A., as Custodian.</w:t>
              </w:r>
            </w:hyperlink>
          </w:p>
        </w:tc>
        <w:tc>
          <w:tcPr>
            <w:tcW w:w="220" w:type="dxa"/>
            <w:vAlign w:val="bottom"/>
            <w:tcBorders>
              <w:bottom w:val="single" w:sz="8" w:color="0000EE"/>
            </w:tcBorders>
          </w:tcPr>
          <w:p>
            <w:pPr>
              <w:jc w:val="right"/>
              <w:spacing w:after="0" w:line="133" w:lineRule="exact"/>
              <w:rPr>
                <w:rFonts w:ascii="Times New Roman" w:cs="Times New Roman" w:eastAsia="Times New Roman" w:hAnsi="Times New Roman"/>
                <w:sz w:val="13"/>
                <w:szCs w:val="13"/>
                <w:color w:val="0000EE"/>
                <w:w w:val="92"/>
              </w:rPr>
            </w:pPr>
            <w:hyperlink r:id="rId178">
              <w:r>
                <w:rPr>
                  <w:rFonts w:ascii="Times New Roman" w:cs="Times New Roman" w:eastAsia="Times New Roman" w:hAnsi="Times New Roman"/>
                  <w:sz w:val="13"/>
                  <w:szCs w:val="13"/>
                  <w:color w:val="0000EE"/>
                  <w:w w:val="92"/>
                </w:rPr>
                <w:t>(15)</w:t>
              </w:r>
            </w:hyperlink>
          </w:p>
        </w:tc>
        <w:tc>
          <w:tcPr>
            <w:tcW w:w="3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1620" w:type="dxa"/>
            <w:vAlign w:val="bottom"/>
            <w:gridSpan w:val="4"/>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560" w:type="dxa"/>
            <w:vAlign w:val="bottom"/>
            <w:vMerge w:val="continue"/>
          </w:tcPr>
          <w:p>
            <w:pPr>
              <w:spacing w:after="0"/>
              <w:rPr>
                <w:sz w:val="3"/>
                <w:szCs w:val="3"/>
                <w:color w:val="auto"/>
              </w:rPr>
            </w:pPr>
          </w:p>
        </w:tc>
        <w:tc>
          <w:tcPr>
            <w:tcW w:w="8300" w:type="dxa"/>
            <w:vAlign w:val="bottom"/>
            <w:tcBorders>
              <w:bottom w:val="single" w:sz="8" w:color="0000EE"/>
            </w:tcBorders>
            <w:gridSpan w:val="41"/>
            <w:vMerge w:val="continue"/>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16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10.10</w:t>
            </w:r>
          </w:p>
        </w:tc>
        <w:tc>
          <w:tcPr>
            <w:tcW w:w="5720" w:type="dxa"/>
            <w:vAlign w:val="bottom"/>
            <w:gridSpan w:val="32"/>
            <w:vMerge w:val="restart"/>
          </w:tcPr>
          <w:p>
            <w:pPr>
              <w:spacing w:after="0"/>
              <w:rPr>
                <w:rFonts w:ascii="Times New Roman" w:cs="Times New Roman" w:eastAsia="Times New Roman" w:hAnsi="Times New Roman"/>
                <w:sz w:val="16"/>
                <w:szCs w:val="16"/>
                <w:color w:val="0000EE"/>
                <w:w w:val="97"/>
              </w:rPr>
            </w:pPr>
            <w:hyperlink r:id="rId179">
              <w:r>
                <w:rPr>
                  <w:rFonts w:ascii="Times New Roman" w:cs="Times New Roman" w:eastAsia="Times New Roman" w:hAnsi="Times New Roman"/>
                  <w:sz w:val="16"/>
                  <w:szCs w:val="16"/>
                  <w:color w:val="0000EE"/>
                  <w:w w:val="97"/>
                </w:rPr>
                <w:t>Form of Indemnification Agreement by and between the Company and each of its directors</w:t>
              </w:r>
            </w:hyperlink>
          </w:p>
        </w:tc>
        <w:tc>
          <w:tcPr>
            <w:tcW w:w="160" w:type="dxa"/>
            <w:vAlign w:val="bottom"/>
            <w:tcBorders>
              <w:bottom w:val="single" w:sz="8" w:color="0000EE"/>
            </w:tcBorders>
            <w:gridSpan w:val="2"/>
          </w:tcPr>
          <w:p>
            <w:pPr>
              <w:jc w:val="right"/>
              <w:spacing w:after="0" w:line="133" w:lineRule="exact"/>
              <w:rPr>
                <w:rFonts w:ascii="Times New Roman" w:cs="Times New Roman" w:eastAsia="Times New Roman" w:hAnsi="Times New Roman"/>
                <w:sz w:val="13"/>
                <w:szCs w:val="13"/>
                <w:color w:val="0000EE"/>
                <w:w w:val="92"/>
              </w:rPr>
            </w:pPr>
            <w:hyperlink r:id="rId179">
              <w:r>
                <w:rPr>
                  <w:rFonts w:ascii="Times New Roman" w:cs="Times New Roman" w:eastAsia="Times New Roman" w:hAnsi="Times New Roman"/>
                  <w:sz w:val="13"/>
                  <w:szCs w:val="13"/>
                  <w:color w:val="0000EE"/>
                  <w:w w:val="92"/>
                </w:rPr>
                <w:t>(1)</w:t>
              </w:r>
            </w:hyperlink>
          </w:p>
        </w:tc>
        <w:tc>
          <w:tcPr>
            <w:tcW w:w="2940" w:type="dxa"/>
            <w:vAlign w:val="bottom"/>
            <w:gridSpan w:val="9"/>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1620" w:type="dxa"/>
            <w:vAlign w:val="bottom"/>
            <w:gridSpan w:val="4"/>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560" w:type="dxa"/>
            <w:vAlign w:val="bottom"/>
            <w:vMerge w:val="continue"/>
          </w:tcPr>
          <w:p>
            <w:pPr>
              <w:spacing w:after="0"/>
              <w:rPr>
                <w:sz w:val="3"/>
                <w:szCs w:val="3"/>
                <w:color w:val="auto"/>
              </w:rPr>
            </w:pPr>
          </w:p>
        </w:tc>
        <w:tc>
          <w:tcPr>
            <w:tcW w:w="5720" w:type="dxa"/>
            <w:vAlign w:val="bottom"/>
            <w:tcBorders>
              <w:bottom w:val="single" w:sz="8" w:color="0000EE"/>
            </w:tcBorders>
            <w:gridSpan w:val="32"/>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2940" w:type="dxa"/>
            <w:vAlign w:val="bottom"/>
            <w:gridSpan w:val="9"/>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40" w:type="dxa"/>
            <w:vAlign w:val="bottom"/>
            <w:gridSpan w:val="2"/>
            <w:vMerge w:val="continue"/>
          </w:tcPr>
          <w:p>
            <w:pPr>
              <w:spacing w:after="0"/>
              <w:rPr>
                <w:sz w:val="3"/>
                <w:szCs w:val="3"/>
                <w:color w:val="auto"/>
              </w:rPr>
            </w:pPr>
          </w:p>
        </w:tc>
        <w:tc>
          <w:tcPr>
            <w:tcW w:w="16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10.11</w:t>
            </w:r>
          </w:p>
        </w:tc>
        <w:tc>
          <w:tcPr>
            <w:tcW w:w="8860" w:type="dxa"/>
            <w:vAlign w:val="bottom"/>
            <w:gridSpan w:val="44"/>
            <w:vMerge w:val="restart"/>
          </w:tcPr>
          <w:p>
            <w:pPr>
              <w:spacing w:after="0"/>
              <w:rPr>
                <w:rFonts w:ascii="Times New Roman" w:cs="Times New Roman" w:eastAsia="Times New Roman" w:hAnsi="Times New Roman"/>
                <w:sz w:val="16"/>
                <w:szCs w:val="16"/>
                <w:color w:val="0000EE"/>
                <w:w w:val="97"/>
              </w:rPr>
            </w:pPr>
            <w:hyperlink r:id="rId180">
              <w:r>
                <w:rPr>
                  <w:rFonts w:ascii="Times New Roman" w:cs="Times New Roman" w:eastAsia="Times New Roman" w:hAnsi="Times New Roman"/>
                  <w:sz w:val="16"/>
                  <w:szCs w:val="16"/>
                  <w:color w:val="0000EE"/>
                  <w:w w:val="97"/>
                </w:rPr>
                <w:t>Second Amended and Restated Employment Agreement, dated April 26, 2021, by and between Sutter Rock Capital Corp. and Mark D. Klein</w:t>
              </w:r>
            </w:hyperlink>
          </w:p>
        </w:tc>
        <w:tc>
          <w:tcPr>
            <w:tcW w:w="220" w:type="dxa"/>
            <w:vAlign w:val="bottom"/>
            <w:tcBorders>
              <w:bottom w:val="single" w:sz="8" w:color="0000EE"/>
            </w:tcBorders>
            <w:gridSpan w:val="3"/>
          </w:tcPr>
          <w:p>
            <w:pPr>
              <w:jc w:val="right"/>
              <w:spacing w:after="0" w:line="124" w:lineRule="exact"/>
              <w:rPr>
                <w:sz w:val="20"/>
                <w:szCs w:val="20"/>
                <w:color w:val="auto"/>
              </w:rPr>
            </w:pPr>
            <w:r>
              <w:rPr>
                <w:rFonts w:ascii="Times New Roman" w:cs="Times New Roman" w:eastAsia="Times New Roman" w:hAnsi="Times New Roman"/>
                <w:sz w:val="13"/>
                <w:szCs w:val="13"/>
                <w:color w:val="0000EE"/>
                <w:w w:val="92"/>
              </w:rPr>
              <w:t>(12)</w:t>
            </w:r>
          </w:p>
        </w:tc>
        <w:tc>
          <w:tcPr>
            <w:tcW w:w="1620" w:type="dxa"/>
            <w:vAlign w:val="bottom"/>
            <w:gridSpan w:val="4"/>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560" w:type="dxa"/>
            <w:vAlign w:val="bottom"/>
            <w:vMerge w:val="continue"/>
          </w:tcPr>
          <w:p>
            <w:pPr>
              <w:spacing w:after="0"/>
              <w:rPr>
                <w:sz w:val="3"/>
                <w:szCs w:val="3"/>
                <w:color w:val="auto"/>
              </w:rPr>
            </w:pPr>
          </w:p>
        </w:tc>
        <w:tc>
          <w:tcPr>
            <w:tcW w:w="8860" w:type="dxa"/>
            <w:vAlign w:val="bottom"/>
            <w:tcBorders>
              <w:bottom w:val="single" w:sz="8" w:color="0000EE"/>
            </w:tcBorders>
            <w:gridSpan w:val="44"/>
            <w:vMerge w:val="continue"/>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16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10.12</w:t>
            </w:r>
          </w:p>
        </w:tc>
        <w:tc>
          <w:tcPr>
            <w:tcW w:w="8820" w:type="dxa"/>
            <w:vAlign w:val="bottom"/>
            <w:gridSpan w:val="43"/>
            <w:vMerge w:val="restart"/>
          </w:tcPr>
          <w:p>
            <w:pPr>
              <w:spacing w:after="0"/>
              <w:rPr>
                <w:rFonts w:ascii="Times New Roman" w:cs="Times New Roman" w:eastAsia="Times New Roman" w:hAnsi="Times New Roman"/>
                <w:sz w:val="16"/>
                <w:szCs w:val="16"/>
                <w:color w:val="0000EE"/>
                <w:w w:val="97"/>
              </w:rPr>
            </w:pPr>
            <w:hyperlink r:id="rId181">
              <w:r>
                <w:rPr>
                  <w:rFonts w:ascii="Times New Roman" w:cs="Times New Roman" w:eastAsia="Times New Roman" w:hAnsi="Times New Roman"/>
                  <w:sz w:val="16"/>
                  <w:szCs w:val="16"/>
                  <w:color w:val="0000EE"/>
                  <w:w w:val="97"/>
                </w:rPr>
                <w:t>Second Amended and Restated Employment Agreement, dated April 26, 2021, by and between Sutter Rock Capital Corp. and Allison Green</w:t>
              </w:r>
            </w:hyperlink>
          </w:p>
        </w:tc>
        <w:tc>
          <w:tcPr>
            <w:tcW w:w="220" w:type="dxa"/>
            <w:vAlign w:val="bottom"/>
            <w:tcBorders>
              <w:bottom w:val="single" w:sz="8" w:color="0000EE"/>
            </w:tcBorders>
            <w:gridSpan w:val="2"/>
          </w:tcPr>
          <w:p>
            <w:pPr>
              <w:jc w:val="right"/>
              <w:spacing w:after="0" w:line="133" w:lineRule="exact"/>
              <w:rPr>
                <w:rFonts w:ascii="Times New Roman" w:cs="Times New Roman" w:eastAsia="Times New Roman" w:hAnsi="Times New Roman"/>
                <w:sz w:val="13"/>
                <w:szCs w:val="13"/>
                <w:color w:val="0000EE"/>
                <w:w w:val="92"/>
              </w:rPr>
            </w:pPr>
            <w:hyperlink r:id="rId181">
              <w:r>
                <w:rPr>
                  <w:rFonts w:ascii="Times New Roman" w:cs="Times New Roman" w:eastAsia="Times New Roman" w:hAnsi="Times New Roman"/>
                  <w:sz w:val="13"/>
                  <w:szCs w:val="13"/>
                  <w:color w:val="0000EE"/>
                  <w:w w:val="92"/>
                </w:rPr>
                <w:t>(12)</w:t>
              </w:r>
            </w:hyperlink>
          </w:p>
        </w:tc>
        <w:tc>
          <w:tcPr>
            <w:tcW w:w="1660" w:type="dxa"/>
            <w:vAlign w:val="bottom"/>
            <w:gridSpan w:val="6"/>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560" w:type="dxa"/>
            <w:vAlign w:val="bottom"/>
            <w:vMerge w:val="continue"/>
          </w:tcPr>
          <w:p>
            <w:pPr>
              <w:spacing w:after="0"/>
              <w:rPr>
                <w:sz w:val="3"/>
                <w:szCs w:val="3"/>
                <w:color w:val="auto"/>
              </w:rPr>
            </w:pPr>
          </w:p>
        </w:tc>
        <w:tc>
          <w:tcPr>
            <w:tcW w:w="8820" w:type="dxa"/>
            <w:vAlign w:val="bottom"/>
            <w:tcBorders>
              <w:bottom w:val="single" w:sz="8" w:color="0000EE"/>
            </w:tcBorders>
            <w:gridSpan w:val="43"/>
            <w:vMerge w:val="continue"/>
          </w:tcPr>
          <w:p>
            <w:pPr>
              <w:spacing w:after="0"/>
              <w:rPr>
                <w:sz w:val="3"/>
                <w:szCs w:val="3"/>
                <w:color w:val="auto"/>
              </w:rPr>
            </w:pPr>
          </w:p>
        </w:tc>
        <w:tc>
          <w:tcPr>
            <w:tcW w:w="220" w:type="dxa"/>
            <w:vAlign w:val="bottom"/>
            <w:gridSpan w:val="2"/>
          </w:tcPr>
          <w:p>
            <w:pPr>
              <w:spacing w:after="0"/>
              <w:rPr>
                <w:sz w:val="3"/>
                <w:szCs w:val="3"/>
                <w:color w:val="auto"/>
              </w:rPr>
            </w:pPr>
          </w:p>
        </w:tc>
        <w:tc>
          <w:tcPr>
            <w:tcW w:w="16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95"/>
        </w:trPr>
        <w:tc>
          <w:tcPr>
            <w:tcW w:w="5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27"/>
          </w:tcPr>
          <w:p>
            <w:pPr>
              <w:ind w:left="4940"/>
              <w:spacing w:after="0"/>
              <w:rPr>
                <w:sz w:val="20"/>
                <w:szCs w:val="20"/>
                <w:color w:val="auto"/>
              </w:rPr>
            </w:pPr>
            <w:r>
              <w:rPr>
                <w:rFonts w:ascii="Times New Roman" w:cs="Times New Roman" w:eastAsia="Times New Roman" w:hAnsi="Times New Roman"/>
                <w:sz w:val="16"/>
                <w:szCs w:val="16"/>
                <w:color w:val="auto"/>
              </w:rPr>
              <w:t>117</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02" w:right="319" w:bottom="1440" w:gutter="0" w:footer="0" w:header="0"/>
        </w:sectPr>
      </w:pPr>
    </w:p>
    <w:bookmarkStart w:id="120" w:name="page121"/>
    <w:bookmarkEnd w:id="120"/>
    <w:p>
      <w:pPr>
        <w:ind w:left="6"/>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68" w:lineRule="exact"/>
        <w:rPr>
          <w:sz w:val="20"/>
          <w:szCs w:val="20"/>
          <w:color w:val="auto"/>
        </w:rPr>
      </w:pPr>
    </w:p>
    <w:tbl>
      <w:tblPr>
        <w:tblLayout w:type="fixed"/>
        <w:tblInd w:w="126" w:type="dxa"/>
        <w:tblCellMar>
          <w:top w:w="0" w:type="dxa"/>
          <w:left w:w="0" w:type="dxa"/>
          <w:bottom w:w="0" w:type="dxa"/>
          <w:right w:w="0" w:type="dxa"/>
        </w:tblCellMar>
      </w:tblPr>
      <w:tr>
        <w:trPr>
          <w:trHeight w:val="169"/>
        </w:trPr>
        <w:tc>
          <w:tcPr>
            <w:tcW w:w="460" w:type="dxa"/>
            <w:vAlign w:val="bottom"/>
            <w:vMerge w:val="restart"/>
          </w:tcPr>
          <w:p>
            <w:pPr>
              <w:jc w:val="center"/>
              <w:ind w:right="42"/>
              <w:spacing w:after="0"/>
              <w:rPr>
                <w:sz w:val="20"/>
                <w:szCs w:val="20"/>
                <w:color w:val="auto"/>
              </w:rPr>
            </w:pPr>
            <w:r>
              <w:rPr>
                <w:rFonts w:ascii="Times New Roman" w:cs="Times New Roman" w:eastAsia="Times New Roman" w:hAnsi="Times New Roman"/>
                <w:sz w:val="16"/>
                <w:szCs w:val="16"/>
                <w:color w:val="auto"/>
                <w:w w:val="94"/>
              </w:rPr>
              <w:t>10.13</w:t>
            </w:r>
          </w:p>
        </w:tc>
        <w:tc>
          <w:tcPr>
            <w:tcW w:w="9880" w:type="dxa"/>
            <w:vAlign w:val="bottom"/>
            <w:gridSpan w:val="20"/>
            <w:vMerge w:val="restart"/>
          </w:tcPr>
          <w:p>
            <w:pPr>
              <w:spacing w:after="0"/>
              <w:rPr>
                <w:rFonts w:ascii="Times New Roman" w:cs="Times New Roman" w:eastAsia="Times New Roman" w:hAnsi="Times New Roman"/>
                <w:sz w:val="16"/>
                <w:szCs w:val="16"/>
                <w:color w:val="0000EE"/>
                <w:w w:val="97"/>
              </w:rPr>
            </w:pPr>
            <w:hyperlink r:id="rId182">
              <w:r>
                <w:rPr>
                  <w:rFonts w:ascii="Times New Roman" w:cs="Times New Roman" w:eastAsia="Times New Roman" w:hAnsi="Times New Roman"/>
                  <w:sz w:val="16"/>
                  <w:szCs w:val="16"/>
                  <w:color w:val="0000EE"/>
                  <w:w w:val="97"/>
                </w:rPr>
                <w:t>Amendment No. 1 to Second Amended and Restated Employment Agreement, dated March 10, 2022, by and between SuRo Capital Corp. and Allison Green</w:t>
              </w:r>
            </w:hyperlink>
          </w:p>
        </w:tc>
        <w:tc>
          <w:tcPr>
            <w:tcW w:w="1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3"/>
                <w:szCs w:val="13"/>
                <w:color w:val="0000EE"/>
                <w:w w:val="78"/>
              </w:rPr>
              <w:t>(8)</w:t>
            </w:r>
          </w:p>
        </w:tc>
        <w:tc>
          <w:tcPr>
            <w:tcW w:w="18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60" w:type="dxa"/>
            <w:vAlign w:val="bottom"/>
            <w:vMerge w:val="continue"/>
          </w:tcPr>
          <w:p>
            <w:pPr>
              <w:spacing w:after="0"/>
              <w:rPr>
                <w:sz w:val="3"/>
                <w:szCs w:val="3"/>
                <w:color w:val="auto"/>
              </w:rPr>
            </w:pPr>
          </w:p>
        </w:tc>
        <w:tc>
          <w:tcPr>
            <w:tcW w:w="9880" w:type="dxa"/>
            <w:vAlign w:val="bottom"/>
            <w:tcBorders>
              <w:bottom w:val="single" w:sz="8" w:color="0000EE"/>
            </w:tcBorders>
            <w:gridSpan w:val="20"/>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4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4"/>
              </w:rPr>
              <w:t>10.14</w:t>
            </w:r>
          </w:p>
        </w:tc>
        <w:tc>
          <w:tcPr>
            <w:tcW w:w="10240" w:type="dxa"/>
            <w:vAlign w:val="bottom"/>
            <w:tcBorders>
              <w:bottom w:val="single" w:sz="8" w:color="0000EE"/>
            </w:tcBorders>
            <w:gridSpan w:val="24"/>
          </w:tcPr>
          <w:p>
            <w:pPr>
              <w:spacing w:after="0" w:line="168" w:lineRule="exact"/>
              <w:rPr>
                <w:sz w:val="20"/>
                <w:szCs w:val="20"/>
                <w:color w:val="auto"/>
              </w:rPr>
            </w:pPr>
            <w:r>
              <w:rPr>
                <w:rFonts w:ascii="Times New Roman" w:cs="Times New Roman" w:eastAsia="Times New Roman" w:hAnsi="Times New Roman"/>
                <w:sz w:val="16"/>
                <w:szCs w:val="16"/>
                <w:color w:val="0000EE"/>
                <w:w w:val="97"/>
              </w:rPr>
              <w:t>Amendment No. 1 to Second Amended and Restated Employment Agreement, dated November 28, 2023, by and between SuRo Capital Corp. and Mark D. Klein*</w:t>
            </w:r>
          </w:p>
        </w:tc>
        <w:tc>
          <w:tcPr>
            <w:tcW w:w="4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4"/>
              </w:rPr>
              <w:t>10.15</w:t>
            </w:r>
          </w:p>
        </w:tc>
        <w:tc>
          <w:tcPr>
            <w:tcW w:w="1068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Amendment No. 2 to Second Amended and Restated Employment Agreement, dated November 28, 2023, by and between SuRo Capital Corp. and Allison Green*</w:t>
            </w:r>
          </w:p>
        </w:tc>
        <w:tc>
          <w:tcPr>
            <w:tcW w:w="0" w:type="dxa"/>
            <w:vAlign w:val="bottom"/>
          </w:tcPr>
          <w:p>
            <w:pPr>
              <w:spacing w:after="0"/>
              <w:rPr>
                <w:sz w:val="1"/>
                <w:szCs w:val="1"/>
                <w:color w:val="auto"/>
              </w:rPr>
            </w:pPr>
          </w:p>
        </w:tc>
      </w:tr>
      <w:tr>
        <w:trPr>
          <w:trHeight w:val="20"/>
        </w:trPr>
        <w:tc>
          <w:tcPr>
            <w:tcW w:w="460" w:type="dxa"/>
            <w:vAlign w:val="bottom"/>
            <w:vMerge w:val="restart"/>
          </w:tcPr>
          <w:p>
            <w:pPr>
              <w:jc w:val="center"/>
              <w:ind w:right="42"/>
              <w:spacing w:after="0"/>
              <w:rPr>
                <w:sz w:val="20"/>
                <w:szCs w:val="20"/>
                <w:color w:val="auto"/>
              </w:rPr>
            </w:pPr>
            <w:r>
              <w:rPr>
                <w:rFonts w:ascii="Times New Roman" w:cs="Times New Roman" w:eastAsia="Times New Roman" w:hAnsi="Times New Roman"/>
                <w:sz w:val="16"/>
                <w:szCs w:val="16"/>
                <w:color w:val="auto"/>
                <w:w w:val="94"/>
              </w:rPr>
              <w:t>10.16</w:t>
            </w: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3"/>
                <w:szCs w:val="13"/>
                <w:color w:val="0000EE"/>
                <w:w w:val="92"/>
              </w:rPr>
              <w:t>(13)</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 w:type="dxa"/>
            <w:vAlign w:val="bottom"/>
            <w:vMerge w:val="continue"/>
          </w:tcPr>
          <w:p>
            <w:pPr>
              <w:spacing w:after="0"/>
              <w:rPr>
                <w:sz w:val="12"/>
                <w:szCs w:val="12"/>
                <w:color w:val="auto"/>
              </w:rPr>
            </w:pPr>
          </w:p>
        </w:tc>
        <w:tc>
          <w:tcPr>
            <w:tcW w:w="10420" w:type="dxa"/>
            <w:vAlign w:val="bottom"/>
            <w:gridSpan w:val="25"/>
            <w:vMerge w:val="restart"/>
          </w:tcPr>
          <w:p>
            <w:pPr>
              <w:spacing w:after="0"/>
              <w:rPr>
                <w:rFonts w:ascii="Times New Roman" w:cs="Times New Roman" w:eastAsia="Times New Roman" w:hAnsi="Times New Roman"/>
                <w:sz w:val="16"/>
                <w:szCs w:val="16"/>
                <w:color w:val="0000EE"/>
                <w:w w:val="97"/>
              </w:rPr>
            </w:pPr>
            <w:hyperlink r:id="rId183">
              <w:r>
                <w:rPr>
                  <w:rFonts w:ascii="Times New Roman" w:cs="Times New Roman" w:eastAsia="Times New Roman" w:hAnsi="Times New Roman"/>
                  <w:sz w:val="16"/>
                  <w:szCs w:val="16"/>
                  <w:color w:val="0000EE"/>
                  <w:w w:val="97"/>
                </w:rPr>
                <w:t>At-the-Market Sales Agreement dated as of July 29, 2020, by and among SuRo Capital Corp., BTIG LLC, JMP Securities LLC, and Ladenburg Thalmann &amp; Co., Inc.</w:t>
              </w:r>
            </w:hyperlink>
          </w:p>
        </w:tc>
        <w:tc>
          <w:tcPr>
            <w:tcW w:w="220" w:type="dxa"/>
            <w:vAlign w:val="bottom"/>
            <w:tcBorders>
              <w:bottom w:val="single" w:sz="8" w:color="0000EE"/>
            </w:tcBorders>
            <w:vMerge w:val="continue"/>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460" w:type="dxa"/>
            <w:vAlign w:val="bottom"/>
            <w:vMerge w:val="continue"/>
          </w:tcPr>
          <w:p>
            <w:pPr>
              <w:spacing w:after="0"/>
              <w:rPr>
                <w:sz w:val="3"/>
                <w:szCs w:val="3"/>
                <w:color w:val="auto"/>
              </w:rPr>
            </w:pPr>
          </w:p>
        </w:tc>
        <w:tc>
          <w:tcPr>
            <w:tcW w:w="10420" w:type="dxa"/>
            <w:vAlign w:val="bottom"/>
            <w:tcBorders>
              <w:bottom w:val="single" w:sz="8" w:color="0000EE"/>
            </w:tcBorders>
            <w:gridSpan w:val="25"/>
            <w:vMerge w:val="continue"/>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4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4"/>
              </w:rPr>
              <w:t>10.17</w:t>
            </w:r>
          </w:p>
        </w:tc>
        <w:tc>
          <w:tcPr>
            <w:tcW w:w="10680" w:type="dxa"/>
            <w:vAlign w:val="bottom"/>
            <w:tcBorders>
              <w:bottom w:val="single" w:sz="8" w:color="0000EE"/>
            </w:tcBorders>
            <w:gridSpan w:val="27"/>
          </w:tcPr>
          <w:p>
            <w:pPr>
              <w:spacing w:after="0" w:line="168" w:lineRule="exact"/>
              <w:rPr>
                <w:rFonts w:ascii="Times New Roman" w:cs="Times New Roman" w:eastAsia="Times New Roman" w:hAnsi="Times New Roman"/>
                <w:sz w:val="16"/>
                <w:szCs w:val="16"/>
                <w:color w:val="0000EE"/>
              </w:rPr>
            </w:pPr>
            <w:hyperlink r:id="rId184">
              <w:r>
                <w:rPr>
                  <w:rFonts w:ascii="Times New Roman" w:cs="Times New Roman" w:eastAsia="Times New Roman" w:hAnsi="Times New Roman"/>
                  <w:sz w:val="16"/>
                  <w:szCs w:val="16"/>
                  <w:color w:val="0000EE"/>
                </w:rPr>
                <w:t>Amendment No.1 to the At-the-Market Sales Agreement, dated as of September 23, 2020, by and among SuRo Capital Corp., BTIG LLC, JMP Securities LLC, and</w:t>
              </w:r>
            </w:hyperlink>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2100" w:type="dxa"/>
            <w:vAlign w:val="bottom"/>
            <w:gridSpan w:val="5"/>
            <w:vMerge w:val="restart"/>
          </w:tcPr>
          <w:p>
            <w:pPr>
              <w:spacing w:after="0"/>
              <w:rPr>
                <w:rFonts w:ascii="Times New Roman" w:cs="Times New Roman" w:eastAsia="Times New Roman" w:hAnsi="Times New Roman"/>
                <w:sz w:val="16"/>
                <w:szCs w:val="16"/>
                <w:color w:val="0000EE"/>
                <w:w w:val="97"/>
              </w:rPr>
            </w:pPr>
            <w:hyperlink r:id="rId184">
              <w:r>
                <w:rPr>
                  <w:rFonts w:ascii="Times New Roman" w:cs="Times New Roman" w:eastAsia="Times New Roman" w:hAnsi="Times New Roman"/>
                  <w:sz w:val="16"/>
                  <w:szCs w:val="16"/>
                  <w:color w:val="0000EE"/>
                  <w:w w:val="97"/>
                </w:rPr>
                <w:t>Ladenburg Thalmann &amp; Co., Inc.</w:t>
              </w:r>
            </w:hyperlink>
          </w:p>
        </w:tc>
        <w:tc>
          <w:tcPr>
            <w:tcW w:w="200" w:type="dxa"/>
            <w:vAlign w:val="bottom"/>
            <w:tcBorders>
              <w:bottom w:val="single" w:sz="8" w:color="0000EE"/>
            </w:tcBorders>
          </w:tcPr>
          <w:p>
            <w:pPr>
              <w:jc w:val="right"/>
              <w:spacing w:after="0" w:line="133" w:lineRule="exact"/>
              <w:rPr>
                <w:rFonts w:ascii="Times New Roman" w:cs="Times New Roman" w:eastAsia="Times New Roman" w:hAnsi="Times New Roman"/>
                <w:sz w:val="13"/>
                <w:szCs w:val="13"/>
                <w:color w:val="0000EE"/>
                <w:w w:val="82"/>
              </w:rPr>
            </w:pPr>
            <w:hyperlink r:id="rId184">
              <w:r>
                <w:rPr>
                  <w:rFonts w:ascii="Times New Roman" w:cs="Times New Roman" w:eastAsia="Times New Roman" w:hAnsi="Times New Roman"/>
                  <w:sz w:val="13"/>
                  <w:szCs w:val="13"/>
                  <w:color w:val="0000EE"/>
                  <w:w w:val="82"/>
                </w:rPr>
                <w:t>(14)</w:t>
              </w:r>
            </w:hyperlink>
          </w:p>
        </w:tc>
        <w:tc>
          <w:tcPr>
            <w:tcW w:w="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1300" w:type="dxa"/>
            <w:vAlign w:val="bottom"/>
            <w:vMerge w:val="restart"/>
          </w:tcPr>
          <w:p>
            <w:pPr>
              <w:spacing w:after="0"/>
              <w:rPr>
                <w:sz w:val="12"/>
                <w:szCs w:val="12"/>
                <w:color w:val="auto"/>
              </w:rPr>
            </w:pPr>
          </w:p>
        </w:tc>
        <w:tc>
          <w:tcPr>
            <w:tcW w:w="46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7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00" w:type="dxa"/>
            <w:vAlign w:val="bottom"/>
            <w:vMerge w:val="restart"/>
          </w:tcPr>
          <w:p>
            <w:pPr>
              <w:spacing w:after="0"/>
              <w:rPr>
                <w:sz w:val="12"/>
                <w:szCs w:val="12"/>
                <w:color w:val="auto"/>
              </w:rPr>
            </w:pPr>
          </w:p>
        </w:tc>
        <w:tc>
          <w:tcPr>
            <w:tcW w:w="6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240" w:type="dxa"/>
            <w:vAlign w:val="bottom"/>
            <w:gridSpan w:val="8"/>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460" w:type="dxa"/>
            <w:vAlign w:val="bottom"/>
            <w:vMerge w:val="restart"/>
          </w:tcPr>
          <w:p>
            <w:pPr>
              <w:jc w:val="center"/>
              <w:ind w:right="42"/>
              <w:spacing w:after="0"/>
              <w:rPr>
                <w:sz w:val="20"/>
                <w:szCs w:val="20"/>
                <w:color w:val="auto"/>
              </w:rPr>
            </w:pPr>
            <w:r>
              <w:rPr>
                <w:rFonts w:ascii="Times New Roman" w:cs="Times New Roman" w:eastAsia="Times New Roman" w:hAnsi="Times New Roman"/>
                <w:sz w:val="16"/>
                <w:szCs w:val="16"/>
                <w:color w:val="auto"/>
                <w:w w:val="92"/>
              </w:rPr>
              <w:t>14.1</w:t>
            </w:r>
          </w:p>
        </w:tc>
        <w:tc>
          <w:tcPr>
            <w:tcW w:w="2100" w:type="dxa"/>
            <w:vAlign w:val="bottom"/>
            <w:tcBorders>
              <w:bottom w:val="single" w:sz="8" w:color="0000EE"/>
            </w:tcBorders>
            <w:gridSpan w:val="5"/>
            <w:vMerge w:val="continue"/>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30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2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60" w:type="dxa"/>
            <w:vAlign w:val="bottom"/>
            <w:vMerge w:val="continue"/>
          </w:tcPr>
          <w:p>
            <w:pPr>
              <w:spacing w:after="0"/>
              <w:rPr>
                <w:sz w:val="12"/>
                <w:szCs w:val="12"/>
                <w:color w:val="auto"/>
              </w:rPr>
            </w:pPr>
          </w:p>
        </w:tc>
        <w:tc>
          <w:tcPr>
            <w:tcW w:w="940" w:type="dxa"/>
            <w:vAlign w:val="bottom"/>
            <w:vMerge w:val="restart"/>
          </w:tcPr>
          <w:p>
            <w:pPr>
              <w:spacing w:after="0"/>
              <w:rPr>
                <w:rFonts w:ascii="Times New Roman" w:cs="Times New Roman" w:eastAsia="Times New Roman" w:hAnsi="Times New Roman"/>
                <w:sz w:val="16"/>
                <w:szCs w:val="16"/>
                <w:color w:val="0000EE"/>
                <w:w w:val="96"/>
              </w:rPr>
            </w:pPr>
            <w:hyperlink r:id="rId185">
              <w:r>
                <w:rPr>
                  <w:rFonts w:ascii="Times New Roman" w:cs="Times New Roman" w:eastAsia="Times New Roman" w:hAnsi="Times New Roman"/>
                  <w:sz w:val="16"/>
                  <w:szCs w:val="16"/>
                  <w:color w:val="0000EE"/>
                  <w:w w:val="96"/>
                </w:rPr>
                <w:t>Code of Ethics</w:t>
              </w:r>
            </w:hyperlink>
          </w:p>
        </w:tc>
        <w:tc>
          <w:tcPr>
            <w:tcW w:w="200" w:type="dxa"/>
            <w:vAlign w:val="bottom"/>
            <w:tcBorders>
              <w:bottom w:val="single" w:sz="8" w:color="0000EE"/>
            </w:tcBorders>
            <w:gridSpan w:val="2"/>
          </w:tcPr>
          <w:p>
            <w:pPr>
              <w:jc w:val="right"/>
              <w:spacing w:after="0" w:line="133" w:lineRule="exact"/>
              <w:rPr>
                <w:rFonts w:ascii="Times New Roman" w:cs="Times New Roman" w:eastAsia="Times New Roman" w:hAnsi="Times New Roman"/>
                <w:sz w:val="13"/>
                <w:szCs w:val="13"/>
                <w:color w:val="0000EE"/>
                <w:w w:val="82"/>
              </w:rPr>
            </w:pPr>
            <w:hyperlink r:id="rId185">
              <w:r>
                <w:rPr>
                  <w:rFonts w:ascii="Times New Roman" w:cs="Times New Roman" w:eastAsia="Times New Roman" w:hAnsi="Times New Roman"/>
                  <w:sz w:val="13"/>
                  <w:szCs w:val="13"/>
                  <w:color w:val="0000EE"/>
                  <w:w w:val="82"/>
                </w:rPr>
                <w:t>(16)</w:t>
              </w:r>
            </w:hyperlink>
          </w:p>
        </w:tc>
        <w:tc>
          <w:tcPr>
            <w:tcW w:w="520" w:type="dxa"/>
            <w:vAlign w:val="bottom"/>
            <w:vMerge w:val="restart"/>
          </w:tcPr>
          <w:p>
            <w:pPr>
              <w:spacing w:after="0"/>
              <w:rPr>
                <w:sz w:val="12"/>
                <w:szCs w:val="12"/>
                <w:color w:val="auto"/>
              </w:rPr>
            </w:pPr>
          </w:p>
        </w:tc>
        <w:tc>
          <w:tcPr>
            <w:tcW w:w="70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1300" w:type="dxa"/>
            <w:vAlign w:val="bottom"/>
            <w:vMerge w:val="restart"/>
          </w:tcPr>
          <w:p>
            <w:pPr>
              <w:spacing w:after="0"/>
              <w:rPr>
                <w:sz w:val="12"/>
                <w:szCs w:val="12"/>
                <w:color w:val="auto"/>
              </w:rPr>
            </w:pPr>
          </w:p>
        </w:tc>
        <w:tc>
          <w:tcPr>
            <w:tcW w:w="46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7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00" w:type="dxa"/>
            <w:vAlign w:val="bottom"/>
            <w:vMerge w:val="restart"/>
          </w:tcPr>
          <w:p>
            <w:pPr>
              <w:spacing w:after="0"/>
              <w:rPr>
                <w:sz w:val="12"/>
                <w:szCs w:val="12"/>
                <w:color w:val="auto"/>
              </w:rPr>
            </w:pPr>
          </w:p>
        </w:tc>
        <w:tc>
          <w:tcPr>
            <w:tcW w:w="6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240" w:type="dxa"/>
            <w:vAlign w:val="bottom"/>
            <w:gridSpan w:val="8"/>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60" w:type="dxa"/>
            <w:vAlign w:val="bottom"/>
            <w:vMerge w:val="continue"/>
          </w:tcPr>
          <w:p>
            <w:pPr>
              <w:spacing w:after="0"/>
              <w:rPr>
                <w:sz w:val="3"/>
                <w:szCs w:val="3"/>
                <w:color w:val="auto"/>
              </w:rPr>
            </w:pPr>
          </w:p>
        </w:tc>
        <w:tc>
          <w:tcPr>
            <w:tcW w:w="940" w:type="dxa"/>
            <w:vAlign w:val="bottom"/>
            <w:tcBorders>
              <w:bottom w:val="single" w:sz="8" w:color="0000EE"/>
            </w:tcBorders>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30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2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60" w:type="dxa"/>
            <w:vAlign w:val="bottom"/>
            <w:vMerge w:val="restart"/>
          </w:tcPr>
          <w:p>
            <w:pPr>
              <w:jc w:val="center"/>
              <w:ind w:right="42"/>
              <w:spacing w:after="0"/>
              <w:rPr>
                <w:sz w:val="20"/>
                <w:szCs w:val="20"/>
                <w:color w:val="auto"/>
              </w:rPr>
            </w:pPr>
            <w:r>
              <w:rPr>
                <w:rFonts w:ascii="Times New Roman" w:cs="Times New Roman" w:eastAsia="Times New Roman" w:hAnsi="Times New Roman"/>
                <w:sz w:val="16"/>
                <w:szCs w:val="16"/>
                <w:color w:val="auto"/>
                <w:w w:val="92"/>
              </w:rPr>
              <w:t>14.2</w:t>
            </w:r>
          </w:p>
        </w:tc>
        <w:tc>
          <w:tcPr>
            <w:tcW w:w="2360" w:type="dxa"/>
            <w:vAlign w:val="bottom"/>
            <w:gridSpan w:val="7"/>
            <w:vMerge w:val="restart"/>
          </w:tcPr>
          <w:p>
            <w:pPr>
              <w:spacing w:after="0"/>
              <w:rPr>
                <w:rFonts w:ascii="Times New Roman" w:cs="Times New Roman" w:eastAsia="Times New Roman" w:hAnsi="Times New Roman"/>
                <w:sz w:val="16"/>
                <w:szCs w:val="16"/>
                <w:color w:val="0000EE"/>
                <w:w w:val="96"/>
              </w:rPr>
            </w:pPr>
            <w:hyperlink r:id="rId186">
              <w:r>
                <w:rPr>
                  <w:rFonts w:ascii="Times New Roman" w:cs="Times New Roman" w:eastAsia="Times New Roman" w:hAnsi="Times New Roman"/>
                  <w:sz w:val="16"/>
                  <w:szCs w:val="16"/>
                  <w:color w:val="0000EE"/>
                  <w:w w:val="96"/>
                </w:rPr>
                <w:t>Code of Business Conduct and Ethics</w:t>
              </w:r>
            </w:hyperlink>
          </w:p>
        </w:tc>
        <w:tc>
          <w:tcPr>
            <w:tcW w:w="220" w:type="dxa"/>
            <w:vAlign w:val="bottom"/>
            <w:tcBorders>
              <w:bottom w:val="single" w:sz="8" w:color="0000EE"/>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0000EE"/>
                <w:w w:val="92"/>
              </w:rPr>
              <w:t>(17)</w:t>
            </w:r>
          </w:p>
        </w:tc>
        <w:tc>
          <w:tcPr>
            <w:tcW w:w="1300" w:type="dxa"/>
            <w:vAlign w:val="bottom"/>
            <w:vMerge w:val="restart"/>
          </w:tcPr>
          <w:p>
            <w:pPr>
              <w:spacing w:after="0"/>
              <w:rPr>
                <w:sz w:val="12"/>
                <w:szCs w:val="12"/>
                <w:color w:val="auto"/>
              </w:rPr>
            </w:pPr>
          </w:p>
        </w:tc>
        <w:tc>
          <w:tcPr>
            <w:tcW w:w="46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7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400" w:type="dxa"/>
            <w:vAlign w:val="bottom"/>
            <w:vMerge w:val="restart"/>
          </w:tcPr>
          <w:p>
            <w:pPr>
              <w:spacing w:after="0"/>
              <w:rPr>
                <w:sz w:val="12"/>
                <w:szCs w:val="12"/>
                <w:color w:val="auto"/>
              </w:rPr>
            </w:pPr>
          </w:p>
        </w:tc>
        <w:tc>
          <w:tcPr>
            <w:tcW w:w="6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3240" w:type="dxa"/>
            <w:vAlign w:val="bottom"/>
            <w:gridSpan w:val="8"/>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60" w:type="dxa"/>
            <w:vAlign w:val="bottom"/>
            <w:vMerge w:val="continue"/>
          </w:tcPr>
          <w:p>
            <w:pPr>
              <w:spacing w:after="0"/>
              <w:rPr>
                <w:sz w:val="3"/>
                <w:szCs w:val="3"/>
                <w:color w:val="auto"/>
              </w:rPr>
            </w:pPr>
          </w:p>
        </w:tc>
        <w:tc>
          <w:tcPr>
            <w:tcW w:w="2360" w:type="dxa"/>
            <w:vAlign w:val="bottom"/>
            <w:tcBorders>
              <w:bottom w:val="single" w:sz="8" w:color="0000EE"/>
            </w:tcBorders>
            <w:gridSpan w:val="7"/>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32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4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2"/>
              </w:rPr>
              <w:t>21.1</w:t>
            </w:r>
          </w:p>
        </w:tc>
        <w:tc>
          <w:tcPr>
            <w:tcW w:w="1068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List of Subsidiaries (Included in the notes to the consolidated financial statements contained in this report)*</w:t>
            </w:r>
          </w:p>
        </w:tc>
        <w:tc>
          <w:tcPr>
            <w:tcW w:w="0" w:type="dxa"/>
            <w:vAlign w:val="bottom"/>
          </w:tcPr>
          <w:p>
            <w:pPr>
              <w:spacing w:after="0"/>
              <w:rPr>
                <w:sz w:val="1"/>
                <w:szCs w:val="1"/>
                <w:color w:val="auto"/>
              </w:rPr>
            </w:pPr>
          </w:p>
        </w:tc>
      </w:tr>
      <w:tr>
        <w:trPr>
          <w:trHeight w:val="168"/>
        </w:trPr>
        <w:tc>
          <w:tcPr>
            <w:tcW w:w="4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2"/>
              </w:rPr>
              <w:t>23.1</w:t>
            </w:r>
          </w:p>
        </w:tc>
        <w:tc>
          <w:tcPr>
            <w:tcW w:w="1660" w:type="dxa"/>
            <w:vAlign w:val="bottom"/>
            <w:tcBorders>
              <w:top w:val="single" w:sz="8" w:color="0000EE"/>
              <w:bottom w:val="single" w:sz="8" w:color="0000EE"/>
            </w:tcBorders>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97"/>
              </w:rPr>
              <w:t>Consent of Marcum LLP*</w:t>
            </w:r>
          </w:p>
        </w:tc>
        <w:tc>
          <w:tcPr>
            <w:tcW w:w="5080" w:type="dxa"/>
            <w:vAlign w:val="bottom"/>
            <w:tcBorders>
              <w:top w:val="single" w:sz="8" w:color="0000EE"/>
            </w:tcBorders>
            <w:gridSpan w:val="13"/>
          </w:tcPr>
          <w:p>
            <w:pPr>
              <w:spacing w:after="0"/>
              <w:rPr>
                <w:sz w:val="14"/>
                <w:szCs w:val="14"/>
                <w:color w:val="auto"/>
              </w:rPr>
            </w:pPr>
          </w:p>
        </w:tc>
        <w:tc>
          <w:tcPr>
            <w:tcW w:w="394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2"/>
              </w:rPr>
              <w:t>31.1</w:t>
            </w:r>
          </w:p>
        </w:tc>
        <w:tc>
          <w:tcPr>
            <w:tcW w:w="1068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Certification of Chief Executive Officer pursuant to Rule 13a-14 of the Securities Exchange Act of 1934, as amended*</w:t>
            </w:r>
          </w:p>
        </w:tc>
        <w:tc>
          <w:tcPr>
            <w:tcW w:w="0" w:type="dxa"/>
            <w:vAlign w:val="bottom"/>
          </w:tcPr>
          <w:p>
            <w:pPr>
              <w:spacing w:after="0"/>
              <w:rPr>
                <w:sz w:val="1"/>
                <w:szCs w:val="1"/>
                <w:color w:val="auto"/>
              </w:rPr>
            </w:pPr>
          </w:p>
        </w:tc>
      </w:tr>
      <w:tr>
        <w:trPr>
          <w:trHeight w:val="168"/>
        </w:trPr>
        <w:tc>
          <w:tcPr>
            <w:tcW w:w="4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2"/>
              </w:rPr>
              <w:t>31.2</w:t>
            </w:r>
          </w:p>
        </w:tc>
        <w:tc>
          <w:tcPr>
            <w:tcW w:w="7440" w:type="dxa"/>
            <w:vAlign w:val="bottom"/>
            <w:tcBorders>
              <w:top w:val="single" w:sz="8" w:color="0000EE"/>
            </w:tcBorders>
            <w:gridSpan w:val="19"/>
          </w:tcPr>
          <w:p>
            <w:pPr>
              <w:spacing w:after="0" w:line="168" w:lineRule="exact"/>
              <w:rPr>
                <w:sz w:val="20"/>
                <w:szCs w:val="20"/>
                <w:color w:val="auto"/>
              </w:rPr>
            </w:pPr>
            <w:r>
              <w:rPr>
                <w:rFonts w:ascii="Times New Roman" w:cs="Times New Roman" w:eastAsia="Times New Roman" w:hAnsi="Times New Roman"/>
                <w:sz w:val="16"/>
                <w:szCs w:val="16"/>
                <w:color w:val="0000EE"/>
                <w:w w:val="98"/>
              </w:rPr>
              <w:t>Certification of Chief Financial Officer pursuant to Rule 13a-14 of the Securities Exchange Act of 1934, as amended*</w:t>
            </w:r>
          </w:p>
        </w:tc>
        <w:tc>
          <w:tcPr>
            <w:tcW w:w="324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2"/>
              </w:rPr>
              <w:t>32.1</w:t>
            </w:r>
          </w:p>
        </w:tc>
        <w:tc>
          <w:tcPr>
            <w:tcW w:w="6340" w:type="dxa"/>
            <w:vAlign w:val="bottom"/>
            <w:tcBorders>
              <w:top w:val="single" w:sz="8" w:color="0000EE"/>
              <w:bottom w:val="single" w:sz="8" w:color="0000EE"/>
            </w:tcBorders>
            <w:gridSpan w:val="16"/>
          </w:tcPr>
          <w:p>
            <w:pPr>
              <w:spacing w:after="0" w:line="168" w:lineRule="exact"/>
              <w:rPr>
                <w:sz w:val="20"/>
                <w:szCs w:val="20"/>
                <w:color w:val="auto"/>
              </w:rPr>
            </w:pPr>
            <w:r>
              <w:rPr>
                <w:rFonts w:ascii="Times New Roman" w:cs="Times New Roman" w:eastAsia="Times New Roman" w:hAnsi="Times New Roman"/>
                <w:sz w:val="16"/>
                <w:szCs w:val="16"/>
                <w:color w:val="0000EE"/>
                <w:w w:val="97"/>
              </w:rPr>
              <w:t>Certification of Chief Executive Officer pursuant to Section 906 of the Sarbanes-Oxley Act of 2002*</w:t>
            </w:r>
          </w:p>
        </w:tc>
        <w:tc>
          <w:tcPr>
            <w:tcW w:w="1060" w:type="dxa"/>
            <w:vAlign w:val="bottom"/>
            <w:tcBorders>
              <w:top w:val="single" w:sz="8" w:color="0000EE"/>
            </w:tcBorders>
            <w:gridSpan w:val="2"/>
          </w:tcPr>
          <w:p>
            <w:pPr>
              <w:spacing w:after="0"/>
              <w:rPr>
                <w:sz w:val="14"/>
                <w:szCs w:val="14"/>
                <w:color w:val="auto"/>
              </w:rPr>
            </w:pPr>
          </w:p>
        </w:tc>
        <w:tc>
          <w:tcPr>
            <w:tcW w:w="32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2"/>
              </w:rPr>
              <w:t>32.2</w:t>
            </w:r>
          </w:p>
        </w:tc>
        <w:tc>
          <w:tcPr>
            <w:tcW w:w="1068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168"/>
        </w:trPr>
        <w:tc>
          <w:tcPr>
            <w:tcW w:w="4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2"/>
              </w:rPr>
              <w:t>97.1</w:t>
            </w:r>
          </w:p>
        </w:tc>
        <w:tc>
          <w:tcPr>
            <w:tcW w:w="4340" w:type="dxa"/>
            <w:vAlign w:val="bottom"/>
            <w:tcBorders>
              <w:top w:val="single" w:sz="8" w:color="0000EE"/>
              <w:bottom w:val="single" w:sz="8" w:color="0000EE"/>
            </w:tcBorders>
            <w:gridSpan w:val="11"/>
          </w:tcPr>
          <w:p>
            <w:pPr>
              <w:spacing w:after="0" w:line="168" w:lineRule="exact"/>
              <w:rPr>
                <w:sz w:val="20"/>
                <w:szCs w:val="20"/>
                <w:color w:val="auto"/>
              </w:rPr>
            </w:pPr>
            <w:r>
              <w:rPr>
                <w:rFonts w:ascii="Times New Roman" w:cs="Times New Roman" w:eastAsia="Times New Roman" w:hAnsi="Times New Roman"/>
                <w:sz w:val="16"/>
                <w:szCs w:val="16"/>
                <w:color w:val="0000EE"/>
                <w:w w:val="97"/>
              </w:rPr>
              <w:t>SuRo Capital Corp. Dodd-Frank Compensation Recoupment Policy*</w:t>
            </w:r>
          </w:p>
        </w:tc>
        <w:tc>
          <w:tcPr>
            <w:tcW w:w="1940" w:type="dxa"/>
            <w:vAlign w:val="bottom"/>
            <w:tcBorders>
              <w:top w:val="single" w:sz="8" w:color="0000EE"/>
            </w:tcBorders>
            <w:gridSpan w:val="4"/>
          </w:tcPr>
          <w:p>
            <w:pPr>
              <w:spacing w:after="0"/>
              <w:rPr>
                <w:sz w:val="14"/>
                <w:szCs w:val="14"/>
                <w:color w:val="auto"/>
              </w:rPr>
            </w:pPr>
          </w:p>
        </w:tc>
        <w:tc>
          <w:tcPr>
            <w:tcW w:w="44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 w:type="dxa"/>
            <w:vAlign w:val="bottom"/>
          </w:tcPr>
          <w:p>
            <w:pPr>
              <w:jc w:val="center"/>
              <w:ind w:right="42"/>
              <w:spacing w:after="0" w:line="168" w:lineRule="exact"/>
              <w:rPr>
                <w:sz w:val="20"/>
                <w:szCs w:val="20"/>
                <w:color w:val="auto"/>
              </w:rPr>
            </w:pPr>
            <w:r>
              <w:rPr>
                <w:rFonts w:ascii="Times New Roman" w:cs="Times New Roman" w:eastAsia="Times New Roman" w:hAnsi="Times New Roman"/>
                <w:sz w:val="16"/>
                <w:szCs w:val="16"/>
                <w:color w:val="auto"/>
                <w:w w:val="92"/>
              </w:rPr>
              <w:t>99.1</w:t>
            </w:r>
          </w:p>
        </w:tc>
        <w:tc>
          <w:tcPr>
            <w:tcW w:w="1068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Report of Marcum LLP regarding the Senior Securities table*</w:t>
            </w:r>
          </w:p>
        </w:tc>
        <w:tc>
          <w:tcPr>
            <w:tcW w:w="0" w:type="dxa"/>
            <w:vAlign w:val="bottom"/>
          </w:tcPr>
          <w:p>
            <w:pPr>
              <w:spacing w:after="0"/>
              <w:rPr>
                <w:sz w:val="1"/>
                <w:szCs w:val="1"/>
                <w:color w:val="auto"/>
              </w:rPr>
            </w:pPr>
          </w:p>
        </w:tc>
      </w:tr>
      <w:tr>
        <w:trPr>
          <w:trHeight w:val="20"/>
        </w:trPr>
        <w:tc>
          <w:tcPr>
            <w:tcW w:w="460" w:type="dxa"/>
            <w:vAlign w:val="bottom"/>
            <w:vMerge w:val="restart"/>
          </w:tcPr>
          <w:p>
            <w:pPr>
              <w:jc w:val="center"/>
              <w:ind w:right="42"/>
              <w:spacing w:after="0"/>
              <w:rPr>
                <w:sz w:val="20"/>
                <w:szCs w:val="20"/>
                <w:color w:val="auto"/>
              </w:rPr>
            </w:pPr>
            <w:r>
              <w:rPr>
                <w:rFonts w:ascii="Times New Roman" w:cs="Times New Roman" w:eastAsia="Times New Roman" w:hAnsi="Times New Roman"/>
                <w:sz w:val="16"/>
                <w:szCs w:val="16"/>
                <w:color w:val="auto"/>
                <w:w w:val="92"/>
              </w:rPr>
              <w:t>99.2</w:t>
            </w:r>
          </w:p>
        </w:tc>
        <w:tc>
          <w:tcPr>
            <w:tcW w:w="3880" w:type="dxa"/>
            <w:vAlign w:val="bottom"/>
            <w:gridSpan w:val="10"/>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2"/>
            <w:vMerge w:val="restart"/>
          </w:tcPr>
          <w:p>
            <w:pPr>
              <w:jc w:val="right"/>
              <w:spacing w:after="0" w:line="145" w:lineRule="exact"/>
              <w:rPr>
                <w:sz w:val="20"/>
                <w:szCs w:val="20"/>
                <w:color w:val="auto"/>
              </w:rPr>
            </w:pPr>
            <w:r>
              <w:rPr>
                <w:rFonts w:ascii="Times New Roman" w:cs="Times New Roman" w:eastAsia="Times New Roman" w:hAnsi="Times New Roman"/>
                <w:sz w:val="13"/>
                <w:szCs w:val="13"/>
                <w:color w:val="0000EE"/>
                <w:w w:val="78"/>
              </w:rPr>
              <w:t>(6)</w:t>
            </w:r>
          </w:p>
        </w:tc>
        <w:tc>
          <w:tcPr>
            <w:tcW w:w="61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 w:type="dxa"/>
            <w:vAlign w:val="bottom"/>
            <w:vMerge w:val="continue"/>
          </w:tcPr>
          <w:p>
            <w:pPr>
              <w:spacing w:after="0"/>
              <w:rPr>
                <w:sz w:val="12"/>
                <w:szCs w:val="12"/>
                <w:color w:val="auto"/>
              </w:rPr>
            </w:pPr>
          </w:p>
        </w:tc>
        <w:tc>
          <w:tcPr>
            <w:tcW w:w="4440" w:type="dxa"/>
            <w:vAlign w:val="bottom"/>
            <w:gridSpan w:val="12"/>
            <w:vMerge w:val="restart"/>
          </w:tcPr>
          <w:p>
            <w:pPr>
              <w:spacing w:after="0"/>
              <w:rPr>
                <w:rFonts w:ascii="Times New Roman" w:cs="Times New Roman" w:eastAsia="Times New Roman" w:hAnsi="Times New Roman"/>
                <w:sz w:val="16"/>
                <w:szCs w:val="16"/>
                <w:color w:val="0000EE"/>
                <w:w w:val="97"/>
              </w:rPr>
            </w:pPr>
            <w:hyperlink r:id="rId187">
              <w:r>
                <w:rPr>
                  <w:rFonts w:ascii="Times New Roman" w:cs="Times New Roman" w:eastAsia="Times New Roman" w:hAnsi="Times New Roman"/>
                  <w:sz w:val="16"/>
                  <w:szCs w:val="16"/>
                  <w:color w:val="0000EE"/>
                  <w:w w:val="97"/>
                </w:rPr>
                <w:t>Report of Deloitte &amp; Touche LLP regarding the Senior Securities table</w:t>
              </w:r>
            </w:hyperlink>
          </w:p>
        </w:tc>
        <w:tc>
          <w:tcPr>
            <w:tcW w:w="140" w:type="dxa"/>
            <w:vAlign w:val="bottom"/>
            <w:tcBorders>
              <w:bottom w:val="single" w:sz="8" w:color="0000EE"/>
            </w:tcBorders>
            <w:gridSpan w:val="2"/>
            <w:vMerge w:val="continue"/>
          </w:tcPr>
          <w:p>
            <w:pPr>
              <w:spacing w:after="0"/>
              <w:rPr>
                <w:sz w:val="12"/>
                <w:szCs w:val="12"/>
                <w:color w:val="auto"/>
              </w:rPr>
            </w:pPr>
          </w:p>
        </w:tc>
        <w:tc>
          <w:tcPr>
            <w:tcW w:w="6100" w:type="dxa"/>
            <w:vAlign w:val="bottom"/>
            <w:gridSpan w:val="1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60" w:type="dxa"/>
            <w:vAlign w:val="bottom"/>
            <w:vMerge w:val="continue"/>
          </w:tcPr>
          <w:p>
            <w:pPr>
              <w:spacing w:after="0"/>
              <w:rPr>
                <w:sz w:val="3"/>
                <w:szCs w:val="3"/>
                <w:color w:val="auto"/>
              </w:rPr>
            </w:pPr>
          </w:p>
        </w:tc>
        <w:tc>
          <w:tcPr>
            <w:tcW w:w="4440" w:type="dxa"/>
            <w:vAlign w:val="bottom"/>
            <w:tcBorders>
              <w:bottom w:val="single" w:sz="8" w:color="0000EE"/>
            </w:tcBorders>
            <w:gridSpan w:val="12"/>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610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6"/>
          <w:szCs w:val="16"/>
          <w:color w:val="auto"/>
        </w:rPr>
        <w:t>101.INS Inline XBRL Instance Document</w:t>
      </w:r>
    </w:p>
    <w:p>
      <w:pPr>
        <w:spacing w:after="0" w:line="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101.SCHInline XBRL Taxonomy Extension Schema Document</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101.CALInline XBRL Taxonomy Extension Calculation Linkbase Document</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101.DEFInline XBRL Taxonomy Extension Definition Linkbase Document</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101.LABInline XBRL Taxonomy Extension Label Linkbase Document</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101.PREInline XBRL Taxonomy Extension Presentation Linkbase Document</w:t>
      </w:r>
    </w:p>
    <w:p>
      <w:pPr>
        <w:spacing w:after="0" w:line="4" w:lineRule="exact"/>
        <w:rPr>
          <w:sz w:val="20"/>
          <w:szCs w:val="20"/>
          <w:color w:val="auto"/>
        </w:rPr>
      </w:pPr>
    </w:p>
    <w:p>
      <w:pPr>
        <w:ind w:left="586" w:hanging="410"/>
        <w:spacing w:after="0"/>
        <w:tabs>
          <w:tab w:leader="none" w:pos="586"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11" w:lineRule="exact"/>
        <w:rPr>
          <w:rFonts w:ascii="Times New Roman" w:cs="Times New Roman" w:eastAsia="Times New Roman" w:hAnsi="Times New Roman"/>
          <w:sz w:val="16"/>
          <w:szCs w:val="16"/>
          <w:color w:val="auto"/>
        </w:rPr>
      </w:pPr>
    </w:p>
    <w:p>
      <w:pPr>
        <w:ind w:left="286" w:right="20" w:hanging="286"/>
        <w:spacing w:after="0" w:line="270" w:lineRule="auto"/>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Pre-Effective Amendment No. 2 to the Registrant’s Registration Statement on Form N-2 (File No. 333-171578), filed on March 30, 2011, and incorporated by reference herein.</w:t>
      </w:r>
    </w:p>
    <w:p>
      <w:pPr>
        <w:spacing w:after="0" w:line="150"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June 1, 2011, and incorporated by reference herein.</w:t>
      </w:r>
    </w:p>
    <w:p>
      <w:pPr>
        <w:spacing w:after="0" w:line="192"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August 1, 2019, and incorporated by reference herein.</w:t>
      </w:r>
    </w:p>
    <w:p>
      <w:pPr>
        <w:spacing w:after="0" w:line="192"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June 16, 2020, and incorporated by reference herein.</w:t>
      </w:r>
    </w:p>
    <w:p>
      <w:pPr>
        <w:spacing w:after="0" w:line="192" w:lineRule="exact"/>
        <w:rPr>
          <w:rFonts w:ascii="Times New Roman" w:cs="Times New Roman" w:eastAsia="Times New Roman" w:hAnsi="Times New Roman"/>
          <w:sz w:val="16"/>
          <w:szCs w:val="16"/>
          <w:color w:val="auto"/>
        </w:rPr>
      </w:pPr>
    </w:p>
    <w:p>
      <w:pPr>
        <w:ind w:left="286" w:hanging="286"/>
        <w:spacing w:after="0" w:line="270" w:lineRule="auto"/>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Pre-Effective Amendment No. 3 to the Registrant’s Registration Statement on Form N-2 (File No. 333-175655), filed on September 20, 2011, and incorporated by reference herein.</w:t>
      </w:r>
    </w:p>
    <w:p>
      <w:pPr>
        <w:spacing w:after="0" w:line="150"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 in connection with the Registrant’s Registration Statement on Form N-2 (File No. 333-239681), filed on July 2, 2020 and incorporated by reference herein.</w:t>
      </w:r>
    </w:p>
    <w:p>
      <w:pPr>
        <w:spacing w:after="0" w:line="203" w:lineRule="exact"/>
        <w:rPr>
          <w:rFonts w:ascii="Times New Roman" w:cs="Times New Roman" w:eastAsia="Times New Roman" w:hAnsi="Times New Roman"/>
          <w:sz w:val="15"/>
          <w:szCs w:val="15"/>
          <w:color w:val="auto"/>
        </w:rPr>
      </w:pPr>
    </w:p>
    <w:p>
      <w:pPr>
        <w:ind w:left="286" w:hanging="286"/>
        <w:spacing w:after="0"/>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December 17, 2021 and incorporated by reference herein.</w:t>
      </w:r>
    </w:p>
    <w:p>
      <w:pPr>
        <w:spacing w:after="0" w:line="192"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Annual Report on Form 10-K (File No. 814-00852) filed on March 11, 2022 and incorporated by reference herein.</w:t>
      </w:r>
    </w:p>
    <w:p>
      <w:pPr>
        <w:spacing w:after="0" w:line="192"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Registration Statement on Form S-8 (File No. 333-239662) filed on July 2, 2020, and incorporated by reference herein.</w:t>
      </w:r>
    </w:p>
    <w:p>
      <w:pPr>
        <w:spacing w:after="0" w:line="192" w:lineRule="exact"/>
        <w:rPr>
          <w:rFonts w:ascii="Times New Roman" w:cs="Times New Roman" w:eastAsia="Times New Roman" w:hAnsi="Times New Roman"/>
          <w:sz w:val="16"/>
          <w:szCs w:val="16"/>
          <w:color w:val="auto"/>
        </w:rPr>
      </w:pPr>
    </w:p>
    <w:p>
      <w:pPr>
        <w:ind w:left="286" w:right="20" w:hanging="286"/>
        <w:spacing w:after="0" w:line="270" w:lineRule="auto"/>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Pre-Effective Amendment No. 3 to the Registrant’s Registration Statement on Form N-2 (File No. 333-171578), filed on April 15, 2011, and incorporated by reference herein.</w:t>
      </w:r>
    </w:p>
    <w:p>
      <w:pPr>
        <w:spacing w:after="0" w:line="150"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November 1, 2022, and incorporated by reference herein.</w:t>
      </w:r>
    </w:p>
    <w:p>
      <w:pPr>
        <w:spacing w:after="0" w:line="192"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Quarterly Report on Form 10-Q (File No. 814-00852), filed on May 6, 2021 and incorporated by reference herein.</w:t>
      </w:r>
    </w:p>
    <w:p>
      <w:pPr>
        <w:spacing w:after="0" w:line="192"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August 3, 2020 and incorporated by reference herein.</w:t>
      </w:r>
    </w:p>
    <w:p>
      <w:pPr>
        <w:spacing w:after="0" w:line="192"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September 23, 2020 and incorporated by reference herein.</w:t>
      </w:r>
    </w:p>
    <w:p>
      <w:pPr>
        <w:spacing w:after="0" w:line="192"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Current Report on Form 8-K (File No. 814-00852), filed on April 20, 2023 and incorporated by reference herein.</w:t>
      </w:r>
    </w:p>
    <w:p>
      <w:pPr>
        <w:spacing w:after="0" w:line="192"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Annual Report on Form 10-K (File No. 814-00852), filed on March 16, 2023 and incorporated by reference herein.</w:t>
      </w:r>
    </w:p>
    <w:p>
      <w:pPr>
        <w:spacing w:after="0" w:line="192"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in connection with the Registrant’s Annual Report on Form 10-K (File No. 814-00852), filed on March 13, 2020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-4307840</wp:posOffset>
            </wp:positionV>
            <wp:extent cx="179133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7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 Filed herewith.</w:t>
      </w:r>
    </w:p>
    <w:p>
      <w:pPr>
        <w:spacing w:after="0" w:line="190" w:lineRule="exact"/>
        <w:rPr>
          <w:sz w:val="20"/>
          <w:szCs w:val="20"/>
          <w:color w:val="auto"/>
        </w:rPr>
      </w:pPr>
    </w:p>
    <w:p>
      <w:pPr>
        <w:ind w:left="6"/>
        <w:spacing w:after="0"/>
        <w:tabs>
          <w:tab w:leader="none" w:pos="826"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5"/>
          <w:szCs w:val="15"/>
          <w:b w:val="1"/>
          <w:bCs w:val="1"/>
          <w:color w:val="auto"/>
        </w:rPr>
        <w:t>Form 10-K Summary</w:t>
      </w:r>
    </w:p>
    <w:p>
      <w:pPr>
        <w:spacing w:after="0" w:line="194"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6"/>
          <w:szCs w:val="16"/>
          <w:color w:val="auto"/>
        </w:rPr>
        <w:t>Not applicable.</w:t>
      </w:r>
    </w:p>
    <w:p>
      <w:pPr>
        <w:sectPr>
          <w:pgSz w:w="11900" w:h="16838" w:orient="portrait"/>
          <w:cols w:equalWidth="0" w:num="1">
            <w:col w:w="11266"/>
          </w:cols>
          <w:pgMar w:left="314" w:top="217" w:right="319" w:bottom="1440" w:gutter="0" w:footer="0" w:header="0"/>
        </w:sectPr>
      </w:pPr>
    </w:p>
    <w:p>
      <w:pPr>
        <w:spacing w:after="0" w:line="192"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217" w:right="31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4" w:lineRule="exact"/>
        <w:rPr>
          <w:sz w:val="20"/>
          <w:szCs w:val="20"/>
          <w:color w:val="auto"/>
        </w:rPr>
      </w:pPr>
    </w:p>
    <w:p>
      <w:pPr>
        <w:ind w:right="20" w:firstLine="282"/>
        <w:spacing w:after="0" w:line="27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SURO CAPITAL CORP.</w:t>
      </w:r>
    </w:p>
    <w:p>
      <w:pPr>
        <w:spacing w:after="0" w:line="192" w:lineRule="exact"/>
        <w:rPr>
          <w:sz w:val="20"/>
          <w:szCs w:val="20"/>
          <w:color w:val="auto"/>
        </w:rPr>
      </w:pPr>
    </w:p>
    <w:p>
      <w:pPr>
        <w:spacing w:after="0"/>
        <w:tabs>
          <w:tab w:leader="none" w:pos="540" w:val="left"/>
          <w:tab w:leader="none" w:pos="5620" w:val="left"/>
        </w:tabs>
        <w:rPr>
          <w:sz w:val="20"/>
          <w:szCs w:val="20"/>
          <w:color w:val="auto"/>
        </w:rPr>
      </w:pPr>
      <w:r>
        <w:rPr>
          <w:rFonts w:ascii="Times New Roman" w:cs="Times New Roman" w:eastAsia="Times New Roman" w:hAnsi="Times New Roman"/>
          <w:sz w:val="16"/>
          <w:szCs w:val="16"/>
          <w:color w:val="auto"/>
        </w:rPr>
        <w:t>Date:</w:t>
        <w:tab/>
        <w:t>March 14, 2024</w:t>
      </w:r>
      <w:r>
        <w:rPr>
          <w:sz w:val="20"/>
          <w:szCs w:val="20"/>
          <w:color w:val="auto"/>
        </w:rPr>
        <w:tab/>
      </w: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14605</wp:posOffset>
            </wp:positionV>
            <wp:extent cx="335851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3358515" cy="15240"/>
                    </a:xfrm>
                    <a:prstGeom prst="rect">
                      <a:avLst/>
                    </a:prstGeom>
                    <a:noFill/>
                  </pic:spPr>
                </pic:pic>
              </a:graphicData>
            </a:graphic>
          </wp:anchor>
        </w:drawing>
      </w:r>
    </w:p>
    <w:p>
      <w:pPr>
        <w:spacing w:after="0" w:line="1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b w:val="1"/>
          <w:bCs w:val="1"/>
          <w:color w:val="auto"/>
        </w:rPr>
        <w:t>Mark D. Klein</w:t>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p>
      <w:pPr>
        <w:spacing w:after="0" w:line="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75" w:lineRule="exact"/>
        <w:rPr>
          <w:sz w:val="20"/>
          <w:szCs w:val="20"/>
          <w:color w:val="auto"/>
        </w:rPr>
      </w:pPr>
    </w:p>
    <w:p>
      <w:pPr>
        <w:spacing w:after="0"/>
        <w:tabs>
          <w:tab w:leader="none" w:pos="540" w:val="left"/>
          <w:tab w:leader="none" w:pos="5620" w:val="left"/>
        </w:tabs>
        <w:rPr>
          <w:sz w:val="20"/>
          <w:szCs w:val="20"/>
          <w:color w:val="auto"/>
        </w:rPr>
      </w:pPr>
      <w:r>
        <w:rPr>
          <w:rFonts w:ascii="Times New Roman" w:cs="Times New Roman" w:eastAsia="Times New Roman" w:hAnsi="Times New Roman"/>
          <w:sz w:val="16"/>
          <w:szCs w:val="16"/>
          <w:color w:val="auto"/>
        </w:rPr>
        <w:t>Date:</w:t>
        <w:tab/>
        <w:t>March 14, 2024</w:t>
      </w:r>
      <w:r>
        <w:rPr>
          <w:sz w:val="20"/>
          <w:szCs w:val="20"/>
          <w:color w:val="auto"/>
        </w:rPr>
        <w:tab/>
      </w: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14605</wp:posOffset>
            </wp:positionV>
            <wp:extent cx="335851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3358515" cy="15240"/>
                    </a:xfrm>
                    <a:prstGeom prst="rect">
                      <a:avLst/>
                    </a:prstGeom>
                    <a:noFill/>
                  </pic:spPr>
                </pic:pic>
              </a:graphicData>
            </a:graphic>
          </wp:anchor>
        </w:drawing>
      </w:r>
    </w:p>
    <w:p>
      <w:pPr>
        <w:spacing w:after="0" w:line="1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b w:val="1"/>
          <w:bCs w:val="1"/>
          <w:color w:val="auto"/>
        </w:rPr>
        <w:t>Allison Green</w:t>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Chief Financial Officer, Chief Compliance Officer, Treasurer, and Corporate</w:t>
      </w:r>
    </w:p>
    <w:p>
      <w:pPr>
        <w:spacing w:after="0" w:line="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Secretary</w:t>
      </w:r>
    </w:p>
    <w:p>
      <w:pPr>
        <w:spacing w:after="0" w:line="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177" w:lineRule="exact"/>
        <w:rPr>
          <w:sz w:val="20"/>
          <w:szCs w:val="20"/>
          <w:color w:val="auto"/>
        </w:rPr>
      </w:pPr>
    </w:p>
    <w:p>
      <w:pPr>
        <w:ind w:firstLine="282"/>
        <w:spacing w:after="0" w:line="27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2024</w:t>
            </w:r>
          </w:p>
        </w:tc>
        <w:tc>
          <w:tcPr>
            <w:tcW w:w="252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/s/ Mark D. Klein</w:t>
            </w:r>
          </w:p>
        </w:tc>
      </w:tr>
      <w:tr>
        <w:trPr>
          <w:trHeight w:val="172"/>
        </w:trPr>
        <w:tc>
          <w:tcPr>
            <w:tcW w:w="3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7"/>
              </w:rPr>
              <w:t>Mark D. Klein</w:t>
            </w:r>
          </w:p>
        </w:tc>
      </w:tr>
      <w:tr>
        <w:trPr>
          <w:trHeight w:val="188"/>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Chairman, President and Chief Executive Officer</w:t>
            </w:r>
          </w:p>
        </w:tc>
      </w:tr>
      <w:tr>
        <w:trPr>
          <w:trHeight w:val="204"/>
        </w:trPr>
        <w:tc>
          <w:tcPr>
            <w:tcW w:w="34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(Principal Executive Officer)</w:t>
            </w:r>
          </w:p>
        </w:tc>
      </w:tr>
      <w:tr>
        <w:trPr>
          <w:trHeight w:val="38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2024</w:t>
            </w:r>
          </w:p>
        </w:tc>
        <w:tc>
          <w:tcPr>
            <w:tcW w:w="252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/s/ Allison Green</w:t>
            </w:r>
          </w:p>
        </w:tc>
      </w:tr>
      <w:tr>
        <w:trPr>
          <w:trHeight w:val="172"/>
        </w:trPr>
        <w:tc>
          <w:tcPr>
            <w:tcW w:w="3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9"/>
              </w:rPr>
              <w:t>Allison Green</w:t>
            </w:r>
          </w:p>
        </w:tc>
      </w:tr>
      <w:tr>
        <w:trPr>
          <w:trHeight w:val="188"/>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Chief Financial Officer, Chief Compliance Officer, Treasurer, and Corporate</w:t>
            </w:r>
          </w:p>
        </w:tc>
      </w:tr>
      <w:tr>
        <w:trPr>
          <w:trHeight w:val="188"/>
        </w:trPr>
        <w:tc>
          <w:tcPr>
            <w:tcW w:w="34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Secretary</w:t>
            </w:r>
          </w:p>
        </w:tc>
      </w:tr>
      <w:tr>
        <w:trPr>
          <w:trHeight w:val="204"/>
        </w:trPr>
        <w:tc>
          <w:tcPr>
            <w:tcW w:w="34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(Principal Financial and Accounting Officer)</w:t>
            </w:r>
          </w:p>
        </w:tc>
      </w:tr>
      <w:tr>
        <w:trPr>
          <w:trHeight w:val="38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2024</w:t>
            </w:r>
          </w:p>
        </w:tc>
        <w:tc>
          <w:tcPr>
            <w:tcW w:w="252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/s/ Leonard A. Potter</w:t>
            </w:r>
          </w:p>
        </w:tc>
      </w:tr>
      <w:tr>
        <w:trPr>
          <w:trHeight w:val="172"/>
        </w:trPr>
        <w:tc>
          <w:tcPr>
            <w:tcW w:w="3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7"/>
              </w:rPr>
              <w:t>Leonard A. Potter</w:t>
            </w:r>
          </w:p>
        </w:tc>
      </w:tr>
      <w:tr>
        <w:trPr>
          <w:trHeight w:val="204"/>
        </w:trPr>
        <w:tc>
          <w:tcPr>
            <w:tcW w:w="34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38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2024</w:t>
            </w:r>
          </w:p>
        </w:tc>
        <w:tc>
          <w:tcPr>
            <w:tcW w:w="252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/s/ Ronald M. Lott</w:t>
            </w:r>
          </w:p>
        </w:tc>
      </w:tr>
      <w:tr>
        <w:trPr>
          <w:trHeight w:val="172"/>
        </w:trPr>
        <w:tc>
          <w:tcPr>
            <w:tcW w:w="3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7"/>
              </w:rPr>
              <w:t>Ronald M. Lott</w:t>
            </w:r>
          </w:p>
        </w:tc>
      </w:tr>
      <w:tr>
        <w:trPr>
          <w:trHeight w:val="204"/>
        </w:trPr>
        <w:tc>
          <w:tcPr>
            <w:tcW w:w="34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38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2024</w:t>
            </w:r>
          </w:p>
        </w:tc>
        <w:tc>
          <w:tcPr>
            <w:tcW w:w="252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/s/ Marc Mazur</w:t>
            </w:r>
          </w:p>
        </w:tc>
      </w:tr>
      <w:tr>
        <w:trPr>
          <w:trHeight w:val="172"/>
        </w:trPr>
        <w:tc>
          <w:tcPr>
            <w:tcW w:w="3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8"/>
              </w:rPr>
              <w:t>Marc Mazur</w:t>
            </w:r>
          </w:p>
        </w:tc>
      </w:tr>
      <w:tr>
        <w:trPr>
          <w:trHeight w:val="204"/>
        </w:trPr>
        <w:tc>
          <w:tcPr>
            <w:tcW w:w="34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381"/>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 March 14, 2024</w:t>
            </w:r>
          </w:p>
        </w:tc>
        <w:tc>
          <w:tcPr>
            <w:tcW w:w="252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/s/ Lisa Westley</w:t>
            </w:r>
          </w:p>
        </w:tc>
      </w:tr>
      <w:tr>
        <w:trPr>
          <w:trHeight w:val="172"/>
        </w:trPr>
        <w:tc>
          <w:tcPr>
            <w:tcW w:w="34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30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8"/>
              </w:rPr>
              <w:t>Lisa Westley</w:t>
            </w:r>
          </w:p>
        </w:tc>
      </w:tr>
      <w:tr>
        <w:trPr>
          <w:trHeight w:val="204"/>
        </w:trPr>
        <w:tc>
          <w:tcPr>
            <w:tcW w:w="34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381"/>
        </w:trPr>
        <w:tc>
          <w:tcPr>
            <w:tcW w:w="34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6"/>
                <w:szCs w:val="16"/>
                <w:color w:val="auto"/>
              </w:rPr>
              <w:t>119</w:t>
            </w: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217"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19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AMENDMENT NO. 1 TO</w:t>
      </w:r>
    </w:p>
    <w:p>
      <w:pPr>
        <w:spacing w:after="0" w:line="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SECOND AMENDED AND RESTATED</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EMPLOYMENT AGREEMENT</w:t>
      </w:r>
    </w:p>
    <w:p>
      <w:pPr>
        <w:spacing w:after="0" w:line="175" w:lineRule="exact"/>
        <w:rPr>
          <w:sz w:val="20"/>
          <w:szCs w:val="20"/>
          <w:color w:val="auto"/>
        </w:rPr>
      </w:pPr>
    </w:p>
    <w:p>
      <w:pPr>
        <w:ind w:left="6" w:firstLine="564"/>
        <w:spacing w:after="0" w:line="273" w:lineRule="auto"/>
        <w:rPr>
          <w:sz w:val="20"/>
          <w:szCs w:val="20"/>
          <w:color w:val="auto"/>
        </w:rPr>
      </w:pPr>
      <w:r>
        <w:rPr>
          <w:rFonts w:ascii="Times New Roman" w:cs="Times New Roman" w:eastAsia="Times New Roman" w:hAnsi="Times New Roman"/>
          <w:sz w:val="16"/>
          <w:szCs w:val="16"/>
          <w:color w:val="auto"/>
        </w:rPr>
        <w:t>This Amendment No. 1 to the Second Amended and Restated Employment Agreement (this “</w:t>
      </w:r>
      <w:r>
        <w:rPr>
          <w:rFonts w:ascii="Times New Roman" w:cs="Times New Roman" w:eastAsia="Times New Roman" w:hAnsi="Times New Roman"/>
          <w:sz w:val="16"/>
          <w:szCs w:val="16"/>
          <w:b w:val="1"/>
          <w:bCs w:val="1"/>
          <w:color w:val="auto"/>
        </w:rPr>
        <w:t>Amendment</w:t>
      </w:r>
      <w:r>
        <w:rPr>
          <w:rFonts w:ascii="Times New Roman" w:cs="Times New Roman" w:eastAsia="Times New Roman" w:hAnsi="Times New Roman"/>
          <w:sz w:val="16"/>
          <w:szCs w:val="16"/>
          <w:color w:val="auto"/>
        </w:rPr>
        <w:t>”) is effective as of November 28, 2023, by and between SuRo Capital Corp., a Maryland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Mark D. Klein (the “</w:t>
      </w:r>
      <w:r>
        <w:rPr>
          <w:rFonts w:ascii="Times New Roman" w:cs="Times New Roman" w:eastAsia="Times New Roman" w:hAnsi="Times New Roman"/>
          <w:sz w:val="16"/>
          <w:szCs w:val="16"/>
          <w:b w:val="1"/>
          <w:bCs w:val="1"/>
          <w:color w:val="auto"/>
        </w:rPr>
        <w:t>Executive</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ind w:left="6" w:right="20" w:firstLine="564"/>
        <w:spacing w:after="0" w:line="270" w:lineRule="auto"/>
        <w:rPr>
          <w:sz w:val="20"/>
          <w:szCs w:val="20"/>
          <w:color w:val="auto"/>
        </w:rPr>
      </w:pPr>
      <w:r>
        <w:rPr>
          <w:rFonts w:ascii="Times New Roman" w:cs="Times New Roman" w:eastAsia="Times New Roman" w:hAnsi="Times New Roman"/>
          <w:sz w:val="16"/>
          <w:szCs w:val="16"/>
          <w:color w:val="auto"/>
        </w:rPr>
        <w:t>WHEREAS, the Company is an internally managed, closed-end management investment company that has elected to be treated as a business development company under the Investment Company Act of 1940, as amended;</w:t>
      </w:r>
    </w:p>
    <w:p>
      <w:pPr>
        <w:spacing w:after="0" w:line="150" w:lineRule="exact"/>
        <w:rPr>
          <w:sz w:val="20"/>
          <w:szCs w:val="20"/>
          <w:color w:val="auto"/>
        </w:rPr>
      </w:pPr>
    </w:p>
    <w:p>
      <w:pPr>
        <w:ind w:left="6" w:right="20" w:firstLine="564"/>
        <w:spacing w:after="0" w:line="270" w:lineRule="auto"/>
        <w:rPr>
          <w:sz w:val="20"/>
          <w:szCs w:val="20"/>
          <w:color w:val="auto"/>
        </w:rPr>
      </w:pPr>
      <w:r>
        <w:rPr>
          <w:rFonts w:ascii="Times New Roman" w:cs="Times New Roman" w:eastAsia="Times New Roman" w:hAnsi="Times New Roman"/>
          <w:sz w:val="16"/>
          <w:szCs w:val="16"/>
          <w:color w:val="auto"/>
        </w:rPr>
        <w:t>WHEREAS, the Company and the Executive previously entered into an employment agreement, dated April 23, 2019, which was amended and restated as of April 28, 2020 and again amended and restated as of April 26, 2021 (the “</w:t>
      </w:r>
      <w:r>
        <w:rPr>
          <w:rFonts w:ascii="Times New Roman" w:cs="Times New Roman" w:eastAsia="Times New Roman" w:hAnsi="Times New Roman"/>
          <w:sz w:val="16"/>
          <w:szCs w:val="16"/>
          <w:b w:val="1"/>
          <w:bCs w:val="1"/>
          <w:color w:val="auto"/>
        </w:rPr>
        <w:t>Second Amended and Restated Employment Agreement</w:t>
      </w:r>
      <w:r>
        <w:rPr>
          <w:rFonts w:ascii="Times New Roman" w:cs="Times New Roman" w:eastAsia="Times New Roman" w:hAnsi="Times New Roman"/>
          <w:sz w:val="16"/>
          <w:szCs w:val="16"/>
          <w:color w:val="auto"/>
        </w:rPr>
        <w:t>”); and</w:t>
      </w:r>
    </w:p>
    <w:p>
      <w:pPr>
        <w:spacing w:after="0" w:line="150" w:lineRule="exact"/>
        <w:rPr>
          <w:sz w:val="20"/>
          <w:szCs w:val="20"/>
          <w:color w:val="auto"/>
        </w:rPr>
      </w:pPr>
    </w:p>
    <w:p>
      <w:pPr>
        <w:ind w:left="6" w:right="20" w:firstLine="564"/>
        <w:spacing w:after="0" w:line="270" w:lineRule="auto"/>
        <w:rPr>
          <w:sz w:val="20"/>
          <w:szCs w:val="20"/>
          <w:color w:val="auto"/>
        </w:rPr>
      </w:pPr>
      <w:r>
        <w:rPr>
          <w:rFonts w:ascii="Times New Roman" w:cs="Times New Roman" w:eastAsia="Times New Roman" w:hAnsi="Times New Roman"/>
          <w:sz w:val="16"/>
          <w:szCs w:val="16"/>
          <w:color w:val="auto"/>
        </w:rPr>
        <w:t>WHEREAS, the parties desire to amend the Second Amended and Restated Employment Agreement as set forth herein to secure the Executive’s employment during the Term (as hereinafter defined) on the terms and conditions set forth herein.</w:t>
      </w:r>
    </w:p>
    <w:p>
      <w:pPr>
        <w:spacing w:after="0" w:line="150" w:lineRule="exact"/>
        <w:rPr>
          <w:sz w:val="20"/>
          <w:szCs w:val="20"/>
          <w:color w:val="auto"/>
        </w:rPr>
      </w:pPr>
    </w:p>
    <w:p>
      <w:pPr>
        <w:ind w:left="6" w:firstLine="564"/>
        <w:spacing w:after="0" w:line="270" w:lineRule="auto"/>
        <w:rPr>
          <w:sz w:val="20"/>
          <w:szCs w:val="20"/>
          <w:color w:val="auto"/>
        </w:rPr>
      </w:pPr>
      <w:r>
        <w:rPr>
          <w:rFonts w:ascii="Times New Roman" w:cs="Times New Roman" w:eastAsia="Times New Roman" w:hAnsi="Times New Roman"/>
          <w:sz w:val="16"/>
          <w:szCs w:val="16"/>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150" w:lineRule="exact"/>
        <w:rPr>
          <w:sz w:val="20"/>
          <w:szCs w:val="20"/>
          <w:color w:val="auto"/>
        </w:rPr>
      </w:pPr>
    </w:p>
    <w:p>
      <w:pPr>
        <w:ind w:left="286" w:right="20" w:hanging="286"/>
        <w:spacing w:after="0" w:line="270" w:lineRule="auto"/>
        <w:tabs>
          <w:tab w:leader="none" w:pos="28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 TO SECTION 2. The first and second sentences of Section 2 of the Second Amended and Restated Employment Agreement are hereby amended to read as follows:</w:t>
      </w:r>
    </w:p>
    <w:p>
      <w:pPr>
        <w:spacing w:after="0" w:line="150" w:lineRule="exact"/>
        <w:rPr>
          <w:sz w:val="20"/>
          <w:szCs w:val="20"/>
          <w:color w:val="auto"/>
        </w:rPr>
      </w:pPr>
    </w:p>
    <w:p>
      <w:pPr>
        <w:jc w:val="both"/>
        <w:ind w:left="566"/>
        <w:spacing w:after="0" w:line="253" w:lineRule="auto"/>
        <w:rPr>
          <w:sz w:val="20"/>
          <w:szCs w:val="20"/>
          <w:color w:val="auto"/>
        </w:rPr>
      </w:pPr>
      <w:r>
        <w:rPr>
          <w:rFonts w:ascii="Times New Roman" w:cs="Times New Roman" w:eastAsia="Times New Roman" w:hAnsi="Times New Roman"/>
          <w:sz w:val="16"/>
          <w:szCs w:val="16"/>
          <w:color w:val="auto"/>
        </w:rPr>
        <w:t xml:space="preserve">“Subject to the provisions of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the Executive’s employment by the Company under this Agreement commenced on March 12, 2019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and shall end on December 31, 2026 (the “</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xml:space="preserve">”). Unless terminated earlier pursuant to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the Term shall be automatically extended for one year on December 31, 2026, and then on each succeeding anniversary of December 31, 2026, unless either party elects, in writing, to terminate this Agreement at least thirty (30) days prior to the expiration of the then current Term.”</w:t>
      </w:r>
    </w:p>
    <w:p>
      <w:pPr>
        <w:spacing w:after="0" w:line="164" w:lineRule="exact"/>
        <w:rPr>
          <w:sz w:val="20"/>
          <w:szCs w:val="20"/>
          <w:color w:val="auto"/>
        </w:rPr>
      </w:pPr>
    </w:p>
    <w:p>
      <w:pPr>
        <w:jc w:val="both"/>
        <w:ind w:left="286" w:hanging="286"/>
        <w:spacing w:after="0" w:line="251" w:lineRule="auto"/>
        <w:tabs>
          <w:tab w:leader="none" w:pos="286"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MISCELLANEOUS. Except as otherwise expressly provided herein, the terms of the Second Amended and Restated Employment Agreement shall remain in full force and effect. The Second Amended and Restated Employment Agreement, as amended hereby, constitute the entire agreement between the parties hereto relating to the subject matter hereof, and supersedes all prior agreements and understandings, whether oral or written, with respect to the same. No modification, alteration, amendment or revision of or supplement to the Second Amended and Restated Employment Agreement, as amended hereby, shall be valid or effective unless the same is in writing and signed by both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715010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309" w:right="319" w:bottom="1440" w:gutter="0" w:footer="0" w:header="0"/>
        </w:sectPr>
      </w:pPr>
    </w:p>
    <w:bookmarkStart w:id="123" w:name="page124"/>
    <w:bookmarkEnd w:id="123"/>
    <w:p>
      <w:pPr>
        <w:spacing w:after="0" w:line="270" w:lineRule="auto"/>
        <w:rPr>
          <w:sz w:val="20"/>
          <w:szCs w:val="20"/>
          <w:color w:val="auto"/>
        </w:rPr>
      </w:pPr>
      <w:r>
        <w:rPr>
          <w:rFonts w:ascii="Times New Roman" w:cs="Times New Roman" w:eastAsia="Times New Roman" w:hAnsi="Times New Roman"/>
          <w:sz w:val="16"/>
          <w:szCs w:val="16"/>
          <w:color w:val="auto"/>
        </w:rPr>
        <w:t>IN WITNESS WHEREOF, the parties have executed this Amendment No. 1 to the Second Amended and Restated Employment Agreement as of the day and year first above written.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EXECUTIVE</w:t>
            </w: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SURO CAPITAL CORP.</w:t>
            </w:r>
            <w:r>
              <w:rPr>
                <w:rFonts w:ascii="Times New Roman" w:cs="Times New Roman" w:eastAsia="Times New Roman" w:hAnsi="Times New Roman"/>
                <w:sz w:val="16"/>
                <w:szCs w:val="16"/>
                <w:color w:val="auto"/>
              </w:rPr>
              <w:t>:</w:t>
            </w:r>
          </w:p>
        </w:tc>
      </w:tr>
      <w:tr>
        <w:trPr>
          <w:trHeight w:val="381"/>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/s/ Mark D. Klein</w:t>
            </w:r>
          </w:p>
        </w:tc>
        <w:tc>
          <w:tcPr>
            <w:tcW w:w="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 Allison Green</w:t>
            </w:r>
          </w:p>
        </w:tc>
      </w:tr>
      <w:tr>
        <w:trPr>
          <w:trHeight w:val="172"/>
        </w:trPr>
        <w:tc>
          <w:tcPr>
            <w:tcW w:w="20" w:type="dxa"/>
            <w:vAlign w:val="bottom"/>
          </w:tcPr>
          <w:p>
            <w:pPr>
              <w:spacing w:after="0"/>
              <w:rPr>
                <w:sz w:val="14"/>
                <w:szCs w:val="14"/>
                <w:color w:val="auto"/>
              </w:rPr>
            </w:pPr>
          </w:p>
        </w:tc>
        <w:tc>
          <w:tcPr>
            <w:tcW w:w="55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Mark D. Klein</w:t>
            </w:r>
          </w:p>
        </w:tc>
        <w:tc>
          <w:tcPr>
            <w:tcW w:w="780" w:type="dxa"/>
            <w:vAlign w:val="bottom"/>
          </w:tcPr>
          <w:p>
            <w:pPr>
              <w:ind w:left="240"/>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496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Allison Green</w:t>
            </w:r>
          </w:p>
        </w:tc>
      </w:tr>
      <w:tr>
        <w:trPr>
          <w:trHeight w:val="188"/>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Chief Compliance Officer, Treasurer and Corporate</w:t>
            </w:r>
          </w:p>
        </w:tc>
      </w:tr>
      <w:tr>
        <w:trPr>
          <w:trHeight w:val="204"/>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Secretary</w:t>
            </w:r>
          </w:p>
        </w:tc>
      </w:tr>
      <w:tr>
        <w:trPr>
          <w:trHeight w:val="381"/>
        </w:trPr>
        <w:tc>
          <w:tcPr>
            <w:tcW w:w="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17" w:right="3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6"/>
          <w:szCs w:val="16"/>
          <w:b w:val="1"/>
          <w:bCs w:val="1"/>
          <w:color w:val="auto"/>
        </w:rPr>
        <w:t>Exhibit 10.15</w:t>
      </w:r>
    </w:p>
    <w:p>
      <w:pPr>
        <w:spacing w:after="0" w:line="19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AMENDMENT NO. 2 TO</w:t>
      </w:r>
    </w:p>
    <w:p>
      <w:pPr>
        <w:spacing w:after="0" w:line="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SECOND AMENDED AND RESTATED</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EMPLOYMENT AGREEMENT</w:t>
      </w:r>
    </w:p>
    <w:p>
      <w:pPr>
        <w:spacing w:after="0" w:line="175" w:lineRule="exact"/>
        <w:rPr>
          <w:sz w:val="20"/>
          <w:szCs w:val="20"/>
          <w:color w:val="auto"/>
        </w:rPr>
      </w:pPr>
    </w:p>
    <w:p>
      <w:pPr>
        <w:jc w:val="both"/>
        <w:ind w:left="6" w:firstLine="564"/>
        <w:spacing w:after="0" w:line="273" w:lineRule="auto"/>
        <w:rPr>
          <w:sz w:val="20"/>
          <w:szCs w:val="20"/>
          <w:color w:val="auto"/>
        </w:rPr>
      </w:pPr>
      <w:r>
        <w:rPr>
          <w:rFonts w:ascii="Times New Roman" w:cs="Times New Roman" w:eastAsia="Times New Roman" w:hAnsi="Times New Roman"/>
          <w:sz w:val="16"/>
          <w:szCs w:val="16"/>
          <w:color w:val="auto"/>
        </w:rPr>
        <w:t>This Amendment No. 2 to the Second Amended and Restated Employment Agreement (this “</w:t>
      </w:r>
      <w:r>
        <w:rPr>
          <w:rFonts w:ascii="Times New Roman" w:cs="Times New Roman" w:eastAsia="Times New Roman" w:hAnsi="Times New Roman"/>
          <w:sz w:val="16"/>
          <w:szCs w:val="16"/>
          <w:b w:val="1"/>
          <w:bCs w:val="1"/>
          <w:color w:val="auto"/>
        </w:rPr>
        <w:t>Amendment</w:t>
      </w:r>
      <w:r>
        <w:rPr>
          <w:rFonts w:ascii="Times New Roman" w:cs="Times New Roman" w:eastAsia="Times New Roman" w:hAnsi="Times New Roman"/>
          <w:sz w:val="16"/>
          <w:szCs w:val="16"/>
          <w:color w:val="auto"/>
        </w:rPr>
        <w:t>”) is effective as of November 28, 2023, by and between SuRo Capital Corp., a Maryland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Allison Green (the “</w:t>
      </w:r>
      <w:r>
        <w:rPr>
          <w:rFonts w:ascii="Times New Roman" w:cs="Times New Roman" w:eastAsia="Times New Roman" w:hAnsi="Times New Roman"/>
          <w:sz w:val="16"/>
          <w:szCs w:val="16"/>
          <w:b w:val="1"/>
          <w:bCs w:val="1"/>
          <w:color w:val="auto"/>
        </w:rPr>
        <w:t>Executive</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jc w:val="both"/>
        <w:ind w:left="6" w:right="20" w:firstLine="564"/>
        <w:spacing w:after="0" w:line="270" w:lineRule="auto"/>
        <w:rPr>
          <w:sz w:val="20"/>
          <w:szCs w:val="20"/>
          <w:color w:val="auto"/>
        </w:rPr>
      </w:pPr>
      <w:r>
        <w:rPr>
          <w:rFonts w:ascii="Times New Roman" w:cs="Times New Roman" w:eastAsia="Times New Roman" w:hAnsi="Times New Roman"/>
          <w:sz w:val="16"/>
          <w:szCs w:val="16"/>
          <w:color w:val="auto"/>
        </w:rPr>
        <w:t>WHEREAS, the Company is an internally managed, closed-end management investment company that has elected to be treated as a business development company under the Investment Company Act of 1940, as amended;</w:t>
      </w:r>
    </w:p>
    <w:p>
      <w:pPr>
        <w:spacing w:after="0" w:line="150" w:lineRule="exact"/>
        <w:rPr>
          <w:sz w:val="20"/>
          <w:szCs w:val="20"/>
          <w:color w:val="auto"/>
        </w:rPr>
      </w:pPr>
    </w:p>
    <w:p>
      <w:pPr>
        <w:jc w:val="both"/>
        <w:ind w:left="6" w:right="20" w:firstLine="564"/>
        <w:spacing w:after="0" w:line="258" w:lineRule="auto"/>
        <w:rPr>
          <w:sz w:val="20"/>
          <w:szCs w:val="20"/>
          <w:color w:val="auto"/>
        </w:rPr>
      </w:pPr>
      <w:r>
        <w:rPr>
          <w:rFonts w:ascii="Times New Roman" w:cs="Times New Roman" w:eastAsia="Times New Roman" w:hAnsi="Times New Roman"/>
          <w:sz w:val="16"/>
          <w:szCs w:val="16"/>
          <w:color w:val="auto"/>
        </w:rPr>
        <w:t>WHEREAS, the Company and the Executive previously entered into an employment agreement, dated April 23, 2019, which was amended and restated as of April 28, 2020 and again amended and restated as of April 26, 2021 (the “</w:t>
      </w:r>
      <w:r>
        <w:rPr>
          <w:rFonts w:ascii="Times New Roman" w:cs="Times New Roman" w:eastAsia="Times New Roman" w:hAnsi="Times New Roman"/>
          <w:sz w:val="16"/>
          <w:szCs w:val="16"/>
          <w:b w:val="1"/>
          <w:bCs w:val="1"/>
          <w:color w:val="auto"/>
        </w:rPr>
        <w:t>Second Amended and Restated Employment Agreement</w:t>
      </w:r>
      <w:r>
        <w:rPr>
          <w:rFonts w:ascii="Times New Roman" w:cs="Times New Roman" w:eastAsia="Times New Roman" w:hAnsi="Times New Roman"/>
          <w:sz w:val="16"/>
          <w:szCs w:val="16"/>
          <w:color w:val="auto"/>
        </w:rPr>
        <w:t>”), which Second Amended and Restated Employment Agreement was amended as of March 10, 2022 (“</w:t>
      </w:r>
      <w:r>
        <w:rPr>
          <w:rFonts w:ascii="Times New Roman" w:cs="Times New Roman" w:eastAsia="Times New Roman" w:hAnsi="Times New Roman"/>
          <w:sz w:val="16"/>
          <w:szCs w:val="16"/>
          <w:b w:val="1"/>
          <w:bCs w:val="1"/>
          <w:color w:val="auto"/>
        </w:rPr>
        <w:t>Amendment No. 1</w:t>
      </w:r>
      <w:r>
        <w:rPr>
          <w:rFonts w:ascii="Times New Roman" w:cs="Times New Roman" w:eastAsia="Times New Roman" w:hAnsi="Times New Roman"/>
          <w:sz w:val="16"/>
          <w:szCs w:val="16"/>
          <w:color w:val="auto"/>
        </w:rPr>
        <w:t>”); and</w:t>
      </w:r>
    </w:p>
    <w:p>
      <w:pPr>
        <w:spacing w:after="0" w:line="159" w:lineRule="exact"/>
        <w:rPr>
          <w:sz w:val="20"/>
          <w:szCs w:val="20"/>
          <w:color w:val="auto"/>
        </w:rPr>
      </w:pPr>
    </w:p>
    <w:p>
      <w:pPr>
        <w:jc w:val="both"/>
        <w:ind w:left="6" w:right="20" w:firstLine="564"/>
        <w:spacing w:after="0" w:line="270" w:lineRule="auto"/>
        <w:rPr>
          <w:sz w:val="20"/>
          <w:szCs w:val="20"/>
          <w:color w:val="auto"/>
        </w:rPr>
      </w:pPr>
      <w:r>
        <w:rPr>
          <w:rFonts w:ascii="Times New Roman" w:cs="Times New Roman" w:eastAsia="Times New Roman" w:hAnsi="Times New Roman"/>
          <w:sz w:val="16"/>
          <w:szCs w:val="16"/>
          <w:color w:val="auto"/>
        </w:rPr>
        <w:t>WHEREAS, the parties desire to amend the Second Amended and Restated Employment Agreement as set forth herein to secure the Executive’s employment during the Term (as hereinafter defined) on the terms and conditions set forth herein.</w:t>
      </w:r>
    </w:p>
    <w:p>
      <w:pPr>
        <w:spacing w:after="0" w:line="150" w:lineRule="exact"/>
        <w:rPr>
          <w:sz w:val="20"/>
          <w:szCs w:val="20"/>
          <w:color w:val="auto"/>
        </w:rPr>
      </w:pPr>
    </w:p>
    <w:p>
      <w:pPr>
        <w:jc w:val="both"/>
        <w:ind w:left="6" w:firstLine="564"/>
        <w:spacing w:after="0" w:line="270" w:lineRule="auto"/>
        <w:rPr>
          <w:sz w:val="20"/>
          <w:szCs w:val="20"/>
          <w:color w:val="auto"/>
        </w:rPr>
      </w:pPr>
      <w:r>
        <w:rPr>
          <w:rFonts w:ascii="Times New Roman" w:cs="Times New Roman" w:eastAsia="Times New Roman" w:hAnsi="Times New Roman"/>
          <w:sz w:val="16"/>
          <w:szCs w:val="16"/>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150" w:lineRule="exact"/>
        <w:rPr>
          <w:sz w:val="20"/>
          <w:szCs w:val="20"/>
          <w:color w:val="auto"/>
        </w:rPr>
      </w:pPr>
    </w:p>
    <w:p>
      <w:pPr>
        <w:ind w:left="286" w:right="20" w:hanging="286"/>
        <w:spacing w:after="0" w:line="270" w:lineRule="auto"/>
        <w:tabs>
          <w:tab w:leader="none" w:pos="28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AMENDMENT TO SECTION 2. The first and second sentences of Section 2 of the Second Amended and Restated Employment Agreement are hereby amended to read as follows:</w:t>
      </w:r>
    </w:p>
    <w:p>
      <w:pPr>
        <w:spacing w:after="0" w:line="150" w:lineRule="exact"/>
        <w:rPr>
          <w:sz w:val="20"/>
          <w:szCs w:val="20"/>
          <w:color w:val="auto"/>
        </w:rPr>
      </w:pPr>
    </w:p>
    <w:p>
      <w:pPr>
        <w:jc w:val="both"/>
        <w:ind w:left="566"/>
        <w:spacing w:after="0" w:line="253" w:lineRule="auto"/>
        <w:rPr>
          <w:sz w:val="20"/>
          <w:szCs w:val="20"/>
          <w:color w:val="auto"/>
        </w:rPr>
      </w:pPr>
      <w:r>
        <w:rPr>
          <w:rFonts w:ascii="Times New Roman" w:cs="Times New Roman" w:eastAsia="Times New Roman" w:hAnsi="Times New Roman"/>
          <w:sz w:val="16"/>
          <w:szCs w:val="16"/>
          <w:color w:val="auto"/>
        </w:rPr>
        <w:t xml:space="preserve">“Subject to the provisions of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the Executive’s employment by the Company under this Agreement commenced on March 12, 2019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and shall end on December 31, 2026 (the “</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xml:space="preserve">”). Unless terminated earlier pursuant to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the Term shall be automatically extended for one year on December 31, 2026, and then on each succeeding anniversary of December 31, 2026, unless either party elects, in writing, to terminate this Agreement at least thirty (30) days prior to the expiration of the then current Term.”</w:t>
      </w:r>
    </w:p>
    <w:p>
      <w:pPr>
        <w:spacing w:after="0" w:line="164" w:lineRule="exact"/>
        <w:rPr>
          <w:sz w:val="20"/>
          <w:szCs w:val="20"/>
          <w:color w:val="auto"/>
        </w:rPr>
      </w:pPr>
    </w:p>
    <w:p>
      <w:pPr>
        <w:jc w:val="both"/>
        <w:ind w:left="286" w:hanging="286"/>
        <w:spacing w:after="0" w:line="251" w:lineRule="auto"/>
        <w:tabs>
          <w:tab w:leader="none" w:pos="286"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MISCELLANEOUS. Except as otherwise expressly provided herein and in Amendment No. 1, the terms of the Second Amended and Restated Employment Agreement shall remain in full force and effect. The Second Amended and Restated Employment Agreement, as amended hereby and together with Amendment No. 1, constitute the entire agreement between the parties hereto relating to the subject matter hereof, and supersedes all prior agreements and understandings, whether oral or written, with respect to the same. No modification, alteration, amendment or revision of or supplement to the Second Amended and Restated Employment Agreement, as amended hereby and together with Amendment No. 1, shall be valid or effective unless the same is in writing and signed by both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235585</wp:posOffset>
            </wp:positionV>
            <wp:extent cx="7150100"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309" w:right="319" w:bottom="1440" w:gutter="0" w:footer="0" w:header="0"/>
        </w:sectPr>
      </w:pPr>
    </w:p>
    <w:bookmarkStart w:id="125" w:name="page126"/>
    <w:bookmarkEnd w:id="125"/>
    <w:p>
      <w:pPr>
        <w:spacing w:after="0" w:line="270" w:lineRule="auto"/>
        <w:rPr>
          <w:sz w:val="20"/>
          <w:szCs w:val="20"/>
          <w:color w:val="auto"/>
        </w:rPr>
      </w:pPr>
      <w:r>
        <w:rPr>
          <w:rFonts w:ascii="Times New Roman" w:cs="Times New Roman" w:eastAsia="Times New Roman" w:hAnsi="Times New Roman"/>
          <w:sz w:val="16"/>
          <w:szCs w:val="16"/>
          <w:color w:val="auto"/>
        </w:rPr>
        <w:t>IN WITNESS WHEREOF, the parties have executed this Amendment No. 2 to the Second Amended and Restated Employment Agreement as of the day and year first above written.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EXECUTIVE</w:t>
            </w: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SURO CAPITAL CORP.</w:t>
            </w:r>
            <w:r>
              <w:rPr>
                <w:rFonts w:ascii="Times New Roman" w:cs="Times New Roman" w:eastAsia="Times New Roman" w:hAnsi="Times New Roman"/>
                <w:sz w:val="16"/>
                <w:szCs w:val="16"/>
                <w:color w:val="auto"/>
              </w:rPr>
              <w:t>:</w:t>
            </w:r>
          </w:p>
        </w:tc>
      </w:tr>
      <w:tr>
        <w:trPr>
          <w:trHeight w:val="381"/>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/s/ Allison Green</w:t>
            </w:r>
          </w:p>
        </w:tc>
        <w:tc>
          <w:tcPr>
            <w:tcW w:w="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By:</w:t>
            </w:r>
          </w:p>
        </w:tc>
        <w:tc>
          <w:tcPr>
            <w:tcW w:w="4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 Mark D. Klein</w:t>
            </w:r>
          </w:p>
        </w:tc>
      </w:tr>
      <w:tr>
        <w:trPr>
          <w:trHeight w:val="172"/>
        </w:trPr>
        <w:tc>
          <w:tcPr>
            <w:tcW w:w="20" w:type="dxa"/>
            <w:vAlign w:val="bottom"/>
          </w:tcPr>
          <w:p>
            <w:pPr>
              <w:spacing w:after="0"/>
              <w:rPr>
                <w:sz w:val="14"/>
                <w:szCs w:val="14"/>
                <w:color w:val="auto"/>
              </w:rPr>
            </w:pPr>
          </w:p>
        </w:tc>
        <w:tc>
          <w:tcPr>
            <w:tcW w:w="55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Allison Green</w:t>
            </w:r>
          </w:p>
        </w:tc>
        <w:tc>
          <w:tcPr>
            <w:tcW w:w="780" w:type="dxa"/>
            <w:vAlign w:val="bottom"/>
          </w:tcPr>
          <w:p>
            <w:pPr>
              <w:ind w:left="240"/>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496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Mark D. Klein</w:t>
            </w:r>
          </w:p>
        </w:tc>
      </w:tr>
      <w:tr>
        <w:trPr>
          <w:trHeight w:val="204"/>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381"/>
        </w:trPr>
        <w:tc>
          <w:tcPr>
            <w:tcW w:w="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17" w:right="319" w:bottom="1440" w:gutter="0" w:footer="0" w:header="0"/>
        </w:sectPr>
      </w:pPr>
    </w:p>
    <w:bookmarkStart w:id="126" w:name="page127"/>
    <w:bookmarkEnd w:id="126"/>
    <w:p>
      <w:pPr>
        <w:ind w:left="10446"/>
        <w:spacing w:after="0"/>
        <w:rPr>
          <w:sz w:val="20"/>
          <w:szCs w:val="20"/>
          <w:color w:val="auto"/>
        </w:rPr>
      </w:pPr>
      <w:r>
        <w:rPr>
          <w:rFonts w:ascii="Times New Roman" w:cs="Times New Roman" w:eastAsia="Times New Roman" w:hAnsi="Times New Roman"/>
          <w:sz w:val="15"/>
          <w:szCs w:val="15"/>
          <w:b w:val="1"/>
          <w:bCs w:val="1"/>
          <w:color w:val="auto"/>
        </w:rPr>
        <w:t>Exhibit 14.1</w:t>
      </w:r>
    </w:p>
    <w:p>
      <w:pPr>
        <w:spacing w:after="0" w:line="20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CODE OF ETHICS</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FOR</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SURO CAPITAL CORP.</w:t>
      </w:r>
    </w:p>
    <w:p>
      <w:pPr>
        <w:spacing w:after="0" w:line="175" w:lineRule="exact"/>
        <w:rPr>
          <w:sz w:val="20"/>
          <w:szCs w:val="20"/>
          <w:color w:val="auto"/>
        </w:rPr>
      </w:pPr>
    </w:p>
    <w:p>
      <w:pPr>
        <w:ind w:left="6"/>
        <w:spacing w:after="0"/>
        <w:tabs>
          <w:tab w:leader="none" w:pos="1106" w:val="left"/>
        </w:tabs>
        <w:rPr>
          <w:sz w:val="20"/>
          <w:szCs w:val="20"/>
          <w:color w:val="auto"/>
        </w:rPr>
      </w:pPr>
      <w:r>
        <w:rPr>
          <w:rFonts w:ascii="Times New Roman" w:cs="Times New Roman" w:eastAsia="Times New Roman" w:hAnsi="Times New Roman"/>
          <w:sz w:val="16"/>
          <w:szCs w:val="16"/>
          <w:b w:val="1"/>
          <w:bCs w:val="1"/>
          <w:color w:val="auto"/>
        </w:rPr>
        <w:t>Section I.</w:t>
      </w:r>
      <w:r>
        <w:rPr>
          <w:sz w:val="20"/>
          <w:szCs w:val="20"/>
          <w:color w:val="auto"/>
        </w:rPr>
        <w:tab/>
      </w:r>
      <w:r>
        <w:rPr>
          <w:rFonts w:ascii="Times New Roman" w:cs="Times New Roman" w:eastAsia="Times New Roman" w:hAnsi="Times New Roman"/>
          <w:sz w:val="15"/>
          <w:szCs w:val="15"/>
          <w:b w:val="1"/>
          <w:bCs w:val="1"/>
          <w:color w:val="auto"/>
        </w:rPr>
        <w:t>Statement of General Fiduciary Principles</w:t>
      </w:r>
    </w:p>
    <w:p>
      <w:pPr>
        <w:spacing w:after="0" w:line="190" w:lineRule="exact"/>
        <w:rPr>
          <w:sz w:val="20"/>
          <w:szCs w:val="20"/>
          <w:color w:val="auto"/>
        </w:rPr>
      </w:pPr>
    </w:p>
    <w:p>
      <w:pPr>
        <w:jc w:val="both"/>
        <w:ind w:left="6" w:firstLine="474"/>
        <w:spacing w:after="0" w:line="255" w:lineRule="auto"/>
        <w:rPr>
          <w:sz w:val="20"/>
          <w:szCs w:val="20"/>
          <w:color w:val="auto"/>
        </w:rPr>
      </w:pPr>
      <w:r>
        <w:rPr>
          <w:rFonts w:ascii="Times New Roman" w:cs="Times New Roman" w:eastAsia="Times New Roman" w:hAnsi="Times New Roman"/>
          <w:sz w:val="16"/>
          <w:szCs w:val="16"/>
          <w:color w:val="auto"/>
        </w:rPr>
        <w:t>This Code of Ethics (the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has been adopted by SuRo Capital Corp. (the “</w:t>
      </w:r>
      <w:r>
        <w:rPr>
          <w:rFonts w:ascii="Times New Roman" w:cs="Times New Roman" w:eastAsia="Times New Roman" w:hAnsi="Times New Roman"/>
          <w:sz w:val="16"/>
          <w:szCs w:val="16"/>
          <w:b w:val="1"/>
          <w:bCs w:val="1"/>
          <w:i w:val="1"/>
          <w:iCs w:val="1"/>
          <w:color w:val="auto"/>
        </w:rPr>
        <w:t>Corporation</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i w:val="1"/>
          <w:iCs w:val="1"/>
          <w:color w:val="auto"/>
        </w:rPr>
        <w:t>SuRo Capital</w:t>
      </w:r>
      <w:r>
        <w:rPr>
          <w:rFonts w:ascii="Times New Roman" w:cs="Times New Roman" w:eastAsia="Times New Roman" w:hAnsi="Times New Roman"/>
          <w:sz w:val="16"/>
          <w:szCs w:val="16"/>
          <w:color w:val="auto"/>
        </w:rPr>
        <w:t>”) in compliance with Rule 17j-1 under the Investment Company Act of 1940, as amended (the “</w:t>
      </w:r>
      <w:r>
        <w:rPr>
          <w:rFonts w:ascii="Times New Roman" w:cs="Times New Roman" w:eastAsia="Times New Roman" w:hAnsi="Times New Roman"/>
          <w:sz w:val="16"/>
          <w:szCs w:val="16"/>
          <w:b w:val="1"/>
          <w:bCs w:val="1"/>
          <w:i w:val="1"/>
          <w:iCs w:val="1"/>
          <w:color w:val="auto"/>
        </w:rPr>
        <w:t>Act</w:t>
      </w:r>
      <w:r>
        <w:rPr>
          <w:rFonts w:ascii="Times New Roman" w:cs="Times New Roman" w:eastAsia="Times New Roman" w:hAnsi="Times New Roman"/>
          <w:sz w:val="16"/>
          <w:szCs w:val="16"/>
          <w:color w:val="auto"/>
        </w:rPr>
        <w:t>”). The purpose of the Code is to establish standards and procedures for the detection and prevention of activities by which persons having knowledge of the investments and investment intentions of the Corporation may abuse their fiduciary duty to the Corporation, and otherwise to deal with the types of conflict of interest situations to which Rule 17j-1 under the Act (“</w:t>
      </w:r>
      <w:r>
        <w:rPr>
          <w:rFonts w:ascii="Times New Roman" w:cs="Times New Roman" w:eastAsia="Times New Roman" w:hAnsi="Times New Roman"/>
          <w:sz w:val="16"/>
          <w:szCs w:val="16"/>
          <w:b w:val="1"/>
          <w:bCs w:val="1"/>
          <w:i w:val="1"/>
          <w:iCs w:val="1"/>
          <w:color w:val="auto"/>
        </w:rPr>
        <w:t>Rule 17j-1</w:t>
      </w:r>
      <w:r>
        <w:rPr>
          <w:rFonts w:ascii="Times New Roman" w:cs="Times New Roman" w:eastAsia="Times New Roman" w:hAnsi="Times New Roman"/>
          <w:sz w:val="16"/>
          <w:szCs w:val="16"/>
          <w:color w:val="auto"/>
        </w:rPr>
        <w:t>”) are appropriately to be addressed.</w:t>
      </w:r>
    </w:p>
    <w:p>
      <w:pPr>
        <w:spacing w:after="0" w:line="162" w:lineRule="exact"/>
        <w:rPr>
          <w:sz w:val="20"/>
          <w:szCs w:val="20"/>
          <w:color w:val="auto"/>
        </w:rPr>
      </w:pPr>
    </w:p>
    <w:p>
      <w:pPr>
        <w:jc w:val="both"/>
        <w:ind w:left="6" w:firstLine="474"/>
        <w:spacing w:after="0" w:line="251" w:lineRule="auto"/>
        <w:rPr>
          <w:sz w:val="20"/>
          <w:szCs w:val="20"/>
          <w:color w:val="auto"/>
        </w:rPr>
      </w:pPr>
      <w:r>
        <w:rPr>
          <w:rFonts w:ascii="Times New Roman" w:cs="Times New Roman" w:eastAsia="Times New Roman" w:hAnsi="Times New Roman"/>
          <w:sz w:val="16"/>
          <w:szCs w:val="16"/>
          <w:color w:val="auto"/>
        </w:rPr>
        <w:t>The Code is based on the principle that the directors, officers and employees of the Corporation who provide services to the Corporation owe a fiduciary duty to the Corporation to conduct their personal securities transactions in a manner that does not interfere with the Corporation’s transactions or otherwise take unfair advantage of their relationship with the Corporation. All directors, officers and employees of the Corporation (“</w:t>
      </w:r>
      <w:r>
        <w:rPr>
          <w:rFonts w:ascii="Times New Roman" w:cs="Times New Roman" w:eastAsia="Times New Roman" w:hAnsi="Times New Roman"/>
          <w:sz w:val="16"/>
          <w:szCs w:val="16"/>
          <w:b w:val="1"/>
          <w:bCs w:val="1"/>
          <w:i w:val="1"/>
          <w:iCs w:val="1"/>
          <w:color w:val="auto"/>
        </w:rPr>
        <w:t>Covered Persons</w:t>
      </w:r>
      <w:r>
        <w:rPr>
          <w:rFonts w:ascii="Times New Roman" w:cs="Times New Roman" w:eastAsia="Times New Roman" w:hAnsi="Times New Roman"/>
          <w:sz w:val="16"/>
          <w:szCs w:val="16"/>
          <w:color w:val="auto"/>
        </w:rPr>
        <w:t>”) are expected to adhere to this general principle as well as to comply with all of the specific provisions of this Code applicable to them. In addition, all Covered Persons must comply with applicable federal securities laws and must report violations of the Code to the Corporation’s Chief Compliance Officer (“</w:t>
      </w:r>
      <w:r>
        <w:rPr>
          <w:rFonts w:ascii="Times New Roman" w:cs="Times New Roman" w:eastAsia="Times New Roman" w:hAnsi="Times New Roman"/>
          <w:sz w:val="16"/>
          <w:szCs w:val="16"/>
          <w:b w:val="1"/>
          <w:bCs w:val="1"/>
          <w:i w:val="1"/>
          <w:iCs w:val="1"/>
          <w:color w:val="auto"/>
        </w:rPr>
        <w:t>CCO</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ind w:left="6" w:firstLine="474"/>
        <w:spacing w:after="0" w:line="258" w:lineRule="auto"/>
        <w:rPr>
          <w:sz w:val="20"/>
          <w:szCs w:val="20"/>
          <w:color w:val="auto"/>
        </w:rPr>
      </w:pPr>
      <w:r>
        <w:rPr>
          <w:rFonts w:ascii="Times New Roman" w:cs="Times New Roman" w:eastAsia="Times New Roman" w:hAnsi="Times New Roman"/>
          <w:sz w:val="16"/>
          <w:szCs w:val="16"/>
          <w:color w:val="auto"/>
        </w:rPr>
        <w:t>Technical compliance with the Code will not automatically insulate any Covered Person from scrutiny of transactions that show a pattern of compromise or abuse of the individual’s fiduciary duty to the Corporation. Accordingly, all Covered Persons must seek to avoid any actual or potential conflicts between their personal interests and the interests of the Corporation and its stockholders. In sum, all Covered Persons shall place the interests of the Corporation and its investors before their own personal interests.</w:t>
      </w:r>
    </w:p>
    <w:p>
      <w:pPr>
        <w:spacing w:after="0" w:line="159" w:lineRule="exact"/>
        <w:rPr>
          <w:sz w:val="20"/>
          <w:szCs w:val="20"/>
          <w:color w:val="auto"/>
        </w:rPr>
      </w:pPr>
    </w:p>
    <w:p>
      <w:pPr>
        <w:ind w:left="466"/>
        <w:spacing w:after="0"/>
        <w:rPr>
          <w:sz w:val="20"/>
          <w:szCs w:val="20"/>
          <w:color w:val="auto"/>
        </w:rPr>
      </w:pPr>
      <w:r>
        <w:rPr>
          <w:rFonts w:ascii="Times New Roman" w:cs="Times New Roman" w:eastAsia="Times New Roman" w:hAnsi="Times New Roman"/>
          <w:sz w:val="16"/>
          <w:szCs w:val="16"/>
          <w:color w:val="auto"/>
        </w:rPr>
        <w:t>All Covered Persons must read and retain this Code.</w:t>
      </w:r>
    </w:p>
    <w:p>
      <w:pPr>
        <w:spacing w:after="0" w:line="190" w:lineRule="exact"/>
        <w:rPr>
          <w:sz w:val="20"/>
          <w:szCs w:val="20"/>
          <w:color w:val="auto"/>
        </w:rPr>
      </w:pPr>
    </w:p>
    <w:p>
      <w:pPr>
        <w:ind w:left="6"/>
        <w:spacing w:after="0"/>
        <w:tabs>
          <w:tab w:leader="none" w:pos="1106" w:val="left"/>
        </w:tabs>
        <w:rPr>
          <w:sz w:val="20"/>
          <w:szCs w:val="20"/>
          <w:color w:val="auto"/>
        </w:rPr>
      </w:pPr>
      <w:r>
        <w:rPr>
          <w:rFonts w:ascii="Times New Roman" w:cs="Times New Roman" w:eastAsia="Times New Roman" w:hAnsi="Times New Roman"/>
          <w:sz w:val="16"/>
          <w:szCs w:val="16"/>
          <w:b w:val="1"/>
          <w:bCs w:val="1"/>
          <w:color w:val="auto"/>
        </w:rPr>
        <w:t>Section II.</w:t>
      </w:r>
      <w:r>
        <w:rPr>
          <w:sz w:val="20"/>
          <w:szCs w:val="20"/>
          <w:color w:val="auto"/>
        </w:rPr>
        <w:tab/>
      </w:r>
      <w:r>
        <w:rPr>
          <w:rFonts w:ascii="Times New Roman" w:cs="Times New Roman" w:eastAsia="Times New Roman" w:hAnsi="Times New Roman"/>
          <w:sz w:val="15"/>
          <w:szCs w:val="15"/>
          <w:b w:val="1"/>
          <w:bCs w:val="1"/>
          <w:color w:val="auto"/>
        </w:rPr>
        <w:t>Definitions</w:t>
      </w:r>
    </w:p>
    <w:p>
      <w:pPr>
        <w:spacing w:after="0" w:line="190" w:lineRule="exact"/>
        <w:rPr>
          <w:sz w:val="20"/>
          <w:szCs w:val="20"/>
          <w:color w:val="auto"/>
        </w:rPr>
      </w:pPr>
    </w:p>
    <w:p>
      <w:pPr>
        <w:ind w:left="286" w:hanging="286"/>
        <w:spacing w:after="0"/>
        <w:tabs>
          <w:tab w:leader="none" w:pos="28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Access Person</w:t>
      </w:r>
      <w:r>
        <w:rPr>
          <w:rFonts w:ascii="Times New Roman" w:cs="Times New Roman" w:eastAsia="Times New Roman" w:hAnsi="Times New Roman"/>
          <w:sz w:val="16"/>
          <w:szCs w:val="16"/>
          <w:color w:val="auto"/>
        </w:rPr>
        <w:t>” means any director, employee, officer or Advisory Person (as defined below) of the Corporation.</w:t>
      </w:r>
    </w:p>
    <w:p>
      <w:pPr>
        <w:spacing w:after="0" w:line="192" w:lineRule="exact"/>
        <w:rPr>
          <w:rFonts w:ascii="Times New Roman" w:cs="Times New Roman" w:eastAsia="Times New Roman" w:hAnsi="Times New Roman"/>
          <w:sz w:val="16"/>
          <w:szCs w:val="16"/>
          <w:color w:val="auto"/>
        </w:rPr>
      </w:pPr>
    </w:p>
    <w:p>
      <w:pPr>
        <w:jc w:val="both"/>
        <w:ind w:left="286" w:hanging="286"/>
        <w:spacing w:after="0" w:line="253" w:lineRule="auto"/>
        <w:tabs>
          <w:tab w:leader="none" w:pos="28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w:t>
      </w:r>
      <w:r>
        <w:rPr>
          <w:rFonts w:ascii="Times New Roman" w:cs="Times New Roman" w:eastAsia="Times New Roman" w:hAnsi="Times New Roman"/>
          <w:sz w:val="16"/>
          <w:szCs w:val="16"/>
          <w:b w:val="1"/>
          <w:bCs w:val="1"/>
          <w:i w:val="1"/>
          <w:iCs w:val="1"/>
          <w:color w:val="auto"/>
        </w:rPr>
        <w:t>Advisory Person</w:t>
      </w:r>
      <w:r>
        <w:rPr>
          <w:rFonts w:ascii="Times New Roman" w:cs="Times New Roman" w:eastAsia="Times New Roman" w:hAnsi="Times New Roman"/>
          <w:sz w:val="16"/>
          <w:szCs w:val="16"/>
          <w:color w:val="auto"/>
        </w:rPr>
        <w:t>” of the Corporation means: (i) any director, officer or employee of the Corporation or any company in a Control (as defined below) relationship to the Corporation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who obtains information concerning recommendations made to the Corporation with regard to the purchase or sale of any Covered Security by the Corporation.</w:t>
      </w:r>
    </w:p>
    <w:p>
      <w:pPr>
        <w:spacing w:after="0" w:line="158" w:lineRule="exact"/>
        <w:rPr>
          <w:rFonts w:ascii="Times New Roman" w:cs="Times New Roman" w:eastAsia="Times New Roman" w:hAnsi="Times New Roman"/>
          <w:sz w:val="16"/>
          <w:szCs w:val="16"/>
          <w:color w:val="auto"/>
        </w:rPr>
      </w:pPr>
    </w:p>
    <w:p>
      <w:pPr>
        <w:ind w:left="286" w:hanging="286"/>
        <w:spacing w:after="0" w:line="276" w:lineRule="auto"/>
        <w:tabs>
          <w:tab w:leader="none" w:pos="28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Beneficial Ownership</w:t>
      </w:r>
      <w:r>
        <w:rPr>
          <w:rFonts w:ascii="Times New Roman" w:cs="Times New Roman" w:eastAsia="Times New Roman" w:hAnsi="Times New Roman"/>
          <w:sz w:val="16"/>
          <w:szCs w:val="16"/>
          <w:color w:val="auto"/>
        </w:rPr>
        <w:t>” is interpreted in the same manner as it would be under Rule 16a-1(a)(2) under the Securities Exchange Act of 1934, as amended (the “</w:t>
      </w:r>
      <w:r>
        <w:rPr>
          <w:rFonts w:ascii="Times New Roman" w:cs="Times New Roman" w:eastAsia="Times New Roman" w:hAnsi="Times New Roman"/>
          <w:sz w:val="16"/>
          <w:szCs w:val="16"/>
          <w:b w:val="1"/>
          <w:bCs w:val="1"/>
          <w:i w:val="1"/>
          <w:iCs w:val="1"/>
          <w:color w:val="auto"/>
        </w:rPr>
        <w:t>Exchange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Act</w:t>
      </w:r>
      <w:r>
        <w:rPr>
          <w:rFonts w:ascii="Times New Roman" w:cs="Times New Roman" w:eastAsia="Times New Roman" w:hAnsi="Times New Roman"/>
          <w:sz w:val="16"/>
          <w:szCs w:val="16"/>
          <w:color w:val="auto"/>
        </w:rPr>
        <w:t>”), in determining whether a person is a beneficial owner of a security for purposes of Section 16 of the Exchange Act and the rules and regulations thereunder.</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Last Approved and Ratified: October 19, 2022</w:t>
      </w:r>
    </w:p>
    <w:p>
      <w:pPr>
        <w:spacing w:after="0" w:line="21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309" w:right="319" w:bottom="1440" w:gutter="0" w:footer="0" w:header="0"/>
        </w:sectPr>
      </w:pPr>
    </w:p>
    <w:bookmarkStart w:id="127" w:name="page128"/>
    <w:bookmarkEnd w:id="127"/>
    <w:p>
      <w:pPr>
        <w:ind w:left="286" w:hanging="286"/>
        <w:spacing w:after="0"/>
        <w:tabs>
          <w:tab w:leader="none" w:pos="286"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CCO</w:t>
      </w:r>
      <w:r>
        <w:rPr>
          <w:rFonts w:ascii="Times New Roman" w:cs="Times New Roman" w:eastAsia="Times New Roman" w:hAnsi="Times New Roman"/>
          <w:sz w:val="16"/>
          <w:szCs w:val="16"/>
          <w:color w:val="auto"/>
        </w:rPr>
        <w:t>” means the Chief Compliance Officer of the Corporation.</w:t>
      </w:r>
    </w:p>
    <w:p>
      <w:pPr>
        <w:spacing w:after="0" w:line="192" w:lineRule="exact"/>
        <w:rPr>
          <w:rFonts w:ascii="Times New Roman" w:cs="Times New Roman" w:eastAsia="Times New Roman" w:hAnsi="Times New Roman"/>
          <w:sz w:val="16"/>
          <w:szCs w:val="16"/>
          <w:color w:val="auto"/>
        </w:rPr>
      </w:pPr>
    </w:p>
    <w:p>
      <w:pPr>
        <w:ind w:left="286" w:hanging="286"/>
        <w:spacing w:after="0" w:line="276" w:lineRule="auto"/>
        <w:tabs>
          <w:tab w:leader="none" w:pos="286"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Control</w:t>
      </w:r>
      <w:r>
        <w:rPr>
          <w:rFonts w:ascii="Times New Roman" w:cs="Times New Roman" w:eastAsia="Times New Roman" w:hAnsi="Times New Roman"/>
          <w:sz w:val="16"/>
          <w:szCs w:val="16"/>
          <w:color w:val="auto"/>
        </w:rPr>
        <w:t>” shall have the same meaning as that set forth in Section 2(a)(9) of the Act, and generally means the power to exercise a controlling influence over the management or policies of a company, unless such power is solely the result of an official position with such company.</w:t>
      </w:r>
    </w:p>
    <w:p>
      <w:pPr>
        <w:spacing w:after="0" w:line="141" w:lineRule="exact"/>
        <w:rPr>
          <w:rFonts w:ascii="Times New Roman" w:cs="Times New Roman" w:eastAsia="Times New Roman" w:hAnsi="Times New Roman"/>
          <w:sz w:val="16"/>
          <w:szCs w:val="16"/>
          <w:color w:val="auto"/>
        </w:rPr>
      </w:pPr>
    </w:p>
    <w:p>
      <w:pPr>
        <w:ind w:left="286" w:right="20" w:hanging="286"/>
        <w:spacing w:after="0" w:line="276" w:lineRule="auto"/>
        <w:tabs>
          <w:tab w:leader="none" w:pos="286"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Covered Person</w:t>
      </w:r>
      <w:r>
        <w:rPr>
          <w:rFonts w:ascii="Times New Roman" w:cs="Times New Roman" w:eastAsia="Times New Roman" w:hAnsi="Times New Roman"/>
          <w:sz w:val="16"/>
          <w:szCs w:val="16"/>
          <w:color w:val="auto"/>
        </w:rPr>
        <w:t>” means any director, officer or employee (including a temporary employee) of the Corporation, or of any of the Corporation’s affiliates or subsidiaries, and any other persons so designated by the CCO.</w:t>
      </w:r>
    </w:p>
    <w:p>
      <w:pPr>
        <w:spacing w:after="0" w:line="141" w:lineRule="exact"/>
        <w:rPr>
          <w:rFonts w:ascii="Times New Roman" w:cs="Times New Roman" w:eastAsia="Times New Roman" w:hAnsi="Times New Roman"/>
          <w:sz w:val="16"/>
          <w:szCs w:val="16"/>
          <w:color w:val="auto"/>
        </w:rPr>
      </w:pPr>
    </w:p>
    <w:p>
      <w:pPr>
        <w:jc w:val="both"/>
        <w:ind w:left="286" w:hanging="286"/>
        <w:spacing w:after="0" w:line="250" w:lineRule="auto"/>
        <w:tabs>
          <w:tab w:leader="none" w:pos="286"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Covered Security</w:t>
      </w:r>
      <w:r>
        <w:rPr>
          <w:rFonts w:ascii="Times New Roman" w:cs="Times New Roman" w:eastAsia="Times New Roman" w:hAnsi="Times New Roman"/>
          <w:sz w:val="16"/>
          <w:szCs w:val="16"/>
          <w:color w:val="auto"/>
        </w:rPr>
        <w:t>” means a security as defined in Section 2(a)(36) of the Act, including: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62" w:lineRule="exact"/>
        <w:rPr>
          <w:rFonts w:ascii="Times New Roman" w:cs="Times New Roman" w:eastAsia="Times New Roman" w:hAnsi="Times New Roman"/>
          <w:sz w:val="16"/>
          <w:szCs w:val="16"/>
          <w:color w:val="auto"/>
        </w:rPr>
      </w:pPr>
    </w:p>
    <w:p>
      <w:pPr>
        <w:jc w:val="both"/>
        <w:ind w:left="286"/>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Covered Security</w:t>
      </w:r>
      <w:r>
        <w:rPr>
          <w:rFonts w:ascii="Times New Roman" w:cs="Times New Roman" w:eastAsia="Times New Roman" w:hAnsi="Times New Roman"/>
          <w:sz w:val="16"/>
          <w:szCs w:val="16"/>
          <w:color w:val="auto"/>
        </w:rPr>
        <w:t>”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w:t>
      </w:r>
      <w:r>
        <w:rPr>
          <w:rFonts w:ascii="Times New Roman" w:cs="Times New Roman" w:eastAsia="Times New Roman" w:hAnsi="Times New Roman"/>
          <w:sz w:val="16"/>
          <w:szCs w:val="16"/>
          <w:b w:val="1"/>
          <w:bCs w:val="1"/>
          <w:i w:val="1"/>
          <w:iCs w:val="1"/>
          <w:color w:val="auto"/>
        </w:rPr>
        <w:t>Derivatives</w:t>
      </w:r>
      <w:r>
        <w:rPr>
          <w:rFonts w:ascii="Times New Roman" w:cs="Times New Roman" w:eastAsia="Times New Roman" w:hAnsi="Times New Roman"/>
          <w:sz w:val="16"/>
          <w:szCs w:val="16"/>
          <w:color w:val="auto"/>
        </w:rPr>
        <w:t>”).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165"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Independent Director</w:t>
      </w:r>
      <w:r>
        <w:rPr>
          <w:rFonts w:ascii="Times New Roman" w:cs="Times New Roman" w:eastAsia="Times New Roman" w:hAnsi="Times New Roman"/>
          <w:sz w:val="16"/>
          <w:szCs w:val="16"/>
          <w:color w:val="auto"/>
        </w:rPr>
        <w:t>” means a director of the Corporation who is not an “interested person” of the Corporation within the meaning of Section 2(a)(19) of the Act.</w:t>
      </w:r>
    </w:p>
    <w:p>
      <w:pPr>
        <w:spacing w:after="0" w:line="192" w:lineRule="exact"/>
        <w:rPr>
          <w:rFonts w:ascii="Times New Roman" w:cs="Times New Roman" w:eastAsia="Times New Roman" w:hAnsi="Times New Roman"/>
          <w:sz w:val="16"/>
          <w:szCs w:val="16"/>
          <w:color w:val="auto"/>
        </w:rPr>
      </w:pPr>
    </w:p>
    <w:p>
      <w:pPr>
        <w:ind w:left="286" w:right="20" w:hanging="286"/>
        <w:spacing w:after="0" w:line="276" w:lineRule="auto"/>
        <w:tabs>
          <w:tab w:leader="none" w:pos="286"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Initial Public Offering</w:t>
      </w:r>
      <w:r>
        <w:rPr>
          <w:rFonts w:ascii="Times New Roman" w:cs="Times New Roman" w:eastAsia="Times New Roman" w:hAnsi="Times New Roman"/>
          <w:sz w:val="16"/>
          <w:szCs w:val="16"/>
          <w:color w:val="auto"/>
        </w:rPr>
        <w:t>” means an offering of securities registered under the Securities Act of 1933, as amended (the “</w:t>
      </w:r>
      <w:r>
        <w:rPr>
          <w:rFonts w:ascii="Times New Roman" w:cs="Times New Roman" w:eastAsia="Times New Roman" w:hAnsi="Times New Roman"/>
          <w:sz w:val="16"/>
          <w:szCs w:val="16"/>
          <w:b w:val="1"/>
          <w:bCs w:val="1"/>
          <w:i w:val="1"/>
          <w:iCs w:val="1"/>
          <w:color w:val="auto"/>
        </w:rPr>
        <w:t>1933 Act</w:t>
      </w:r>
      <w:r>
        <w:rPr>
          <w:rFonts w:ascii="Times New Roman" w:cs="Times New Roman" w:eastAsia="Times New Roman" w:hAnsi="Times New Roman"/>
          <w:sz w:val="16"/>
          <w:szCs w:val="16"/>
          <w:color w:val="auto"/>
        </w:rPr>
        <w:t>”), the issuer of which, immediately before the registration, was not subject to the reporting requirements of Sections 13 or 15(d) of the Exchange Act.</w:t>
      </w:r>
    </w:p>
    <w:p>
      <w:pPr>
        <w:spacing w:after="0" w:line="141" w:lineRule="exact"/>
        <w:rPr>
          <w:rFonts w:ascii="Times New Roman" w:cs="Times New Roman" w:eastAsia="Times New Roman" w:hAnsi="Times New Roman"/>
          <w:sz w:val="16"/>
          <w:szCs w:val="16"/>
          <w:color w:val="auto"/>
        </w:rPr>
      </w:pPr>
    </w:p>
    <w:p>
      <w:pPr>
        <w:jc w:val="both"/>
        <w:ind w:left="286" w:hanging="286"/>
        <w:spacing w:after="0" w:line="255" w:lineRule="auto"/>
        <w:tabs>
          <w:tab w:leader="none" w:pos="286"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Investment Persons</w:t>
      </w:r>
      <w:r>
        <w:rPr>
          <w:rFonts w:ascii="Times New Roman" w:cs="Times New Roman" w:eastAsia="Times New Roman" w:hAnsi="Times New Roman"/>
          <w:sz w:val="16"/>
          <w:szCs w:val="16"/>
          <w:color w:val="auto"/>
        </w:rPr>
        <w:t>” of the Corporation means: (i) any employee of the Corporation (or of any company in a Control relationship to the Corporation) who, in connection with his or her regular functions or duties, makes or participates in making recommendations regarding the purchase or sale of securities by the Corporation; and (ii) any natural person who controls the Corporation and who obtains information concerning recommendations made to the Corporation regarding the purchase or sale of securities by the Corporation.</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Last Approved and Ratified: October 19, 2022</w:t>
      </w:r>
    </w:p>
    <w:p>
      <w:pPr>
        <w:spacing w:after="0" w:line="21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36" w:right="319" w:bottom="1440" w:gutter="0" w:footer="0" w:header="0"/>
        </w:sectPr>
      </w:pPr>
    </w:p>
    <w:bookmarkStart w:id="128" w:name="page129"/>
    <w:bookmarkEnd w:id="128"/>
    <w:p>
      <w:pPr>
        <w:ind w:left="286" w:hanging="286"/>
        <w:spacing w:after="0" w:line="276" w:lineRule="auto"/>
        <w:tabs>
          <w:tab w:leader="none" w:pos="286"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Limited Offering</w:t>
      </w:r>
      <w:r>
        <w:rPr>
          <w:rFonts w:ascii="Times New Roman" w:cs="Times New Roman" w:eastAsia="Times New Roman" w:hAnsi="Times New Roman"/>
          <w:sz w:val="16"/>
          <w:szCs w:val="16"/>
          <w:color w:val="auto"/>
        </w:rPr>
        <w:t>” means an offering that is exempt from registration under the 1933 Act pursuant to Section 4(2) or Section 4(6) thereof or pursuant to Rule 504, Rule 505, or Rule 506 thereunder.</w:t>
      </w:r>
    </w:p>
    <w:p>
      <w:pPr>
        <w:spacing w:after="0" w:line="141"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Security Held or to be Acquired</w:t>
      </w:r>
      <w:r>
        <w:rPr>
          <w:rFonts w:ascii="Times New Roman" w:cs="Times New Roman" w:eastAsia="Times New Roman" w:hAnsi="Times New Roman"/>
          <w:sz w:val="15"/>
          <w:szCs w:val="15"/>
          <w:color w:val="auto"/>
        </w:rPr>
        <w:t>” by the Corporation means: (i) any Covered Security which, within the most recent 15 days: (A) is or has been held by the Corporation; or</w:t>
      </w:r>
    </w:p>
    <w:p>
      <w:pPr>
        <w:spacing w:after="0" w:line="35" w:lineRule="exact"/>
        <w:rPr>
          <w:rFonts w:ascii="Times New Roman" w:cs="Times New Roman" w:eastAsia="Times New Roman" w:hAnsi="Times New Roman"/>
          <w:sz w:val="15"/>
          <w:szCs w:val="15"/>
          <w:color w:val="auto"/>
        </w:rPr>
      </w:pPr>
    </w:p>
    <w:p>
      <w:pPr>
        <w:ind w:left="286" w:hanging="4"/>
        <w:spacing w:after="0" w:line="250" w:lineRule="auto"/>
        <w:tabs>
          <w:tab w:leader="none" w:pos="561"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being or has been considered by the Corporation for purchase by the Corporation; and (ii) any option to purchase or sell, and any security convertible into or exchangeable for, a Covered Security described in Section II(L)(i) above.</w:t>
      </w:r>
    </w:p>
    <w:p>
      <w:pPr>
        <w:spacing w:after="0" w:line="161" w:lineRule="exact"/>
        <w:rPr>
          <w:rFonts w:ascii="Times New Roman" w:cs="Times New Roman" w:eastAsia="Times New Roman" w:hAnsi="Times New Roman"/>
          <w:sz w:val="16"/>
          <w:szCs w:val="16"/>
          <w:color w:val="auto"/>
        </w:rPr>
      </w:pPr>
    </w:p>
    <w:p>
      <w:pPr>
        <w:jc w:val="both"/>
        <w:ind w:left="286" w:right="20" w:hanging="286"/>
        <w:spacing w:after="0" w:line="255" w:lineRule="auto"/>
        <w:tabs>
          <w:tab w:leader="none" w:pos="286"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Restricted List</w:t>
      </w:r>
      <w:r>
        <w:rPr>
          <w:rFonts w:ascii="Times New Roman" w:cs="Times New Roman" w:eastAsia="Times New Roman" w:hAnsi="Times New Roman"/>
          <w:sz w:val="16"/>
          <w:szCs w:val="16"/>
          <w:color w:val="auto"/>
        </w:rPr>
        <w:t>” means the list promulgated and periodically updated by the CCO, in consultation with the Corporation’s Chief Investment Officer or his/her designee, which lists all of the Covered Securities that (1) the Corporation has purchased or sold within the last 15 calendar days, or is purchasing or selling or intends to purchase or sell within the next 15 calendar days; or that (2) the Corporation has within the last 15 calendar days considered purchasing or selling. or within the next 15 calendar days intends to consider purchasing or selling.</w:t>
      </w:r>
    </w:p>
    <w:p>
      <w:pPr>
        <w:spacing w:after="0" w:line="160" w:lineRule="exact"/>
        <w:rPr>
          <w:sz w:val="20"/>
          <w:szCs w:val="20"/>
          <w:color w:val="auto"/>
        </w:rPr>
      </w:pPr>
    </w:p>
    <w:p>
      <w:pPr>
        <w:ind w:left="6"/>
        <w:spacing w:after="0"/>
        <w:tabs>
          <w:tab w:leader="none" w:pos="1106" w:val="left"/>
        </w:tabs>
        <w:rPr>
          <w:sz w:val="20"/>
          <w:szCs w:val="20"/>
          <w:color w:val="auto"/>
        </w:rPr>
      </w:pPr>
      <w:r>
        <w:rPr>
          <w:rFonts w:ascii="Times New Roman" w:cs="Times New Roman" w:eastAsia="Times New Roman" w:hAnsi="Times New Roman"/>
          <w:sz w:val="16"/>
          <w:szCs w:val="16"/>
          <w:b w:val="1"/>
          <w:bCs w:val="1"/>
          <w:color w:val="auto"/>
        </w:rPr>
        <w:t>Section III.</w:t>
      </w:r>
      <w:r>
        <w:rPr>
          <w:sz w:val="20"/>
          <w:szCs w:val="20"/>
          <w:color w:val="auto"/>
        </w:rPr>
        <w:tab/>
      </w:r>
      <w:r>
        <w:rPr>
          <w:rFonts w:ascii="Times New Roman" w:cs="Times New Roman" w:eastAsia="Times New Roman" w:hAnsi="Times New Roman"/>
          <w:sz w:val="15"/>
          <w:szCs w:val="15"/>
          <w:b w:val="1"/>
          <w:bCs w:val="1"/>
          <w:color w:val="auto"/>
        </w:rPr>
        <w:t>Objective and General Prohibitions</w:t>
      </w:r>
    </w:p>
    <w:p>
      <w:pPr>
        <w:spacing w:after="0" w:line="194" w:lineRule="exact"/>
        <w:rPr>
          <w:sz w:val="20"/>
          <w:szCs w:val="20"/>
          <w:color w:val="auto"/>
        </w:rPr>
      </w:pPr>
    </w:p>
    <w:p>
      <w:pPr>
        <w:jc w:val="both"/>
        <w:ind w:left="6" w:firstLine="470"/>
        <w:spacing w:after="0" w:line="258" w:lineRule="auto"/>
        <w:rPr>
          <w:sz w:val="20"/>
          <w:szCs w:val="20"/>
          <w:color w:val="auto"/>
        </w:rPr>
      </w:pPr>
      <w:r>
        <w:rPr>
          <w:rFonts w:ascii="Times New Roman" w:cs="Times New Roman" w:eastAsia="Times New Roman" w:hAnsi="Times New Roman"/>
          <w:sz w:val="16"/>
          <w:szCs w:val="16"/>
          <w:color w:val="auto"/>
        </w:rPr>
        <w:t>Covered Persons may not engage in any investment transaction under circumstances in which the Covered Person benefits from or interferes with the purchase or sale of investments by the Corporation. In addition, Covered Persons may not use information concerning the investments or investment intentions of the Corporation, or their ability to influence such investment intentions, for personal gain or in a manner detrimental to the interests of the Corporation.</w:t>
      </w:r>
    </w:p>
    <w:p>
      <w:pPr>
        <w:spacing w:after="0" w:line="159" w:lineRule="exact"/>
        <w:rPr>
          <w:sz w:val="20"/>
          <w:szCs w:val="20"/>
          <w:color w:val="auto"/>
        </w:rPr>
      </w:pPr>
    </w:p>
    <w:p>
      <w:pPr>
        <w:jc w:val="both"/>
        <w:ind w:left="6" w:firstLine="470"/>
        <w:spacing w:after="0" w:line="258" w:lineRule="auto"/>
        <w:rPr>
          <w:sz w:val="20"/>
          <w:szCs w:val="20"/>
          <w:color w:val="auto"/>
        </w:rPr>
      </w:pPr>
      <w:r>
        <w:rPr>
          <w:rFonts w:ascii="Times New Roman" w:cs="Times New Roman" w:eastAsia="Times New Roman" w:hAnsi="Times New Roman"/>
          <w:sz w:val="16"/>
          <w:szCs w:val="16"/>
          <w:color w:val="auto"/>
        </w:rPr>
        <w:t>Covered Persons may not engage in conduct that is deceitful, fraudulent or manipulative, or that involves false or misleading statements, in connection with the purchase or sale of investments by the Corporation. In this regard, Covered Persons should recognize that Rule 17j-1 makes it unlawful for any affiliated person of the Corporation in connection with the purchase or sale, directly or indirectly, by the person of a Security Held or to be Acquired by the Corporation to:</w:t>
      </w:r>
    </w:p>
    <w:p>
      <w:pPr>
        <w:spacing w:after="0" w:line="159" w:lineRule="exact"/>
        <w:rPr>
          <w:sz w:val="20"/>
          <w:szCs w:val="20"/>
          <w:color w:val="auto"/>
        </w:rPr>
      </w:pPr>
    </w:p>
    <w:p>
      <w:pPr>
        <w:ind w:left="566" w:hanging="566"/>
        <w:spacing w:after="0"/>
        <w:tabs>
          <w:tab w:leader="none" w:pos="56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 any device, scheme or artifice to defraud the Corporation or its investors;</w:t>
      </w:r>
    </w:p>
    <w:p>
      <w:pPr>
        <w:spacing w:after="0" w:line="192" w:lineRule="exact"/>
        <w:rPr>
          <w:rFonts w:ascii="Times New Roman" w:cs="Times New Roman" w:eastAsia="Times New Roman" w:hAnsi="Times New Roman"/>
          <w:sz w:val="16"/>
          <w:szCs w:val="16"/>
          <w:color w:val="auto"/>
        </w:rPr>
      </w:pPr>
    </w:p>
    <w:p>
      <w:pPr>
        <w:ind w:left="566" w:right="20" w:hanging="566"/>
        <w:spacing w:after="0" w:line="270" w:lineRule="auto"/>
        <w:tabs>
          <w:tab w:leader="none" w:pos="56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untrue statement of a material fact to the Corporation or its investors or omit to state to the Corporation or its investors a material fact necessary in order to make the statements made, in light of the circumstances under which they are made, not misleading;</w:t>
      </w:r>
    </w:p>
    <w:p>
      <w:pPr>
        <w:spacing w:after="0" w:line="150"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any act, practice or course of business that operates or would operate as a fraud or deceit upon the Corporation or its investors; or</w:t>
      </w:r>
    </w:p>
    <w:p>
      <w:pPr>
        <w:spacing w:after="0" w:line="192" w:lineRule="exact"/>
        <w:rPr>
          <w:rFonts w:ascii="Times New Roman" w:cs="Times New Roman" w:eastAsia="Times New Roman" w:hAnsi="Times New Roman"/>
          <w:sz w:val="16"/>
          <w:szCs w:val="16"/>
          <w:color w:val="auto"/>
        </w:rPr>
      </w:pPr>
    </w:p>
    <w:p>
      <w:pPr>
        <w:ind w:left="566" w:hanging="566"/>
        <w:spacing w:after="0"/>
        <w:tabs>
          <w:tab w:leader="none" w:pos="566"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any manipulative practice with respect to the Corporation or its investors.</w:t>
      </w:r>
    </w:p>
    <w:p>
      <w:pPr>
        <w:spacing w:after="0" w:line="192" w:lineRule="exact"/>
        <w:rPr>
          <w:sz w:val="20"/>
          <w:szCs w:val="20"/>
          <w:color w:val="auto"/>
        </w:rPr>
      </w:pPr>
    </w:p>
    <w:p>
      <w:pPr>
        <w:ind w:left="6" w:right="20" w:firstLine="470"/>
        <w:spacing w:after="0" w:line="270" w:lineRule="auto"/>
        <w:rPr>
          <w:sz w:val="20"/>
          <w:szCs w:val="20"/>
          <w:color w:val="auto"/>
        </w:rPr>
      </w:pPr>
      <w:r>
        <w:rPr>
          <w:rFonts w:ascii="Times New Roman" w:cs="Times New Roman" w:eastAsia="Times New Roman" w:hAnsi="Times New Roman"/>
          <w:sz w:val="16"/>
          <w:szCs w:val="16"/>
          <w:color w:val="auto"/>
        </w:rPr>
        <w:t>Covered Persons should also recognize that a violation of this Code or of Rule 17j-1 may result in the imposition of: (1) sanctions as provided by Section VIII below; or (2) administrative, civil and, in certain cases, criminal fines, sanctions or penalties.</w:t>
      </w:r>
    </w:p>
    <w:p>
      <w:pPr>
        <w:spacing w:after="0" w:line="150" w:lineRule="exact"/>
        <w:rPr>
          <w:sz w:val="20"/>
          <w:szCs w:val="20"/>
          <w:color w:val="auto"/>
        </w:rPr>
      </w:pPr>
    </w:p>
    <w:p>
      <w:pPr>
        <w:ind w:left="466"/>
        <w:spacing w:after="0"/>
        <w:rPr>
          <w:sz w:val="20"/>
          <w:szCs w:val="20"/>
          <w:color w:val="auto"/>
        </w:rPr>
      </w:pPr>
      <w:r>
        <w:rPr>
          <w:rFonts w:ascii="Times New Roman" w:cs="Times New Roman" w:eastAsia="Times New Roman" w:hAnsi="Times New Roman"/>
          <w:sz w:val="16"/>
          <w:szCs w:val="16"/>
          <w:color w:val="auto"/>
        </w:rPr>
        <w:t>Covered Persons are required to comply with applicable federal securities laws.</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Last Approved and Ratified: October 19, 2022</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36" w:right="319" w:bottom="1440" w:gutter="0" w:footer="0" w:header="0"/>
        </w:sectPr>
      </w:pPr>
    </w:p>
    <w:bookmarkStart w:id="129" w:name="page130"/>
    <w:bookmarkEnd w:id="129"/>
    <w:p>
      <w:pPr>
        <w:ind w:left="6"/>
        <w:spacing w:after="0"/>
        <w:tabs>
          <w:tab w:leader="none" w:pos="1106" w:val="left"/>
        </w:tabs>
        <w:rPr>
          <w:sz w:val="20"/>
          <w:szCs w:val="20"/>
          <w:color w:val="auto"/>
        </w:rPr>
      </w:pPr>
      <w:r>
        <w:rPr>
          <w:rFonts w:ascii="Times New Roman" w:cs="Times New Roman" w:eastAsia="Times New Roman" w:hAnsi="Times New Roman"/>
          <w:sz w:val="16"/>
          <w:szCs w:val="16"/>
          <w:b w:val="1"/>
          <w:bCs w:val="1"/>
          <w:color w:val="auto"/>
        </w:rPr>
        <w:t>Section IV.</w:t>
      </w:r>
      <w:r>
        <w:rPr>
          <w:sz w:val="20"/>
          <w:szCs w:val="20"/>
          <w:color w:val="auto"/>
        </w:rPr>
        <w:tab/>
      </w:r>
      <w:r>
        <w:rPr>
          <w:rFonts w:ascii="Times New Roman" w:cs="Times New Roman" w:eastAsia="Times New Roman" w:hAnsi="Times New Roman"/>
          <w:sz w:val="15"/>
          <w:szCs w:val="15"/>
          <w:b w:val="1"/>
          <w:bCs w:val="1"/>
          <w:color w:val="auto"/>
        </w:rPr>
        <w:t>Prohibited Transactions</w:t>
      </w:r>
    </w:p>
    <w:p>
      <w:pPr>
        <w:spacing w:after="0" w:line="194" w:lineRule="exact"/>
        <w:rPr>
          <w:sz w:val="20"/>
          <w:szCs w:val="20"/>
          <w:color w:val="auto"/>
        </w:rPr>
      </w:pPr>
    </w:p>
    <w:p>
      <w:pPr>
        <w:jc w:val="both"/>
        <w:ind w:left="286" w:right="20" w:hanging="286"/>
        <w:spacing w:after="0" w:line="258" w:lineRule="auto"/>
        <w:tabs>
          <w:tab w:leader="none" w:pos="286"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Access Person may not, without first obtaining pre-clearance approval, either from the CCO directly in writing (using the “Pre-Clearance Request” form attached as Schedule A, or such similar form as the CCO may hereafter approve (hereinafter, the “Pre-Clearance Request Form”)) or through the online reporting system, which is monitored and overseen by the CCO or his/her designees (the “</w:t>
      </w:r>
      <w:r>
        <w:rPr>
          <w:rFonts w:ascii="Times New Roman" w:cs="Times New Roman" w:eastAsia="Times New Roman" w:hAnsi="Times New Roman"/>
          <w:sz w:val="16"/>
          <w:szCs w:val="16"/>
          <w:b w:val="1"/>
          <w:bCs w:val="1"/>
          <w:i w:val="1"/>
          <w:iCs w:val="1"/>
          <w:color w:val="auto"/>
        </w:rPr>
        <w:t>System</w:t>
      </w:r>
      <w:r>
        <w:rPr>
          <w:rFonts w:ascii="Times New Roman" w:cs="Times New Roman" w:eastAsia="Times New Roman" w:hAnsi="Times New Roman"/>
          <w:sz w:val="16"/>
          <w:szCs w:val="16"/>
          <w:color w:val="auto"/>
        </w:rPr>
        <w:t>”):</w:t>
      </w:r>
    </w:p>
    <w:p>
      <w:pPr>
        <w:spacing w:after="0" w:line="158" w:lineRule="exact"/>
        <w:rPr>
          <w:rFonts w:ascii="Times New Roman" w:cs="Times New Roman" w:eastAsia="Times New Roman" w:hAnsi="Times New Roman"/>
          <w:sz w:val="16"/>
          <w:szCs w:val="16"/>
          <w:color w:val="auto"/>
        </w:rPr>
      </w:pPr>
    </w:p>
    <w:p>
      <w:pPr>
        <w:ind w:left="846" w:hanging="282"/>
        <w:spacing w:after="0" w:line="270" w:lineRule="auto"/>
        <w:tabs>
          <w:tab w:leader="none" w:pos="846"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or otherwise acquire direct or indirect Beneficial Ownership of any security on the Restricted List, or of any Covered Security concerning which he or she has material non-public information, regardless of whether that security is on the Restricted List; or</w:t>
      </w:r>
    </w:p>
    <w:p>
      <w:pPr>
        <w:spacing w:after="0" w:line="150" w:lineRule="exact"/>
        <w:rPr>
          <w:rFonts w:ascii="Times New Roman" w:cs="Times New Roman" w:eastAsia="Times New Roman" w:hAnsi="Times New Roman"/>
          <w:sz w:val="16"/>
          <w:szCs w:val="16"/>
          <w:color w:val="auto"/>
        </w:rPr>
      </w:pPr>
    </w:p>
    <w:p>
      <w:pPr>
        <w:ind w:left="846" w:right="20" w:hanging="282"/>
        <w:spacing w:after="0" w:line="270" w:lineRule="auto"/>
        <w:tabs>
          <w:tab w:leader="none" w:pos="846"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or otherwise dispose of direct or indirect Beneficial Ownership, of any security on the Restricted List, or of any Covered Security concerning which he or she has material non-public information, regardless of whether that security is on the Restricted List.</w:t>
      </w:r>
    </w:p>
    <w:p>
      <w:pPr>
        <w:spacing w:after="0" w:line="150" w:lineRule="exact"/>
        <w:rPr>
          <w:rFonts w:ascii="Times New Roman" w:cs="Times New Roman" w:eastAsia="Times New Roman" w:hAnsi="Times New Roman"/>
          <w:sz w:val="16"/>
          <w:szCs w:val="16"/>
          <w:color w:val="auto"/>
        </w:rPr>
      </w:pPr>
    </w:p>
    <w:p>
      <w:pPr>
        <w:ind w:left="286" w:right="20" w:hanging="286"/>
        <w:spacing w:after="0" w:line="270" w:lineRule="auto"/>
        <w:tabs>
          <w:tab w:leader="none" w:pos="286"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Access Person may not purchase or otherwise acquire or sell or otherwise dispose of any direct or indirect Beneficial Ownership of the Corporation’s securities without similarly first obtaining pre-clearance approval by the CCO directly in writing using the Pre-Clearance Request Form or online via the System.</w:t>
      </w:r>
    </w:p>
    <w:p>
      <w:pPr>
        <w:spacing w:after="0" w:line="150" w:lineRule="exact"/>
        <w:rPr>
          <w:rFonts w:ascii="Times New Roman" w:cs="Times New Roman" w:eastAsia="Times New Roman" w:hAnsi="Times New Roman"/>
          <w:sz w:val="16"/>
          <w:szCs w:val="16"/>
          <w:color w:val="auto"/>
        </w:rPr>
      </w:pPr>
    </w:p>
    <w:p>
      <w:pPr>
        <w:jc w:val="both"/>
        <w:ind w:left="286" w:hanging="286"/>
        <w:spacing w:after="0" w:line="283" w:lineRule="auto"/>
        <w:tabs>
          <w:tab w:leader="none" w:pos="286"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Persons of the Corporation must obtain pre-approval from the CCO before directly or indirectly acquiring Beneficial Ownership in any Covered Securities in an Initial Public Offering or in a Limited Offering. Such approval must be obtained from the CCO, either directly in writing using the Pre-Clearance Request Form, unless the person seeking such approval is the CCO, in which case pre-approval must be obtained from the Corporation’s Chief Executive Officer using the Pre-Clearance Request Form.</w:t>
      </w:r>
    </w:p>
    <w:p>
      <w:pPr>
        <w:spacing w:after="0" w:line="142" w:lineRule="exact"/>
        <w:rPr>
          <w:rFonts w:ascii="Times New Roman" w:cs="Times New Roman" w:eastAsia="Times New Roman" w:hAnsi="Times New Roman"/>
          <w:sz w:val="15"/>
          <w:szCs w:val="15"/>
          <w:color w:val="auto"/>
        </w:rPr>
      </w:pPr>
    </w:p>
    <w:p>
      <w:pPr>
        <w:jc w:val="both"/>
        <w:ind w:left="286" w:hanging="286"/>
        <w:spacing w:after="0" w:line="276" w:lineRule="auto"/>
        <w:tabs>
          <w:tab w:leader="none" w:pos="286"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Access Person shall recommend any transaction in any Covered Securities by the Corporation without having disclosed to the CCO his or her interest, if any, in such Covered Securities or the issuer thereof, including: the Access Person’s Beneficial Ownership of any Covered Securities of such issuer; any contemplated transaction by the Access Person in such Covered Securities; any position the Access Person (or any person to whom the Access Person is related, by blood or marriage, and is known) has with such issuer; and any present or proposed business relationship between such issuer and the Access Person (or a party in which the Access Person has a significant interest).</w:t>
      </w:r>
    </w:p>
    <w:p>
      <w:pPr>
        <w:spacing w:after="0" w:line="145" w:lineRule="exact"/>
        <w:rPr>
          <w:sz w:val="20"/>
          <w:szCs w:val="20"/>
          <w:color w:val="auto"/>
        </w:rPr>
      </w:pPr>
    </w:p>
    <w:p>
      <w:pPr>
        <w:ind w:left="6"/>
        <w:spacing w:after="0"/>
        <w:tabs>
          <w:tab w:leader="none" w:pos="1106" w:val="left"/>
        </w:tabs>
        <w:rPr>
          <w:sz w:val="20"/>
          <w:szCs w:val="20"/>
          <w:color w:val="auto"/>
        </w:rPr>
      </w:pPr>
      <w:r>
        <w:rPr>
          <w:rFonts w:ascii="Times New Roman" w:cs="Times New Roman" w:eastAsia="Times New Roman" w:hAnsi="Times New Roman"/>
          <w:sz w:val="16"/>
          <w:szCs w:val="16"/>
          <w:b w:val="1"/>
          <w:bCs w:val="1"/>
          <w:color w:val="auto"/>
        </w:rPr>
        <w:t>Section V.</w:t>
      </w:r>
      <w:r>
        <w:rPr>
          <w:sz w:val="20"/>
          <w:szCs w:val="20"/>
          <w:color w:val="auto"/>
        </w:rPr>
        <w:tab/>
      </w:r>
      <w:r>
        <w:rPr>
          <w:rFonts w:ascii="Times New Roman" w:cs="Times New Roman" w:eastAsia="Times New Roman" w:hAnsi="Times New Roman"/>
          <w:sz w:val="15"/>
          <w:szCs w:val="15"/>
          <w:b w:val="1"/>
          <w:bCs w:val="1"/>
          <w:color w:val="auto"/>
        </w:rPr>
        <w:t>Reports by Access Persons</w:t>
      </w:r>
    </w:p>
    <w:p>
      <w:pPr>
        <w:spacing w:after="0" w:line="192" w:lineRule="exact"/>
        <w:rPr>
          <w:sz w:val="20"/>
          <w:szCs w:val="20"/>
          <w:color w:val="auto"/>
        </w:rPr>
      </w:pPr>
    </w:p>
    <w:p>
      <w:pPr>
        <w:ind w:left="266" w:hanging="266"/>
        <w:spacing w:after="0"/>
        <w:tabs>
          <w:tab w:leader="none" w:pos="26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Initial and Annual Personal Securities Accounts and Holdings Reports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6" w:firstLine="564"/>
        <w:spacing w:after="0" w:line="248" w:lineRule="auto"/>
        <w:rPr>
          <w:sz w:val="20"/>
          <w:szCs w:val="20"/>
          <w:color w:val="auto"/>
        </w:rPr>
      </w:pPr>
      <w:r>
        <w:rPr>
          <w:rFonts w:ascii="Times New Roman" w:cs="Times New Roman" w:eastAsia="Times New Roman" w:hAnsi="Times New Roman"/>
          <w:sz w:val="16"/>
          <w:szCs w:val="16"/>
          <w:color w:val="auto"/>
        </w:rPr>
        <w:t>All Access Persons shall within 10 days of the date on which they become Access Persons, and thereafter, within 30 days after the end of each calendar year, disclose the title and type of security, and as applicable the exchange ticker symbol or CUSIP number,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an “</w:t>
      </w:r>
      <w:r>
        <w:rPr>
          <w:rFonts w:ascii="Times New Roman" w:cs="Times New Roman" w:eastAsia="Times New Roman" w:hAnsi="Times New Roman"/>
          <w:sz w:val="16"/>
          <w:szCs w:val="16"/>
          <w:i w:val="1"/>
          <w:iCs w:val="1"/>
          <w:color w:val="auto"/>
        </w:rPr>
        <w:t>Initial and Annual Personal Securities Accounts and Holdings Report</w:t>
      </w:r>
      <w:r>
        <w:rPr>
          <w:rFonts w:ascii="Times New Roman" w:cs="Times New Roman" w:eastAsia="Times New Roman" w:hAnsi="Times New Roman"/>
          <w:sz w:val="16"/>
          <w:szCs w:val="16"/>
          <w:color w:val="auto"/>
        </w:rPr>
        <w:t>,” is attached as Schedule B. Each Initial and Annual Personal Securities Accounts and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Initial and Annual Personal Securities Accounts and Holdings Report shall state the date it is being submitted. In all cases, the information must be current as of a date no more than 45 days prior to the date the person becomes an Access Person, or the date the report was submitted, as applicable.</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Last Approved and Ratified: October 19, 2022</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14" w:right="319" w:bottom="1440" w:gutter="0" w:footer="0" w:header="0"/>
        </w:sectPr>
      </w:pPr>
    </w:p>
    <w:bookmarkStart w:id="130" w:name="page131"/>
    <w:bookmarkEnd w:id="130"/>
    <w:p>
      <w:pPr>
        <w:ind w:left="246" w:hanging="246"/>
        <w:spacing w:after="0"/>
        <w:tabs>
          <w:tab w:leader="none" w:pos="246"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Quarterly Transaction Reports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6" w:right="20" w:firstLine="564"/>
        <w:spacing w:after="0" w:line="258" w:lineRule="auto"/>
        <w:rPr>
          <w:sz w:val="20"/>
          <w:szCs w:val="20"/>
          <w:color w:val="auto"/>
        </w:rPr>
      </w:pPr>
      <w:r>
        <w:rPr>
          <w:rFonts w:ascii="Times New Roman" w:cs="Times New Roman" w:eastAsia="Times New Roman" w:hAnsi="Times New Roman"/>
          <w:sz w:val="16"/>
          <w:szCs w:val="16"/>
          <w:color w:val="auto"/>
        </w:rPr>
        <w:t>Within 30 days after the end of each calendar quarter, each Access Person shall make a written report to the CCO (or designee) of all transactions occurring in the quarter in a Covered Security in which he or she had any Beneficial Ownership. A form of such report, which is hereinafter called a “</w:t>
      </w:r>
      <w:r>
        <w:rPr>
          <w:rFonts w:ascii="Times New Roman" w:cs="Times New Roman" w:eastAsia="Times New Roman" w:hAnsi="Times New Roman"/>
          <w:sz w:val="16"/>
          <w:szCs w:val="16"/>
          <w:i w:val="1"/>
          <w:iCs w:val="1"/>
          <w:color w:val="auto"/>
        </w:rPr>
        <w:t>Quarterly Securities Transaction Report</w:t>
      </w:r>
      <w:r>
        <w:rPr>
          <w:rFonts w:ascii="Times New Roman" w:cs="Times New Roman" w:eastAsia="Times New Roman" w:hAnsi="Times New Roman"/>
          <w:sz w:val="16"/>
          <w:szCs w:val="16"/>
          <w:color w:val="auto"/>
        </w:rPr>
        <w:t>,” is attached as Schedule C.</w:t>
      </w:r>
    </w:p>
    <w:p>
      <w:pPr>
        <w:spacing w:after="0" w:line="159" w:lineRule="exact"/>
        <w:rPr>
          <w:sz w:val="20"/>
          <w:szCs w:val="20"/>
          <w:color w:val="auto"/>
        </w:rPr>
      </w:pPr>
    </w:p>
    <w:p>
      <w:pPr>
        <w:jc w:val="both"/>
        <w:ind w:left="6" w:right="20" w:firstLine="564"/>
        <w:spacing w:after="0" w:line="270" w:lineRule="auto"/>
        <w:rPr>
          <w:sz w:val="20"/>
          <w:szCs w:val="20"/>
          <w:color w:val="auto"/>
        </w:rPr>
      </w:pPr>
      <w:r>
        <w:rPr>
          <w:rFonts w:ascii="Times New Roman" w:cs="Times New Roman" w:eastAsia="Times New Roman" w:hAnsi="Times New Roman"/>
          <w:sz w:val="16"/>
          <w:szCs w:val="16"/>
          <w:color w:val="auto"/>
        </w:rPr>
        <w:t>A Quarterly Securities Transaction Report shall be in the form of Schedule C or such other form approved by the CCO (or designee) and must contain the following information with respect to each reportable transaction:</w:t>
      </w:r>
    </w:p>
    <w:p>
      <w:pPr>
        <w:spacing w:after="0" w:line="150" w:lineRule="exact"/>
        <w:rPr>
          <w:sz w:val="20"/>
          <w:szCs w:val="20"/>
          <w:color w:val="auto"/>
        </w:rPr>
      </w:pPr>
    </w:p>
    <w:p>
      <w:pPr>
        <w:ind w:left="846" w:hanging="282"/>
        <w:spacing w:after="0"/>
        <w:tabs>
          <w:tab w:leader="none" w:pos="846"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and nature of the transaction (purchase, sale or any other type of acquisition or disposition);</w:t>
      </w:r>
    </w:p>
    <w:p>
      <w:pPr>
        <w:spacing w:after="0" w:line="192" w:lineRule="exact"/>
        <w:rPr>
          <w:rFonts w:ascii="Times New Roman" w:cs="Times New Roman" w:eastAsia="Times New Roman" w:hAnsi="Times New Roman"/>
          <w:sz w:val="16"/>
          <w:szCs w:val="16"/>
          <w:color w:val="auto"/>
        </w:rPr>
      </w:pPr>
    </w:p>
    <w:p>
      <w:pPr>
        <w:ind w:left="846" w:hanging="282"/>
        <w:spacing w:after="0" w:line="270" w:lineRule="auto"/>
        <w:tabs>
          <w:tab w:leader="none" w:pos="846"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interest rate and maturity date (if applicable), number of shares and principal amount of each Covered Security involved and the price of the Covered Security at which the transaction was effected;</w:t>
      </w:r>
    </w:p>
    <w:p>
      <w:pPr>
        <w:spacing w:after="0" w:line="150" w:lineRule="exact"/>
        <w:rPr>
          <w:rFonts w:ascii="Times New Roman" w:cs="Times New Roman" w:eastAsia="Times New Roman" w:hAnsi="Times New Roman"/>
          <w:sz w:val="16"/>
          <w:szCs w:val="16"/>
          <w:color w:val="auto"/>
        </w:rPr>
      </w:pPr>
    </w:p>
    <w:p>
      <w:pPr>
        <w:ind w:left="846" w:hanging="282"/>
        <w:spacing w:after="0"/>
        <w:tabs>
          <w:tab w:leader="none" w:pos="846"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the broker, dealer or bank with or through whom the transaction was effected; and</w:t>
      </w:r>
    </w:p>
    <w:p>
      <w:pPr>
        <w:spacing w:after="0" w:line="192" w:lineRule="exact"/>
        <w:rPr>
          <w:rFonts w:ascii="Times New Roman" w:cs="Times New Roman" w:eastAsia="Times New Roman" w:hAnsi="Times New Roman"/>
          <w:sz w:val="16"/>
          <w:szCs w:val="16"/>
          <w:color w:val="auto"/>
        </w:rPr>
      </w:pPr>
    </w:p>
    <w:p>
      <w:pPr>
        <w:ind w:left="846" w:hanging="282"/>
        <w:spacing w:after="0"/>
        <w:tabs>
          <w:tab w:leader="none" w:pos="846"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the report is submitted by the Access Person.</w:t>
      </w:r>
    </w:p>
    <w:p>
      <w:pPr>
        <w:spacing w:after="0" w:line="190" w:lineRule="exact"/>
        <w:rPr>
          <w:rFonts w:ascii="Times New Roman" w:cs="Times New Roman" w:eastAsia="Times New Roman" w:hAnsi="Times New Roman"/>
          <w:sz w:val="16"/>
          <w:szCs w:val="16"/>
          <w:color w:val="auto"/>
        </w:rPr>
      </w:pPr>
    </w:p>
    <w:p>
      <w:pPr>
        <w:ind w:left="246" w:hanging="246"/>
        <w:spacing w:after="0"/>
        <w:tabs>
          <w:tab w:leader="none" w:pos="246"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Independent Directors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6" w:firstLine="564"/>
        <w:spacing w:after="0" w:line="258" w:lineRule="auto"/>
        <w:rPr>
          <w:sz w:val="20"/>
          <w:szCs w:val="20"/>
          <w:color w:val="auto"/>
        </w:rPr>
      </w:pPr>
      <w:r>
        <w:rPr>
          <w:rFonts w:ascii="Times New Roman" w:cs="Times New Roman" w:eastAsia="Times New Roman" w:hAnsi="Times New Roman"/>
          <w:sz w:val="16"/>
          <w:szCs w:val="16"/>
          <w:color w:val="auto"/>
        </w:rPr>
        <w:t>Notwithstanding the reporting requirements set forth in this Section V, an Independent Director who would be required to make a report under this Section V solely by reason of being a director of the Corporation is not required to file an Initial and Annual Personal Securities Accounts and Holdings Report upon becoming a director of the Corporation or an annual Initial and Annual Personal Securities Accounts and Holdings Report.</w:t>
      </w:r>
    </w:p>
    <w:p>
      <w:pPr>
        <w:spacing w:after="0" w:line="157" w:lineRule="exact"/>
        <w:rPr>
          <w:sz w:val="20"/>
          <w:szCs w:val="20"/>
          <w:color w:val="auto"/>
        </w:rPr>
      </w:pPr>
    </w:p>
    <w:p>
      <w:pPr>
        <w:jc w:val="both"/>
        <w:ind w:left="6" w:right="20" w:firstLine="564"/>
        <w:spacing w:after="0" w:line="259" w:lineRule="auto"/>
        <w:rPr>
          <w:sz w:val="20"/>
          <w:szCs w:val="20"/>
          <w:color w:val="auto"/>
        </w:rPr>
      </w:pPr>
      <w:r>
        <w:rPr>
          <w:rFonts w:ascii="Times New Roman" w:cs="Times New Roman" w:eastAsia="Times New Roman" w:hAnsi="Times New Roman"/>
          <w:sz w:val="16"/>
          <w:szCs w:val="16"/>
          <w:color w:val="auto"/>
        </w:rPr>
        <w:t xml:space="preserve">Such an Independent Director also need not file a Quarterly Securities Transaction Report </w:t>
      </w:r>
      <w:r>
        <w:rPr>
          <w:rFonts w:ascii="Times New Roman" w:cs="Times New Roman" w:eastAsia="Times New Roman" w:hAnsi="Times New Roman"/>
          <w:sz w:val="16"/>
          <w:szCs w:val="16"/>
          <w:i w:val="1"/>
          <w:iCs w:val="1"/>
          <w:u w:val="single" w:color="auto"/>
          <w:color w:val="auto"/>
        </w:rPr>
        <w:t>unless</w:t>
      </w:r>
      <w:r>
        <w:rPr>
          <w:rFonts w:ascii="Times New Roman" w:cs="Times New Roman" w:eastAsia="Times New Roman" w:hAnsi="Times New Roman"/>
          <w:sz w:val="16"/>
          <w:szCs w:val="16"/>
          <w:color w:val="auto"/>
        </w:rPr>
        <w:t xml:space="preserve">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considered purchasing or selling such Covered Security.</w:t>
      </w:r>
    </w:p>
    <w:p>
      <w:pPr>
        <w:spacing w:after="0" w:line="157" w:lineRule="exact"/>
        <w:rPr>
          <w:sz w:val="20"/>
          <w:szCs w:val="20"/>
          <w:color w:val="auto"/>
        </w:rPr>
      </w:pPr>
    </w:p>
    <w:p>
      <w:pPr>
        <w:ind w:left="266" w:hanging="266"/>
        <w:spacing w:after="0"/>
        <w:tabs>
          <w:tab w:leader="none" w:pos="266"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Brokerage Accounts and Statements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Access Persons, except Independent Directors, shall:</w:t>
      </w:r>
    </w:p>
    <w:p>
      <w:pPr>
        <w:spacing w:after="0" w:line="192" w:lineRule="exact"/>
        <w:rPr>
          <w:sz w:val="20"/>
          <w:szCs w:val="20"/>
          <w:color w:val="auto"/>
        </w:rPr>
      </w:pPr>
    </w:p>
    <w:p>
      <w:pPr>
        <w:jc w:val="both"/>
        <w:ind w:left="846" w:hanging="282"/>
        <w:spacing w:after="0" w:line="258" w:lineRule="auto"/>
        <w:tabs>
          <w:tab w:leader="none" w:pos="846"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30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58" w:lineRule="exact"/>
        <w:rPr>
          <w:rFonts w:ascii="Times New Roman" w:cs="Times New Roman" w:eastAsia="Times New Roman" w:hAnsi="Times New Roman"/>
          <w:sz w:val="16"/>
          <w:szCs w:val="16"/>
          <w:color w:val="auto"/>
        </w:rPr>
      </w:pPr>
    </w:p>
    <w:p>
      <w:pPr>
        <w:ind w:left="846" w:hanging="282"/>
        <w:spacing w:after="0"/>
        <w:tabs>
          <w:tab w:leader="none" w:pos="846"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instruct the brokers, dealers or banks with whom they maintain such an account to provide duplicate account statements to the CCO (or designee); and</w:t>
      </w:r>
    </w:p>
    <w:p>
      <w:pPr>
        <w:spacing w:after="0" w:line="192" w:lineRule="exact"/>
        <w:rPr>
          <w:rFonts w:ascii="Times New Roman" w:cs="Times New Roman" w:eastAsia="Times New Roman" w:hAnsi="Times New Roman"/>
          <w:sz w:val="16"/>
          <w:szCs w:val="16"/>
          <w:color w:val="auto"/>
        </w:rPr>
      </w:pPr>
    </w:p>
    <w:p>
      <w:pPr>
        <w:ind w:left="846" w:hanging="282"/>
        <w:spacing w:after="0"/>
        <w:tabs>
          <w:tab w:leader="none" w:pos="846"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 annual basis, certify that they have complied with the requirements of (1) and (2) above.</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Last Approved and Ratified: October 19, 2022</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15" w:right="319" w:bottom="1440" w:gutter="0" w:footer="0" w:header="0"/>
        </w:sectPr>
      </w:pPr>
    </w:p>
    <w:bookmarkStart w:id="131" w:name="page132"/>
    <w:bookmarkEnd w:id="131"/>
    <w:p>
      <w:pPr>
        <w:ind w:left="246" w:hanging="246"/>
        <w:spacing w:after="0"/>
        <w:tabs>
          <w:tab w:leader="none" w:pos="246"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Form of Reports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6" w:right="20" w:firstLine="564"/>
        <w:spacing w:after="0" w:line="270" w:lineRule="auto"/>
        <w:rPr>
          <w:sz w:val="20"/>
          <w:szCs w:val="20"/>
          <w:color w:val="auto"/>
        </w:rPr>
      </w:pPr>
      <w:r>
        <w:rPr>
          <w:rFonts w:ascii="Times New Roman" w:cs="Times New Roman" w:eastAsia="Times New Roman" w:hAnsi="Times New Roman"/>
          <w:sz w:val="16"/>
          <w:szCs w:val="16"/>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148" w:lineRule="exact"/>
        <w:rPr>
          <w:sz w:val="20"/>
          <w:szCs w:val="20"/>
          <w:color w:val="auto"/>
        </w:rPr>
      </w:pPr>
    </w:p>
    <w:p>
      <w:pPr>
        <w:ind w:left="226" w:hanging="226"/>
        <w:spacing w:after="0"/>
        <w:tabs>
          <w:tab w:leader="none" w:pos="226"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Responsibility to Report</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6" w:firstLine="564"/>
        <w:spacing w:after="0" w:line="258" w:lineRule="auto"/>
        <w:rPr>
          <w:sz w:val="20"/>
          <w:szCs w:val="20"/>
          <w:color w:val="auto"/>
        </w:rPr>
      </w:pPr>
      <w:r>
        <w:rPr>
          <w:rFonts w:ascii="Times New Roman" w:cs="Times New Roman" w:eastAsia="Times New Roman" w:hAnsi="Times New Roman"/>
          <w:sz w:val="16"/>
          <w:szCs w:val="16"/>
          <w:color w:val="auto"/>
        </w:rPr>
        <w:t>It is the responsibility of each Access Person to take the initiative to comply with the requirements of this Section V. Any effort by the Corporation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57" w:lineRule="exact"/>
        <w:rPr>
          <w:sz w:val="20"/>
          <w:szCs w:val="20"/>
          <w:color w:val="auto"/>
        </w:rPr>
      </w:pPr>
    </w:p>
    <w:p>
      <w:pPr>
        <w:ind w:left="266" w:hanging="266"/>
        <w:spacing w:after="0"/>
        <w:tabs>
          <w:tab w:leader="none" w:pos="266"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Where to File Reports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6" w:right="20" w:firstLine="564"/>
        <w:spacing w:after="0" w:line="270" w:lineRule="auto"/>
        <w:rPr>
          <w:sz w:val="20"/>
          <w:szCs w:val="20"/>
          <w:color w:val="auto"/>
        </w:rPr>
      </w:pPr>
      <w:r>
        <w:rPr>
          <w:rFonts w:ascii="Times New Roman" w:cs="Times New Roman" w:eastAsia="Times New Roman" w:hAnsi="Times New Roman"/>
          <w:sz w:val="16"/>
          <w:szCs w:val="16"/>
          <w:color w:val="auto"/>
        </w:rPr>
        <w:t>All Quarterly Securities Transaction Reports and Initial and Annual Personal Securities Accounts and Holdings Reports must be filed with the CCO, either (1) directly in writing using Schedules C or B, respectively (or such other forms as the CCO may prescribe for this purpose), or (2) online, via the System.</w:t>
      </w:r>
    </w:p>
    <w:p>
      <w:pPr>
        <w:spacing w:after="0" w:line="148" w:lineRule="exact"/>
        <w:rPr>
          <w:sz w:val="20"/>
          <w:szCs w:val="20"/>
          <w:color w:val="auto"/>
        </w:rPr>
      </w:pPr>
    </w:p>
    <w:p>
      <w:pPr>
        <w:ind w:left="266" w:hanging="266"/>
        <w:spacing w:after="0"/>
        <w:tabs>
          <w:tab w:leader="none" w:pos="266"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Disclaimers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6" w:firstLine="564"/>
        <w:spacing w:after="0" w:line="270" w:lineRule="auto"/>
        <w:rPr>
          <w:sz w:val="20"/>
          <w:szCs w:val="20"/>
          <w:color w:val="auto"/>
        </w:rPr>
      </w:pPr>
      <w:r>
        <w:rPr>
          <w:rFonts w:ascii="Times New Roman" w:cs="Times New Roman" w:eastAsia="Times New Roman" w:hAnsi="Times New Roman"/>
          <w:sz w:val="16"/>
          <w:szCs w:val="16"/>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148" w:lineRule="exact"/>
        <w:rPr>
          <w:sz w:val="20"/>
          <w:szCs w:val="20"/>
          <w:color w:val="auto"/>
        </w:rPr>
      </w:pPr>
    </w:p>
    <w:p>
      <w:pPr>
        <w:ind w:left="6"/>
        <w:spacing w:after="0"/>
        <w:tabs>
          <w:tab w:leader="none" w:pos="1106" w:val="left"/>
        </w:tabs>
        <w:rPr>
          <w:sz w:val="20"/>
          <w:szCs w:val="20"/>
          <w:color w:val="auto"/>
        </w:rPr>
      </w:pPr>
      <w:r>
        <w:rPr>
          <w:rFonts w:ascii="Times New Roman" w:cs="Times New Roman" w:eastAsia="Times New Roman" w:hAnsi="Times New Roman"/>
          <w:sz w:val="16"/>
          <w:szCs w:val="16"/>
          <w:b w:val="1"/>
          <w:bCs w:val="1"/>
          <w:color w:val="auto"/>
        </w:rPr>
        <w:t>Section VI.</w:t>
      </w:r>
      <w:r>
        <w:rPr>
          <w:sz w:val="20"/>
          <w:szCs w:val="20"/>
          <w:color w:val="auto"/>
        </w:rPr>
        <w:tab/>
      </w:r>
      <w:r>
        <w:rPr>
          <w:rFonts w:ascii="Times New Roman" w:cs="Times New Roman" w:eastAsia="Times New Roman" w:hAnsi="Times New Roman"/>
          <w:sz w:val="15"/>
          <w:szCs w:val="15"/>
          <w:b w:val="1"/>
          <w:bCs w:val="1"/>
          <w:color w:val="auto"/>
        </w:rPr>
        <w:t>Additional Prohibitions</w:t>
      </w:r>
    </w:p>
    <w:p>
      <w:pPr>
        <w:spacing w:after="0" w:line="192" w:lineRule="exact"/>
        <w:rPr>
          <w:sz w:val="20"/>
          <w:szCs w:val="20"/>
          <w:color w:val="auto"/>
        </w:rPr>
      </w:pPr>
    </w:p>
    <w:p>
      <w:pPr>
        <w:ind w:left="266" w:hanging="266"/>
        <w:spacing w:after="0"/>
        <w:tabs>
          <w:tab w:leader="none" w:pos="266"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Confidentiality of the Corporation’s Transactions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6" w:firstLine="564"/>
        <w:spacing w:after="0" w:line="258" w:lineRule="auto"/>
        <w:rPr>
          <w:sz w:val="20"/>
          <w:szCs w:val="20"/>
          <w:color w:val="auto"/>
        </w:rPr>
      </w:pPr>
      <w:r>
        <w:rPr>
          <w:rFonts w:ascii="Times New Roman" w:cs="Times New Roman" w:eastAsia="Times New Roman" w:hAnsi="Times New Roman"/>
          <w:sz w:val="16"/>
          <w:szCs w:val="16"/>
          <w:color w:val="auto"/>
        </w:rPr>
        <w:t>Until disclosed in a public report to stockholders or to the U.S. Securities and Exchange Commission in the normal course, all information concerning the securities “being considered for purchase or sale” by the Corporation shall be kept confidential by all Covered Persons and disclosed by them only on a “need to know” basis. It shall be the responsibility of the CCO to report to the directors of the Corporation any known violations found in this regard.</w:t>
      </w:r>
    </w:p>
    <w:p>
      <w:pPr>
        <w:spacing w:after="0" w:line="157" w:lineRule="exact"/>
        <w:rPr>
          <w:sz w:val="20"/>
          <w:szCs w:val="20"/>
          <w:color w:val="auto"/>
        </w:rPr>
      </w:pPr>
    </w:p>
    <w:p>
      <w:pPr>
        <w:ind w:left="246" w:hanging="246"/>
        <w:spacing w:after="0"/>
        <w:tabs>
          <w:tab w:leader="none" w:pos="246"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Gifts and Entertainment Policy</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6" w:firstLine="564"/>
        <w:spacing w:after="0" w:line="283" w:lineRule="auto"/>
        <w:rPr>
          <w:sz w:val="20"/>
          <w:szCs w:val="20"/>
          <w:color w:val="auto"/>
        </w:rPr>
      </w:pPr>
      <w:r>
        <w:rPr>
          <w:rFonts w:ascii="Times New Roman" w:cs="Times New Roman" w:eastAsia="Times New Roman" w:hAnsi="Times New Roman"/>
          <w:sz w:val="15"/>
          <w:szCs w:val="15"/>
          <w:color w:val="auto"/>
        </w:rPr>
        <w:t>Covered Persons and their immediate families should not solicit, accept, retain or provide any gifts or favors which might influence decisions of the Covered Person or the recipient in making business transactions involving the Corporation, or which others might reasonably believe could influence those decisions. Even a nominal gift should not be accepted if, to a reasonable observer, it might appear that the gift would influence a business decision. No Covered Person may give or accept gifts of cash or cash equivalents.</w:t>
      </w:r>
    </w:p>
    <w:p>
      <w:pPr>
        <w:spacing w:after="0" w:line="142" w:lineRule="exact"/>
        <w:rPr>
          <w:sz w:val="20"/>
          <w:szCs w:val="20"/>
          <w:color w:val="auto"/>
        </w:rPr>
      </w:pPr>
    </w:p>
    <w:p>
      <w:pPr>
        <w:ind w:left="8346"/>
        <w:spacing w:after="0"/>
        <w:rPr>
          <w:sz w:val="20"/>
          <w:szCs w:val="20"/>
          <w:color w:val="auto"/>
        </w:rPr>
      </w:pPr>
      <w:r>
        <w:rPr>
          <w:rFonts w:ascii="Times New Roman" w:cs="Times New Roman" w:eastAsia="Times New Roman" w:hAnsi="Times New Roman"/>
          <w:sz w:val="15"/>
          <w:szCs w:val="15"/>
          <w:color w:val="auto"/>
        </w:rPr>
        <w:t>Last Approved and Ratified: October 19, 2022</w:t>
      </w:r>
    </w:p>
    <w:p>
      <w:pPr>
        <w:spacing w:after="0" w:line="20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15" w:right="319" w:bottom="1440" w:gutter="0" w:footer="0" w:header="0"/>
        </w:sectPr>
      </w:pPr>
    </w:p>
    <w:bookmarkStart w:id="132" w:name="page133"/>
    <w:bookmarkEnd w:id="132"/>
    <w:p>
      <w:pPr>
        <w:jc w:val="both"/>
        <w:ind w:left="6" w:firstLine="564"/>
        <w:spacing w:after="0" w:line="259" w:lineRule="auto"/>
        <w:rPr>
          <w:sz w:val="20"/>
          <w:szCs w:val="20"/>
          <w:color w:val="auto"/>
        </w:rPr>
      </w:pPr>
      <w:r>
        <w:rPr>
          <w:rFonts w:ascii="Times New Roman" w:cs="Times New Roman" w:eastAsia="Times New Roman" w:hAnsi="Times New Roman"/>
          <w:sz w:val="16"/>
          <w:szCs w:val="16"/>
          <w:color w:val="auto"/>
        </w:rPr>
        <w:t>The policy does not apply to gifts of de minimis value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pens, notepads, doughnuts, pizza, modest desk ornaments, etc.) or to promotional items of nominal value that display a firm logo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umbrellas, tote bags, shirts, etc.) and “personal” gifts received because of kinship, marriage or social relationships entirely beyond and apart from an organization in which membership or an official position is held. De minimis gifts and promotional items must be less than the $250 limit to fall within the exclusion.</w:t>
      </w:r>
    </w:p>
    <w:p>
      <w:pPr>
        <w:spacing w:after="0" w:line="159" w:lineRule="exact"/>
        <w:rPr>
          <w:sz w:val="20"/>
          <w:szCs w:val="20"/>
          <w:color w:val="auto"/>
        </w:rPr>
      </w:pPr>
    </w:p>
    <w:p>
      <w:pPr>
        <w:jc w:val="both"/>
        <w:ind w:left="6" w:right="20" w:firstLine="564"/>
        <w:spacing w:after="0" w:line="253" w:lineRule="auto"/>
        <w:rPr>
          <w:sz w:val="20"/>
          <w:szCs w:val="20"/>
          <w:color w:val="auto"/>
        </w:rPr>
      </w:pPr>
      <w:r>
        <w:rPr>
          <w:rFonts w:ascii="Times New Roman" w:cs="Times New Roman" w:eastAsia="Times New Roman" w:hAnsi="Times New Roman"/>
          <w:sz w:val="16"/>
          <w:szCs w:val="16"/>
          <w:color w:val="auto"/>
        </w:rPr>
        <w:t>These prohibitions do not apply to ordinary and usual business entertainment, so long as such entertainment is neither so frequent nor so lavish as to raise any questions of impropriety. For an item to be considered “business entertainment,” the vendor must be present at the event/meal and there must be an opportunity to discuss matters relating to Corporation business. For example, if a Covered Person receives theater tickets from a vendor, the tickets are “business entertainment” only if the vendor attends the event and there is an opportunity to discuss business matters. If not, the tickets should be treated as a “gift” for purposes of this policy and subject to the limitations.</w:t>
      </w:r>
    </w:p>
    <w:p>
      <w:pPr>
        <w:spacing w:after="0" w:line="164" w:lineRule="exact"/>
        <w:rPr>
          <w:sz w:val="20"/>
          <w:szCs w:val="20"/>
          <w:color w:val="auto"/>
        </w:rPr>
      </w:pPr>
    </w:p>
    <w:p>
      <w:pPr>
        <w:jc w:val="both"/>
        <w:ind w:left="6" w:right="20" w:firstLine="564"/>
        <w:spacing w:after="0" w:line="258" w:lineRule="auto"/>
        <w:rPr>
          <w:sz w:val="20"/>
          <w:szCs w:val="20"/>
          <w:color w:val="auto"/>
        </w:rPr>
      </w:pPr>
      <w:r>
        <w:rPr>
          <w:rFonts w:ascii="Times New Roman" w:cs="Times New Roman" w:eastAsia="Times New Roman" w:hAnsi="Times New Roman"/>
          <w:sz w:val="16"/>
          <w:szCs w:val="16"/>
          <w:color w:val="auto"/>
        </w:rPr>
        <w:t xml:space="preserve">All Covered Persons must report the receipt or giving of </w:t>
      </w:r>
      <w:r>
        <w:rPr>
          <w:rFonts w:ascii="Times New Roman" w:cs="Times New Roman" w:eastAsia="Times New Roman" w:hAnsi="Times New Roman"/>
          <w:sz w:val="16"/>
          <w:szCs w:val="16"/>
          <w:u w:val="single" w:color="auto"/>
          <w:color w:val="auto"/>
        </w:rPr>
        <w:t>any</w:t>
      </w:r>
      <w:r>
        <w:rPr>
          <w:rFonts w:ascii="Times New Roman" w:cs="Times New Roman" w:eastAsia="Times New Roman" w:hAnsi="Times New Roman"/>
          <w:sz w:val="16"/>
          <w:szCs w:val="16"/>
          <w:color w:val="auto"/>
        </w:rPr>
        <w:t xml:space="preserve"> SuRo Capital Entity business-related gift with an apparent value that exceeds $250 (other than personal gifts and gifts of de minimis or nominal value, as defined above) and the acceptance or furnishing of all similarly related business entertainment with an apparent value that exceeds $250. Both of these thresholds are on a “per individual” basis.</w:t>
      </w:r>
    </w:p>
    <w:p>
      <w:pPr>
        <w:spacing w:after="0" w:line="159" w:lineRule="exact"/>
        <w:rPr>
          <w:sz w:val="20"/>
          <w:szCs w:val="20"/>
          <w:color w:val="auto"/>
        </w:rPr>
      </w:pPr>
    </w:p>
    <w:p>
      <w:pPr>
        <w:jc w:val="both"/>
        <w:ind w:left="6" w:firstLine="564"/>
        <w:spacing w:after="0" w:line="270" w:lineRule="auto"/>
        <w:rPr>
          <w:sz w:val="20"/>
          <w:szCs w:val="20"/>
          <w:color w:val="auto"/>
        </w:rPr>
      </w:pPr>
      <w:r>
        <w:rPr>
          <w:rFonts w:ascii="Times New Roman" w:cs="Times New Roman" w:eastAsia="Times New Roman" w:hAnsi="Times New Roman"/>
          <w:sz w:val="16"/>
          <w:szCs w:val="16"/>
          <w:color w:val="auto"/>
        </w:rPr>
        <w:t>In addition, the extension by Covered Persons, on behalf of a SuRo Capital Entity, of all invitations for business entertainment that can reasonably be expected to be valued in excess of $500 must be pre-approved by the CCO prior to any such extension. This threshold is on a “per individual” basis.</w:t>
      </w:r>
    </w:p>
    <w:p>
      <w:pPr>
        <w:spacing w:after="0" w:line="150" w:lineRule="exact"/>
        <w:rPr>
          <w:sz w:val="20"/>
          <w:szCs w:val="20"/>
          <w:color w:val="auto"/>
        </w:rPr>
      </w:pPr>
    </w:p>
    <w:p>
      <w:pPr>
        <w:jc w:val="both"/>
        <w:ind w:left="6" w:firstLine="564"/>
        <w:spacing w:after="0" w:line="253" w:lineRule="auto"/>
        <w:rPr>
          <w:sz w:val="20"/>
          <w:szCs w:val="20"/>
          <w:color w:val="auto"/>
        </w:rPr>
      </w:pPr>
      <w:r>
        <w:rPr>
          <w:rFonts w:ascii="Times New Roman" w:cs="Times New Roman" w:eastAsia="Times New Roman" w:hAnsi="Times New Roman"/>
          <w:sz w:val="16"/>
          <w:szCs w:val="16"/>
          <w:color w:val="auto"/>
        </w:rPr>
        <w:t>Regardless of the dollar value, Covered Persons may not give a gift or provide entertainment that is inappropriate under the circumstances, or inconsistent with applicable law or regulations, to persons associated with securities or financial organizations, exchanges, member firms, commodity firms, news media or ERISA fiduciaries. In addition, Covered Persons must confer with the CCO, who may consult legal counsel, before making contact with state or local government plans, and comply with all applicable state or local laws regarding such communications.</w:t>
      </w:r>
    </w:p>
    <w:p>
      <w:pPr>
        <w:spacing w:after="0" w:line="164" w:lineRule="exact"/>
        <w:rPr>
          <w:sz w:val="20"/>
          <w:szCs w:val="20"/>
          <w:color w:val="auto"/>
        </w:rPr>
      </w:pPr>
    </w:p>
    <w:p>
      <w:pPr>
        <w:jc w:val="both"/>
        <w:ind w:left="6" w:firstLine="564"/>
        <w:spacing w:after="0" w:line="258" w:lineRule="auto"/>
        <w:rPr>
          <w:sz w:val="20"/>
          <w:szCs w:val="20"/>
          <w:color w:val="auto"/>
        </w:rPr>
      </w:pPr>
      <w:r>
        <w:rPr>
          <w:rFonts w:ascii="Times New Roman" w:cs="Times New Roman" w:eastAsia="Times New Roman" w:hAnsi="Times New Roman"/>
          <w:sz w:val="16"/>
          <w:szCs w:val="16"/>
          <w:color w:val="auto"/>
        </w:rPr>
        <w:t>The CCO shall maintain a log of all business-related gifts given or received by all Covered Persons in excess of $250, and of all similarly related business entertainment accepted by a Covered Person or furnished by a Covered Person on behalf of the Corporation, the value of either which exceeds $250. These thresholds are on a “per individual” basis.</w:t>
      </w:r>
    </w:p>
    <w:p>
      <w:pPr>
        <w:spacing w:after="0" w:line="157" w:lineRule="exact"/>
        <w:rPr>
          <w:sz w:val="20"/>
          <w:szCs w:val="20"/>
          <w:color w:val="auto"/>
        </w:rPr>
      </w:pPr>
    </w:p>
    <w:p>
      <w:pPr>
        <w:ind w:left="6"/>
        <w:spacing w:after="0"/>
        <w:tabs>
          <w:tab w:leader="none" w:pos="1106" w:val="left"/>
        </w:tabs>
        <w:rPr>
          <w:sz w:val="20"/>
          <w:szCs w:val="20"/>
          <w:color w:val="auto"/>
        </w:rPr>
      </w:pPr>
      <w:r>
        <w:rPr>
          <w:rFonts w:ascii="Times New Roman" w:cs="Times New Roman" w:eastAsia="Times New Roman" w:hAnsi="Times New Roman"/>
          <w:sz w:val="16"/>
          <w:szCs w:val="16"/>
          <w:b w:val="1"/>
          <w:bCs w:val="1"/>
          <w:color w:val="auto"/>
        </w:rPr>
        <w:t>Section VII.</w:t>
      </w:r>
      <w:r>
        <w:rPr>
          <w:sz w:val="20"/>
          <w:szCs w:val="20"/>
          <w:color w:val="auto"/>
        </w:rPr>
        <w:tab/>
      </w:r>
      <w:r>
        <w:rPr>
          <w:rFonts w:ascii="Times New Roman" w:cs="Times New Roman" w:eastAsia="Times New Roman" w:hAnsi="Times New Roman"/>
          <w:sz w:val="15"/>
          <w:szCs w:val="15"/>
          <w:b w:val="1"/>
          <w:bCs w:val="1"/>
          <w:color w:val="auto"/>
        </w:rPr>
        <w:t>Annual Acknowledgement, Affirmation and Certification</w:t>
      </w:r>
    </w:p>
    <w:p>
      <w:pPr>
        <w:spacing w:after="0" w:line="192" w:lineRule="exact"/>
        <w:rPr>
          <w:sz w:val="20"/>
          <w:szCs w:val="20"/>
          <w:color w:val="auto"/>
        </w:rPr>
      </w:pPr>
    </w:p>
    <w:p>
      <w:pPr>
        <w:ind w:left="266" w:hanging="266"/>
        <w:spacing w:after="0"/>
        <w:tabs>
          <w:tab w:leader="none" w:pos="266"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Access Persons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6" w:right="20" w:firstLine="470"/>
        <w:spacing w:after="0" w:line="283" w:lineRule="auto"/>
        <w:rPr>
          <w:sz w:val="20"/>
          <w:szCs w:val="20"/>
          <w:color w:val="auto"/>
        </w:rPr>
      </w:pPr>
      <w:r>
        <w:rPr>
          <w:rFonts w:ascii="Times New Roman" w:cs="Times New Roman" w:eastAsia="Times New Roman" w:hAnsi="Times New Roman"/>
          <w:sz w:val="15"/>
          <w:szCs w:val="15"/>
          <w:color w:val="auto"/>
        </w:rPr>
        <w:t>Access Persons shall be required to acknowledge annually that they have read this Code, that they understand and recognize that they are subject to the Code, and affirm that they will fully comply with the Code on a going-forward basis. Further, Access Persons who have been subject to the Code at any time during the previous year shall be required to certify annually that they have complied with the requirements of this Code. A form of such acknowledgement, affirmation and certification is attached as Schedule D.</w:t>
      </w:r>
    </w:p>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Last Approved and Ratified: October 19, 2022</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14" w:right="319" w:bottom="1440" w:gutter="0" w:footer="0" w:header="0"/>
        </w:sectPr>
      </w:pPr>
    </w:p>
    <w:bookmarkStart w:id="133" w:name="page134"/>
    <w:bookmarkEnd w:id="133"/>
    <w:p>
      <w:pPr>
        <w:ind w:left="246" w:hanging="246"/>
        <w:spacing w:after="0"/>
        <w:tabs>
          <w:tab w:leader="none" w:pos="246"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Board Review</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left="6" w:right="20" w:firstLine="470"/>
        <w:spacing w:after="0" w:line="253" w:lineRule="auto"/>
        <w:rPr>
          <w:sz w:val="20"/>
          <w:szCs w:val="20"/>
          <w:color w:val="auto"/>
        </w:rPr>
      </w:pPr>
      <w:r>
        <w:rPr>
          <w:rFonts w:ascii="Times New Roman" w:cs="Times New Roman" w:eastAsia="Times New Roman" w:hAnsi="Times New Roman"/>
          <w:sz w:val="16"/>
          <w:szCs w:val="16"/>
          <w:color w:val="auto"/>
        </w:rPr>
        <w:t>No less frequently than annually, the SuRo Capital Entities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has adopted procedures reasonably necessary to prevent Access Persons from violating the Code.</w:t>
      </w:r>
    </w:p>
    <w:p>
      <w:pPr>
        <w:spacing w:after="0" w:line="162" w:lineRule="exact"/>
        <w:rPr>
          <w:sz w:val="20"/>
          <w:szCs w:val="20"/>
          <w:color w:val="auto"/>
        </w:rPr>
      </w:pPr>
    </w:p>
    <w:p>
      <w:pPr>
        <w:ind w:left="6"/>
        <w:spacing w:after="0"/>
        <w:tabs>
          <w:tab w:leader="none" w:pos="1106" w:val="left"/>
        </w:tabs>
        <w:rPr>
          <w:sz w:val="20"/>
          <w:szCs w:val="20"/>
          <w:color w:val="auto"/>
        </w:rPr>
      </w:pPr>
      <w:r>
        <w:rPr>
          <w:rFonts w:ascii="Times New Roman" w:cs="Times New Roman" w:eastAsia="Times New Roman" w:hAnsi="Times New Roman"/>
          <w:sz w:val="16"/>
          <w:szCs w:val="16"/>
          <w:b w:val="1"/>
          <w:bCs w:val="1"/>
          <w:color w:val="auto"/>
        </w:rPr>
        <w:t>Section VIII.</w:t>
      </w:r>
      <w:r>
        <w:rPr>
          <w:sz w:val="20"/>
          <w:szCs w:val="20"/>
          <w:color w:val="auto"/>
        </w:rPr>
        <w:tab/>
      </w:r>
      <w:r>
        <w:rPr>
          <w:rFonts w:ascii="Times New Roman" w:cs="Times New Roman" w:eastAsia="Times New Roman" w:hAnsi="Times New Roman"/>
          <w:sz w:val="15"/>
          <w:szCs w:val="15"/>
          <w:b w:val="1"/>
          <w:bCs w:val="1"/>
          <w:color w:val="auto"/>
        </w:rPr>
        <w:t>Sanctions</w:t>
      </w:r>
    </w:p>
    <w:p>
      <w:pPr>
        <w:spacing w:after="0" w:line="194" w:lineRule="exact"/>
        <w:rPr>
          <w:sz w:val="20"/>
          <w:szCs w:val="20"/>
          <w:color w:val="auto"/>
        </w:rPr>
      </w:pPr>
    </w:p>
    <w:p>
      <w:pPr>
        <w:jc w:val="both"/>
        <w:ind w:left="6" w:firstLine="564"/>
        <w:spacing w:after="0" w:line="270" w:lineRule="auto"/>
        <w:rPr>
          <w:sz w:val="20"/>
          <w:szCs w:val="20"/>
          <w:color w:val="auto"/>
        </w:rPr>
      </w:pPr>
      <w:r>
        <w:rPr>
          <w:rFonts w:ascii="Times New Roman" w:cs="Times New Roman" w:eastAsia="Times New Roman" w:hAnsi="Times New Roman"/>
          <w:sz w:val="15"/>
          <w:szCs w:val="15"/>
          <w:color w:val="auto"/>
        </w:rPr>
        <w:t>Any violation of this Code shall be subject to the imposition of such sanctions as may be deemed appropriate under the circumstances to achieve the purposes of Rule 17j-1 and this Code. Sanctions for employees for minor violations, such as a short delay in reporting, shall be determined by the Chief Compliance Officer. Sanctions for any violation or failure to comply by the requisite deadline will be included in the Chief Compliance Officer’s quarterly report to the Board, and may be subject to heightened sanctions, including, but not limited to, mandatory compliance training, a notation in the employee’s personnel file, suspension or termination of employment, a letter of censure in the employee’s personnel file, and/or reversal of any noncompliant trades with surrender of profits in a manner to be determined by the Chief Executive Officer, such as, for example, in a gift to charity. Sanctions for senior executives and members of the board shall be determined by the independent directors, with the advice of the Chief Compliance Officer.</w:t>
      </w:r>
    </w:p>
    <w:p>
      <w:pPr>
        <w:spacing w:after="0" w:line="150" w:lineRule="exact"/>
        <w:rPr>
          <w:sz w:val="20"/>
          <w:szCs w:val="20"/>
          <w:color w:val="auto"/>
        </w:rPr>
      </w:pPr>
    </w:p>
    <w:p>
      <w:pPr>
        <w:ind w:left="6"/>
        <w:spacing w:after="0"/>
        <w:tabs>
          <w:tab w:leader="none" w:pos="1106" w:val="left"/>
        </w:tabs>
        <w:rPr>
          <w:sz w:val="20"/>
          <w:szCs w:val="20"/>
          <w:color w:val="auto"/>
        </w:rPr>
      </w:pPr>
      <w:r>
        <w:rPr>
          <w:rFonts w:ascii="Times New Roman" w:cs="Times New Roman" w:eastAsia="Times New Roman" w:hAnsi="Times New Roman"/>
          <w:sz w:val="16"/>
          <w:szCs w:val="16"/>
          <w:b w:val="1"/>
          <w:bCs w:val="1"/>
          <w:color w:val="auto"/>
        </w:rPr>
        <w:t>Section IX.</w:t>
      </w:r>
      <w:r>
        <w:rPr>
          <w:sz w:val="20"/>
          <w:szCs w:val="20"/>
          <w:color w:val="auto"/>
        </w:rPr>
        <w:tab/>
      </w:r>
      <w:r>
        <w:rPr>
          <w:rFonts w:ascii="Times New Roman" w:cs="Times New Roman" w:eastAsia="Times New Roman" w:hAnsi="Times New Roman"/>
          <w:sz w:val="15"/>
          <w:szCs w:val="15"/>
          <w:b w:val="1"/>
          <w:bCs w:val="1"/>
          <w:color w:val="auto"/>
        </w:rPr>
        <w:t>Administration and Construction</w:t>
      </w:r>
    </w:p>
    <w:p>
      <w:pPr>
        <w:spacing w:after="0" w:line="194" w:lineRule="exact"/>
        <w:rPr>
          <w:sz w:val="20"/>
          <w:szCs w:val="20"/>
          <w:color w:val="auto"/>
        </w:rPr>
      </w:pPr>
    </w:p>
    <w:p>
      <w:pPr>
        <w:ind w:left="306" w:hanging="306"/>
        <w:spacing w:after="0"/>
        <w:tabs>
          <w:tab w:leader="none" w:pos="30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administration of this Code shall be the responsibility of the CCO.</w:t>
      </w:r>
    </w:p>
    <w:p>
      <w:pPr>
        <w:spacing w:after="0" w:line="192" w:lineRule="exact"/>
        <w:rPr>
          <w:rFonts w:ascii="Times New Roman" w:cs="Times New Roman" w:eastAsia="Times New Roman" w:hAnsi="Times New Roman"/>
          <w:sz w:val="16"/>
          <w:szCs w:val="16"/>
          <w:color w:val="auto"/>
        </w:rPr>
      </w:pPr>
    </w:p>
    <w:p>
      <w:pPr>
        <w:ind w:left="306" w:hanging="306"/>
        <w:spacing w:after="0"/>
        <w:tabs>
          <w:tab w:leader="none" w:pos="30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duties of the CCO are as follows:</w:t>
      </w:r>
    </w:p>
    <w:p>
      <w:pPr>
        <w:spacing w:after="0" w:line="192" w:lineRule="exact"/>
        <w:rPr>
          <w:rFonts w:ascii="Times New Roman" w:cs="Times New Roman" w:eastAsia="Times New Roman" w:hAnsi="Times New Roman"/>
          <w:sz w:val="16"/>
          <w:szCs w:val="16"/>
          <w:color w:val="auto"/>
        </w:rPr>
      </w:pPr>
    </w:p>
    <w:p>
      <w:pPr>
        <w:ind w:left="846" w:right="20" w:hanging="282"/>
        <w:spacing w:after="0" w:line="270" w:lineRule="auto"/>
        <w:tabs>
          <w:tab w:leader="none" w:pos="846"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continuously a current list of the names of all Access Persons with an appropriate description of their title or employment, including a notation of any directorships held by Access Persons, and inform all Access Persons of their reporting obligations hereunder;</w:t>
      </w:r>
    </w:p>
    <w:p>
      <w:pPr>
        <w:spacing w:after="0" w:line="150" w:lineRule="exact"/>
        <w:rPr>
          <w:rFonts w:ascii="Times New Roman" w:cs="Times New Roman" w:eastAsia="Times New Roman" w:hAnsi="Times New Roman"/>
          <w:sz w:val="16"/>
          <w:szCs w:val="16"/>
          <w:color w:val="auto"/>
        </w:rPr>
      </w:pPr>
    </w:p>
    <w:p>
      <w:pPr>
        <w:ind w:left="846" w:hanging="282"/>
        <w:spacing w:after="0" w:line="270" w:lineRule="auto"/>
        <w:tabs>
          <w:tab w:leader="none" w:pos="846"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 annual basis, provide all Covered Persons a copy of this Code and inform such persons of their duties and obligations hereunder including making available any supplemental training that may be required from time to time. In addition, provide to all Covered Persons updated copies of the Code each time it is amended;</w:t>
      </w:r>
    </w:p>
    <w:p>
      <w:pPr>
        <w:spacing w:after="0" w:line="150" w:lineRule="exact"/>
        <w:rPr>
          <w:rFonts w:ascii="Times New Roman" w:cs="Times New Roman" w:eastAsia="Times New Roman" w:hAnsi="Times New Roman"/>
          <w:sz w:val="16"/>
          <w:szCs w:val="16"/>
          <w:color w:val="auto"/>
        </w:rPr>
      </w:pPr>
    </w:p>
    <w:p>
      <w:pPr>
        <w:ind w:left="846" w:right="20" w:hanging="282"/>
        <w:spacing w:after="0" w:line="270" w:lineRule="auto"/>
        <w:tabs>
          <w:tab w:leader="none" w:pos="846"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Collect from all Covered Persons a signed “Acknowledgement, Affirmation and Certification of Compliance with SuRo Capital Compliance Program Documents” form (which is attached as Schedule D) annually and each time the Code is amended;</w:t>
      </w:r>
    </w:p>
    <w:p>
      <w:pPr>
        <w:spacing w:after="0" w:line="150" w:lineRule="exact"/>
        <w:rPr>
          <w:rFonts w:ascii="Times New Roman" w:cs="Times New Roman" w:eastAsia="Times New Roman" w:hAnsi="Times New Roman"/>
          <w:sz w:val="16"/>
          <w:szCs w:val="16"/>
          <w:color w:val="auto"/>
        </w:rPr>
      </w:pPr>
    </w:p>
    <w:p>
      <w:pPr>
        <w:ind w:left="846" w:hanging="282"/>
        <w:spacing w:after="0"/>
        <w:tabs>
          <w:tab w:leader="none" w:pos="846"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or supervise the maintenance of all records (including pre-clearance and other approvals granted) and reports required by this Code;</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Last Approved and Ratified: October 19, 2022</w:t>
      </w:r>
    </w:p>
    <w:p>
      <w:pPr>
        <w:spacing w:after="0" w:line="21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15" w:right="319" w:bottom="1440" w:gutter="0" w:footer="0" w:header="0"/>
        </w:sectPr>
      </w:pPr>
    </w:p>
    <w:bookmarkStart w:id="134" w:name="page135"/>
    <w:bookmarkEnd w:id="134"/>
    <w:p>
      <w:pPr>
        <w:ind w:left="846" w:hanging="282"/>
        <w:spacing w:after="0"/>
        <w:tabs>
          <w:tab w:leader="none" w:pos="846" w:val="left"/>
        </w:tabs>
        <w:numPr>
          <w:ilvl w:val="1"/>
          <w:numId w:val="96"/>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Review the contents of holdings reports submitted by Access Persons;</w:t>
      </w:r>
      <w:r>
        <w:rPr>
          <w:rFonts w:ascii="Times New Roman" w:cs="Times New Roman" w:eastAsia="Times New Roman" w:hAnsi="Times New Roman"/>
          <w:sz w:val="26"/>
          <w:szCs w:val="26"/>
          <w:color w:val="auto"/>
          <w:vertAlign w:val="superscript"/>
        </w:rPr>
        <w:t>1</w:t>
      </w:r>
    </w:p>
    <w:p>
      <w:pPr>
        <w:spacing w:after="0" w:line="66" w:lineRule="exact"/>
        <w:rPr>
          <w:rFonts w:ascii="Times New Roman" w:cs="Times New Roman" w:eastAsia="Times New Roman" w:hAnsi="Times New Roman"/>
          <w:sz w:val="31"/>
          <w:szCs w:val="31"/>
          <w:color w:val="auto"/>
          <w:vertAlign w:val="superscript"/>
        </w:rPr>
      </w:pPr>
    </w:p>
    <w:p>
      <w:pPr>
        <w:jc w:val="both"/>
        <w:ind w:left="846" w:right="20" w:hanging="282"/>
        <w:spacing w:after="0" w:line="257" w:lineRule="auto"/>
        <w:tabs>
          <w:tab w:leader="none" w:pos="846"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reports of all transactions effected by Access Persons who are subject to the requirement to file Quarterly Securities Transaction Reports and review such transactions against a listing of all transactions effected by the Corporation and securities of any companies included on the Restricted List during the reporting period;</w:t>
      </w:r>
    </w:p>
    <w:p>
      <w:pPr>
        <w:spacing w:after="0" w:line="159" w:lineRule="exact"/>
        <w:rPr>
          <w:rFonts w:ascii="Times New Roman" w:cs="Times New Roman" w:eastAsia="Times New Roman" w:hAnsi="Times New Roman"/>
          <w:sz w:val="16"/>
          <w:szCs w:val="16"/>
          <w:color w:val="auto"/>
        </w:rPr>
      </w:pPr>
    </w:p>
    <w:p>
      <w:pPr>
        <w:ind w:left="846" w:hanging="282"/>
        <w:spacing w:after="0" w:line="270" w:lineRule="auto"/>
        <w:tabs>
          <w:tab w:leader="none" w:pos="846"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either personally or with the assistance of counsel, as may be appropriate, any interpretation of this Code that may appear consistent with the objectives of Rule 17j-1 and this Code;</w:t>
      </w:r>
    </w:p>
    <w:p>
      <w:pPr>
        <w:spacing w:after="0" w:line="150" w:lineRule="exact"/>
        <w:rPr>
          <w:rFonts w:ascii="Times New Roman" w:cs="Times New Roman" w:eastAsia="Times New Roman" w:hAnsi="Times New Roman"/>
          <w:sz w:val="16"/>
          <w:szCs w:val="16"/>
          <w:color w:val="auto"/>
        </w:rPr>
      </w:pPr>
    </w:p>
    <w:p>
      <w:pPr>
        <w:ind w:left="846" w:right="20" w:hanging="282"/>
        <w:spacing w:after="0" w:line="270" w:lineRule="auto"/>
        <w:tabs>
          <w:tab w:leader="none" w:pos="846"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such inspections or investigations as shall reasonably be required to detect and report, with recommendations, any apparent violations of this Code to the board of directors of the Corporation; and</w:t>
      </w:r>
    </w:p>
    <w:p>
      <w:pPr>
        <w:spacing w:after="0" w:line="150" w:lineRule="exact"/>
        <w:rPr>
          <w:rFonts w:ascii="Times New Roman" w:cs="Times New Roman" w:eastAsia="Times New Roman" w:hAnsi="Times New Roman"/>
          <w:sz w:val="16"/>
          <w:szCs w:val="16"/>
          <w:color w:val="auto"/>
        </w:rPr>
      </w:pPr>
    </w:p>
    <w:p>
      <w:pPr>
        <w:ind w:left="846" w:right="20" w:hanging="282"/>
        <w:spacing w:after="0" w:line="270" w:lineRule="auto"/>
        <w:tabs>
          <w:tab w:leader="none" w:pos="846"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a written report to the board of directors of the Corporation, no less frequently than annually, that describes any issues arising under the Code since the last such report, including but not limited to the information described in Section VII(B).</w:t>
      </w:r>
    </w:p>
    <w:p>
      <w:pPr>
        <w:spacing w:after="0" w:line="150"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CCO shall maintain and cause to be maintained in an easily accessible place at the principal place of business of the Corporation the following records:</w:t>
      </w:r>
    </w:p>
    <w:p>
      <w:pPr>
        <w:spacing w:after="0" w:line="192" w:lineRule="exact"/>
        <w:rPr>
          <w:rFonts w:ascii="Times New Roman" w:cs="Times New Roman" w:eastAsia="Times New Roman" w:hAnsi="Times New Roman"/>
          <w:sz w:val="16"/>
          <w:szCs w:val="16"/>
          <w:color w:val="auto"/>
        </w:rPr>
      </w:pPr>
    </w:p>
    <w:p>
      <w:pPr>
        <w:ind w:left="846" w:hanging="282"/>
        <w:spacing w:after="0"/>
        <w:tabs>
          <w:tab w:leader="none" w:pos="8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all codes of ethics adopted by the Corporation pursuant to Rule 17j-1 that have been in effect at any time during the past five (5) years;</w:t>
      </w:r>
    </w:p>
    <w:p>
      <w:pPr>
        <w:spacing w:after="0" w:line="192" w:lineRule="exact"/>
        <w:rPr>
          <w:rFonts w:ascii="Times New Roman" w:cs="Times New Roman" w:eastAsia="Times New Roman" w:hAnsi="Times New Roman"/>
          <w:sz w:val="16"/>
          <w:szCs w:val="16"/>
          <w:color w:val="auto"/>
        </w:rPr>
      </w:pPr>
    </w:p>
    <w:p>
      <w:pPr>
        <w:ind w:left="846" w:right="20" w:hanging="282"/>
        <w:spacing w:after="0" w:line="270" w:lineRule="auto"/>
        <w:tabs>
          <w:tab w:leader="none" w:pos="8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all signed “Acknowledgement, Affirmation and Certification of Compliance with SuRo Capital Compliance Program Documents” forms (see Schedule D) for at least five (5) years after the end of the fiscal year in which the Acknowledgement, etc. is submitted;</w:t>
      </w:r>
    </w:p>
    <w:p>
      <w:pPr>
        <w:spacing w:after="0" w:line="150" w:lineRule="exact"/>
        <w:rPr>
          <w:rFonts w:ascii="Times New Roman" w:cs="Times New Roman" w:eastAsia="Times New Roman" w:hAnsi="Times New Roman"/>
          <w:sz w:val="16"/>
          <w:szCs w:val="16"/>
          <w:color w:val="auto"/>
        </w:rPr>
      </w:pPr>
    </w:p>
    <w:p>
      <w:pPr>
        <w:ind w:left="846" w:right="20" w:hanging="282"/>
        <w:spacing w:after="0" w:line="270" w:lineRule="auto"/>
        <w:tabs>
          <w:tab w:leader="none" w:pos="8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record of each violation of such code of ethics and of any action taken as a result of such violation for at least five (5) years after the end of the fiscal year in which the violation occurs;</w:t>
      </w:r>
    </w:p>
    <w:p>
      <w:pPr>
        <w:spacing w:after="0" w:line="150" w:lineRule="exact"/>
        <w:rPr>
          <w:rFonts w:ascii="Times New Roman" w:cs="Times New Roman" w:eastAsia="Times New Roman" w:hAnsi="Times New Roman"/>
          <w:sz w:val="16"/>
          <w:szCs w:val="16"/>
          <w:color w:val="auto"/>
        </w:rPr>
      </w:pPr>
    </w:p>
    <w:p>
      <w:pPr>
        <w:ind w:left="846" w:right="20" w:hanging="282"/>
        <w:spacing w:after="0" w:line="270" w:lineRule="auto"/>
        <w:tabs>
          <w:tab w:leader="none" w:pos="8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each report made by an Access Person for at least two (2) years after the end of the fiscal year in which the report is made, and for an additional three (3) years in a place that need not be easily accessible;</w:t>
      </w:r>
    </w:p>
    <w:p>
      <w:pPr>
        <w:spacing w:after="0" w:line="150" w:lineRule="exact"/>
        <w:rPr>
          <w:rFonts w:ascii="Times New Roman" w:cs="Times New Roman" w:eastAsia="Times New Roman" w:hAnsi="Times New Roman"/>
          <w:sz w:val="16"/>
          <w:szCs w:val="16"/>
          <w:color w:val="auto"/>
        </w:rPr>
      </w:pPr>
    </w:p>
    <w:p>
      <w:pPr>
        <w:ind w:left="846" w:right="20" w:hanging="282"/>
        <w:spacing w:after="0" w:line="270" w:lineRule="auto"/>
        <w:tabs>
          <w:tab w:leader="none" w:pos="8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each report made by the CCO to the board of directors for two (2) years from the end of the fiscal year of the Corporation in which such report is made or issued and for an additional three (3) years in a place that need not be easily accessible;</w:t>
      </w:r>
    </w:p>
    <w:p>
      <w:pPr>
        <w:spacing w:after="0" w:line="150" w:lineRule="exact"/>
        <w:rPr>
          <w:rFonts w:ascii="Times New Roman" w:cs="Times New Roman" w:eastAsia="Times New Roman" w:hAnsi="Times New Roman"/>
          <w:sz w:val="16"/>
          <w:szCs w:val="16"/>
          <w:color w:val="auto"/>
        </w:rPr>
      </w:pPr>
    </w:p>
    <w:p>
      <w:pPr>
        <w:ind w:left="846" w:right="20" w:hanging="282"/>
        <w:spacing w:after="0" w:line="270" w:lineRule="auto"/>
        <w:tabs>
          <w:tab w:leader="none" w:pos="8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list of all persons who are, or within the past five (5) years have been, required to make reports pursuant to Rule 17j-1 and this Code, or who are or were responsible for reviewing such reports;</w:t>
      </w:r>
    </w:p>
    <w:p>
      <w:pPr>
        <w:spacing w:after="0" w:line="150" w:lineRule="exact"/>
        <w:rPr>
          <w:rFonts w:ascii="Times New Roman" w:cs="Times New Roman" w:eastAsia="Times New Roman" w:hAnsi="Times New Roman"/>
          <w:sz w:val="16"/>
          <w:szCs w:val="16"/>
          <w:color w:val="auto"/>
        </w:rPr>
      </w:pPr>
    </w:p>
    <w:p>
      <w:pPr>
        <w:ind w:left="846" w:right="20" w:hanging="282"/>
        <w:spacing w:after="0" w:line="270" w:lineRule="auto"/>
        <w:tabs>
          <w:tab w:leader="none" w:pos="8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each report required by Section VII(B) for at least two (2) years after the end of the fiscal year in which it is made, and for an additional three (3) years in a place that need not be easily accessible; and</w:t>
      </w:r>
    </w:p>
    <w:p>
      <w:pPr>
        <w:spacing w:after="0" w:line="150" w:lineRule="exact"/>
        <w:rPr>
          <w:rFonts w:ascii="Times New Roman" w:cs="Times New Roman" w:eastAsia="Times New Roman" w:hAnsi="Times New Roman"/>
          <w:sz w:val="16"/>
          <w:szCs w:val="16"/>
          <w:color w:val="auto"/>
        </w:rPr>
      </w:pPr>
    </w:p>
    <w:p>
      <w:pPr>
        <w:ind w:left="846" w:hanging="282"/>
        <w:spacing w:after="0" w:line="270" w:lineRule="auto"/>
        <w:tabs>
          <w:tab w:leader="none" w:pos="846"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record of any decision, and the reasons supporting the decision, to approve the acquisition by Investment Persons of securities in an Initial Public Offering or Limited Offering for at least five (5) years after the end of the fiscal year in which the approval is granted.</w:t>
      </w:r>
    </w:p>
    <w:p>
      <w:pPr>
        <w:spacing w:after="0" w:line="173"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Code may not be amended or modified except in a written form that is specifically approved by majority vote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179133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1791335" cy="15240"/>
                    </a:xfrm>
                    <a:prstGeom prst="rect">
                      <a:avLst/>
                    </a:prstGeom>
                    <a:noFill/>
                  </pic:spPr>
                </pic:pic>
              </a:graphicData>
            </a:graphic>
          </wp:anchor>
        </w:drawing>
      </w:r>
    </w:p>
    <w:p>
      <w:pPr>
        <w:spacing w:after="0" w:line="147" w:lineRule="exact"/>
        <w:rPr>
          <w:sz w:val="20"/>
          <w:szCs w:val="20"/>
          <w:color w:val="auto"/>
        </w:rPr>
      </w:pPr>
    </w:p>
    <w:p>
      <w:pPr>
        <w:ind w:left="106" w:hanging="106"/>
        <w:spacing w:after="0"/>
        <w:tabs>
          <w:tab w:leader="none" w:pos="106" w:val="left"/>
        </w:tabs>
        <w:numPr>
          <w:ilvl w:val="0"/>
          <w:numId w:val="9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reportable holdings and transaction reports of the CCO shall be reviewed by the Chief Financial Officer.</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Last Approved and Ratified: October 19, 2022</w:t>
      </w:r>
    </w:p>
    <w:p>
      <w:pPr>
        <w:spacing w:after="0" w:line="19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50100"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630" w:right="31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SuRo Capital Corp.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Pre-Clearance Request</w:t>
      </w:r>
    </w:p>
    <w:p>
      <w:pPr>
        <w:spacing w:after="0" w:line="194" w:lineRule="exact"/>
        <w:rPr>
          <w:sz w:val="20"/>
          <w:szCs w:val="20"/>
          <w:color w:val="auto"/>
        </w:rPr>
      </w:pPr>
    </w:p>
    <w:p>
      <w:pPr>
        <w:ind w:firstLine="564"/>
        <w:spacing w:after="0" w:line="304" w:lineRule="auto"/>
        <w:rPr>
          <w:sz w:val="20"/>
          <w:szCs w:val="20"/>
          <w:color w:val="auto"/>
        </w:rPr>
      </w:pPr>
      <w:r>
        <w:rPr>
          <w:rFonts w:ascii="Times New Roman" w:cs="Times New Roman" w:eastAsia="Times New Roman" w:hAnsi="Times New Roman"/>
          <w:sz w:val="15"/>
          <w:szCs w:val="15"/>
          <w:color w:val="auto"/>
        </w:rPr>
        <w:t>As described in Section IV of the SuRo Capital Corp. Code of Ethics, this form must be submitted prior to an “Access Person” executing any transaction in SuRo Capital Corp. securities, securities of any issuer included on the Restricted List, or effecting purchasing in a private placement or initial public offering of securities of any issuer.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Upon completion of this form, please submit to the CCO at: </w:t>
      </w:r>
      <w:r>
        <w:rPr>
          <w:rFonts w:ascii="Times New Roman" w:cs="Times New Roman" w:eastAsia="Times New Roman" w:hAnsi="Times New Roman"/>
          <w:sz w:val="16"/>
          <w:szCs w:val="16"/>
          <w:b w:val="1"/>
          <w:bCs w:val="1"/>
          <w:u w:val="single" w:color="auto"/>
          <w:color w:val="auto"/>
        </w:rPr>
        <w:t>Compliance@surocap.com.</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Date of Request: _________________</w:t>
            </w:r>
          </w:p>
        </w:tc>
        <w:tc>
          <w:tcPr>
            <w:tcW w:w="560" w:type="dxa"/>
            <w:vAlign w:val="bottom"/>
          </w:tcPr>
          <w:p>
            <w:pPr>
              <w:spacing w:after="0"/>
              <w:rPr>
                <w:sz w:val="17"/>
                <w:szCs w:val="17"/>
                <w:color w:val="auto"/>
              </w:rPr>
            </w:pPr>
          </w:p>
        </w:tc>
        <w:tc>
          <w:tcPr>
            <w:tcW w:w="384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w w:val="97"/>
              </w:rPr>
              <w:t>Intended Trade Date: ____________________</w:t>
            </w:r>
          </w:p>
        </w:tc>
        <w:tc>
          <w:tcPr>
            <w:tcW w:w="0" w:type="dxa"/>
            <w:vAlign w:val="bottom"/>
          </w:tcPr>
          <w:p>
            <w:pPr>
              <w:spacing w:after="0"/>
              <w:rPr>
                <w:sz w:val="1"/>
                <w:szCs w:val="1"/>
                <w:color w:val="auto"/>
              </w:rPr>
            </w:pPr>
          </w:p>
        </w:tc>
      </w:tr>
      <w:tr>
        <w:trPr>
          <w:trHeight w:val="376"/>
        </w:trPr>
        <w:tc>
          <w:tcPr>
            <w:tcW w:w="4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Name</w:t>
            </w:r>
            <w:r>
              <w:rPr>
                <w:rFonts w:ascii="Times New Roman" w:cs="Times New Roman" w:eastAsia="Times New Roman" w:hAnsi="Times New Roman"/>
                <w:sz w:val="16"/>
                <w:szCs w:val="16"/>
                <w:color w:val="auto"/>
              </w:rPr>
              <w:t>: __________________________________________________</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Buy</w:t>
            </w:r>
          </w:p>
        </w:tc>
        <w:tc>
          <w:tcPr>
            <w:tcW w:w="560" w:type="dxa"/>
            <w:vAlign w:val="bottom"/>
            <w:tcBorders>
              <w:bottom w:val="single" w:sz="8" w:color="auto"/>
            </w:tcBorders>
          </w:tcPr>
          <w:p>
            <w:pPr>
              <w:spacing w:after="0"/>
              <w:rPr>
                <w:sz w:val="16"/>
                <w:szCs w:val="16"/>
                <w:color w:val="auto"/>
              </w:rPr>
            </w:pPr>
          </w:p>
        </w:tc>
        <w:tc>
          <w:tcPr>
            <w:tcW w:w="11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Sell</w:t>
            </w:r>
          </w:p>
        </w:tc>
        <w:tc>
          <w:tcPr>
            <w:tcW w:w="560" w:type="dxa"/>
            <w:vAlign w:val="bottom"/>
            <w:tcBorders>
              <w:bottom w:val="single" w:sz="8" w:color="auto"/>
            </w:tcBorders>
          </w:tcPr>
          <w:p>
            <w:pPr>
              <w:spacing w:after="0"/>
              <w:rPr>
                <w:sz w:val="16"/>
                <w:szCs w:val="16"/>
                <w:color w:val="auto"/>
              </w:rPr>
            </w:pP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Sell Short</w:t>
            </w:r>
          </w:p>
        </w:tc>
        <w:tc>
          <w:tcPr>
            <w:tcW w:w="560" w:type="dxa"/>
            <w:vAlign w:val="bottom"/>
            <w:tcBorders>
              <w:bottom w:val="single" w:sz="8" w:color="auto"/>
            </w:tcBorders>
          </w:tcPr>
          <w:p>
            <w:pPr>
              <w:spacing w:after="0"/>
              <w:rPr>
                <w:sz w:val="16"/>
                <w:szCs w:val="16"/>
                <w:color w:val="auto"/>
              </w:rPr>
            </w:pPr>
          </w:p>
        </w:tc>
        <w:tc>
          <w:tcPr>
            <w:tcW w:w="16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Cover Short</w:t>
            </w:r>
          </w:p>
        </w:tc>
        <w:tc>
          <w:tcPr>
            <w:tcW w:w="0" w:type="dxa"/>
            <w:vAlign w:val="bottom"/>
          </w:tcPr>
          <w:p>
            <w:pPr>
              <w:spacing w:after="0"/>
              <w:rPr>
                <w:sz w:val="1"/>
                <w:szCs w:val="1"/>
                <w:color w:val="auto"/>
              </w:rPr>
            </w:pPr>
          </w:p>
        </w:tc>
      </w:tr>
      <w:tr>
        <w:trPr>
          <w:trHeight w:val="164"/>
        </w:trPr>
        <w:tc>
          <w:tcPr>
            <w:tcW w:w="900" w:type="dxa"/>
            <w:vAlign w:val="bottom"/>
            <w:vMerge w:val="continue"/>
          </w:tcPr>
          <w:p>
            <w:pPr>
              <w:spacing w:after="0"/>
              <w:rPr>
                <w:sz w:val="14"/>
                <w:szCs w:val="14"/>
                <w:color w:val="auto"/>
              </w:rPr>
            </w:pPr>
          </w:p>
        </w:tc>
        <w:tc>
          <w:tcPr>
            <w:tcW w:w="560" w:type="dxa"/>
            <w:vAlign w:val="bottom"/>
            <w:tcBorders>
              <w:left w:val="single" w:sz="8" w:color="auto"/>
              <w:right w:val="single" w:sz="8" w:color="auto"/>
            </w:tcBorders>
          </w:tcPr>
          <w:p>
            <w:pPr>
              <w:spacing w:after="0"/>
              <w:rPr>
                <w:sz w:val="14"/>
                <w:szCs w:val="14"/>
                <w:color w:val="auto"/>
              </w:rPr>
            </w:pPr>
          </w:p>
        </w:tc>
        <w:tc>
          <w:tcPr>
            <w:tcW w:w="1140" w:type="dxa"/>
            <w:vAlign w:val="bottom"/>
            <w:vMerge w:val="continue"/>
          </w:tcPr>
          <w:p>
            <w:pPr>
              <w:spacing w:after="0"/>
              <w:rPr>
                <w:sz w:val="14"/>
                <w:szCs w:val="14"/>
                <w:color w:val="auto"/>
              </w:rPr>
            </w:pPr>
          </w:p>
        </w:tc>
        <w:tc>
          <w:tcPr>
            <w:tcW w:w="560" w:type="dxa"/>
            <w:vAlign w:val="bottom"/>
            <w:tcBorders>
              <w:left w:val="single" w:sz="8" w:color="auto"/>
              <w:right w:val="single" w:sz="8" w:color="auto"/>
            </w:tcBorders>
          </w:tcPr>
          <w:p>
            <w:pPr>
              <w:spacing w:after="0"/>
              <w:rPr>
                <w:sz w:val="14"/>
                <w:szCs w:val="14"/>
                <w:color w:val="auto"/>
              </w:rPr>
            </w:pPr>
          </w:p>
        </w:tc>
        <w:tc>
          <w:tcPr>
            <w:tcW w:w="1600" w:type="dxa"/>
            <w:vAlign w:val="bottom"/>
            <w:vMerge w:val="continue"/>
          </w:tcPr>
          <w:p>
            <w:pPr>
              <w:spacing w:after="0"/>
              <w:rPr>
                <w:sz w:val="14"/>
                <w:szCs w:val="14"/>
                <w:color w:val="auto"/>
              </w:rPr>
            </w:pPr>
          </w:p>
        </w:tc>
        <w:tc>
          <w:tcPr>
            <w:tcW w:w="560" w:type="dxa"/>
            <w:vAlign w:val="bottom"/>
            <w:tcBorders>
              <w:left w:val="single" w:sz="8" w:color="auto"/>
              <w:right w:val="single" w:sz="8" w:color="auto"/>
            </w:tcBorders>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0" w:type="dxa"/>
            <w:vAlign w:val="bottom"/>
            <w:tcBorders>
              <w:left w:val="single" w:sz="8" w:color="auto"/>
              <w:bottom w:val="single" w:sz="8" w:color="auto"/>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Borders>
              <w:left w:val="single" w:sz="8" w:color="auto"/>
              <w:bottom w:val="single" w:sz="8" w:color="auto"/>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Borders>
              <w:left w:val="single" w:sz="8" w:color="auto"/>
              <w:bottom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-267970</wp:posOffset>
            </wp:positionV>
            <wp:extent cx="350520" cy="268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350520" cy="26860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name / Security description &amp; CUSIP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_________________________________________________________________________</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1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680" w:type="dxa"/>
            <w:vAlign w:val="bottom"/>
            <w:tcBorders>
              <w:top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Market order:</w:t>
            </w:r>
          </w:p>
        </w:tc>
        <w:tc>
          <w:tcPr>
            <w:tcW w:w="540" w:type="dxa"/>
            <w:vAlign w:val="bottom"/>
            <w:tcBorders>
              <w:top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Limit Order:</w:t>
            </w:r>
          </w:p>
        </w:tc>
        <w:tc>
          <w:tcPr>
            <w:tcW w:w="540" w:type="dxa"/>
            <w:vAlign w:val="bottom"/>
            <w:tcBorders>
              <w:top w:val="single" w:sz="8" w:color="auto"/>
              <w:right w:val="single" w:sz="8" w:color="auto"/>
            </w:tcBorders>
          </w:tcPr>
          <w:p>
            <w:pPr>
              <w:spacing w:after="0"/>
              <w:rPr>
                <w:sz w:val="19"/>
                <w:szCs w:val="19"/>
                <w:color w:val="auto"/>
              </w:rPr>
            </w:pPr>
          </w:p>
        </w:tc>
        <w:tc>
          <w:tcPr>
            <w:tcW w:w="3480" w:type="dxa"/>
            <w:vAlign w:val="bottom"/>
          </w:tcPr>
          <w:p>
            <w:pPr>
              <w:spacing w:after="0"/>
              <w:rPr>
                <w:sz w:val="19"/>
                <w:szCs w:val="19"/>
                <w:color w:val="auto"/>
              </w:rPr>
            </w:pPr>
          </w:p>
        </w:tc>
      </w:tr>
      <w:tr>
        <w:trPr>
          <w:trHeight w:val="178"/>
        </w:trPr>
        <w:tc>
          <w:tcPr>
            <w:tcW w:w="1140" w:type="dxa"/>
            <w:vAlign w:val="bottom"/>
            <w:tcBorders>
              <w:right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3480" w:type="dxa"/>
            <w:vAlign w:val="bottom"/>
          </w:tcPr>
          <w:p>
            <w:pPr>
              <w:spacing w:after="0"/>
              <w:rPr>
                <w:sz w:val="15"/>
                <w:szCs w:val="15"/>
                <w:color w:val="auto"/>
              </w:rPr>
            </w:pPr>
          </w:p>
        </w:tc>
      </w:tr>
      <w:tr>
        <w:trPr>
          <w:trHeight w:val="375"/>
        </w:trPr>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Reason for trade:</w:t>
            </w: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91"/>
        </w:trPr>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tcPr>
          <w:p>
            <w:pPr>
              <w:spacing w:after="0"/>
              <w:rPr>
                <w:sz w:val="16"/>
                <w:szCs w:val="16"/>
                <w:color w:val="auto"/>
              </w:rPr>
            </w:pPr>
          </w:p>
        </w:tc>
      </w:tr>
      <w:tr>
        <w:trPr>
          <w:trHeight w:val="1320"/>
        </w:trPr>
        <w:tc>
          <w:tcPr>
            <w:tcW w:w="114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Last trade in security (direction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7147560" cy="5054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14756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Broker: </w:t>
      </w:r>
      <w:r>
        <w:rPr>
          <w:rFonts w:ascii="Times New Roman" w:cs="Times New Roman" w:eastAsia="Times New Roman" w:hAnsi="Times New Roman"/>
          <w:sz w:val="16"/>
          <w:szCs w:val="16"/>
          <w:color w:val="auto"/>
        </w:rPr>
        <w:t>______________________________________________________</w:t>
      </w:r>
    </w:p>
    <w:p>
      <w:pPr>
        <w:sectPr>
          <w:pgSz w:w="11900" w:h="16838" w:orient="portrait"/>
          <w:cols w:equalWidth="0" w:num="1">
            <w:col w:w="11260"/>
          </w:cols>
          <w:pgMar w:left="320" w:top="615" w:right="31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Authorized by: </w:t>
      </w:r>
      <w:r>
        <w:rPr>
          <w:rFonts w:ascii="Times New Roman" w:cs="Times New Roman" w:eastAsia="Times New Roman" w:hAnsi="Times New Roman"/>
          <w:sz w:val="16"/>
          <w:szCs w:val="16"/>
          <w:color w:val="auto"/>
        </w:rPr>
        <w:t>_____________________________</w:t>
      </w:r>
    </w:p>
    <w:p>
      <w:pPr>
        <w:spacing w:after="0" w:line="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5"/>
          <w:szCs w:val="15"/>
          <w:color w:val="auto"/>
        </w:rPr>
        <w:t>(Chief Compliance Officer or Designee)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Date</w:t>
      </w:r>
      <w:r>
        <w:rPr>
          <w:rFonts w:ascii="Times New Roman" w:cs="Times New Roman" w:eastAsia="Times New Roman" w:hAnsi="Times New Roman"/>
          <w:sz w:val="15"/>
          <w:szCs w:val="15"/>
          <w:color w:val="auto"/>
        </w:rPr>
        <w:t>: ________________________</w:t>
      </w:r>
    </w:p>
    <w:p>
      <w:pPr>
        <w:spacing w:after="0" w:line="393" w:lineRule="exact"/>
        <w:rPr>
          <w:sz w:val="20"/>
          <w:szCs w:val="20"/>
          <w:color w:val="auto"/>
        </w:rPr>
      </w:pPr>
    </w:p>
    <w:p>
      <w:pPr>
        <w:sectPr>
          <w:pgSz w:w="11900" w:h="16838" w:orient="portrait"/>
          <w:cols w:equalWidth="0" w:num="2">
            <w:col w:w="3520" w:space="260"/>
            <w:col w:w="7480"/>
          </w:cols>
          <w:pgMar w:left="320" w:top="615" w:right="319" w:bottom="1440" w:gutter="0" w:footer="0" w:header="0"/>
          <w:type w:val="continuous"/>
        </w:sectPr>
      </w:pPr>
    </w:p>
    <w:p>
      <w:pPr>
        <w:jc w:val="both"/>
        <w:ind w:firstLine="564"/>
        <w:spacing w:after="0" w:line="258" w:lineRule="auto"/>
        <w:rPr>
          <w:sz w:val="20"/>
          <w:szCs w:val="20"/>
          <w:color w:val="auto"/>
        </w:rPr>
      </w:pPr>
      <w:r>
        <w:rPr>
          <w:rFonts w:ascii="Times New Roman" w:cs="Times New Roman" w:eastAsia="Times New Roman" w:hAnsi="Times New Roman"/>
          <w:sz w:val="16"/>
          <w:szCs w:val="16"/>
          <w:color w:val="auto"/>
        </w:rPr>
        <w:t>The Chief Compliance Officer or his designee has reviewed the proposed trade, contract, instruction or plan and confirms that SuRo Capital Corp. does not intend to buy or sell the above security for any client accounts within the next fifteen (15) days and/or has completed all client transactions in this security at this time. Exceptions to this statement should be noted on this form and any exception must be authorized by the Chief Compliance Officer.</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Upon completion of the transaction, you must notify SuRo Capital Compliance at </w:t>
      </w:r>
      <w:r>
        <w:rPr>
          <w:rFonts w:ascii="Times New Roman" w:cs="Times New Roman" w:eastAsia="Times New Roman" w:hAnsi="Times New Roman"/>
          <w:sz w:val="16"/>
          <w:szCs w:val="16"/>
          <w:b w:val="1"/>
          <w:bCs w:val="1"/>
          <w:u w:val="single" w:color="auto"/>
          <w:color w:val="auto"/>
        </w:rPr>
        <w:t>Compliance@surocap.com</w:t>
      </w:r>
      <w:r>
        <w:rPr>
          <w:rFonts w:ascii="Times New Roman" w:cs="Times New Roman" w:eastAsia="Times New Roman" w:hAnsi="Times New Roman"/>
          <w:sz w:val="16"/>
          <w:szCs w:val="16"/>
          <w:b w:val="1"/>
          <w:bCs w:val="1"/>
          <w:color w:val="auto"/>
        </w:rPr>
        <w:t xml:space="preserve"> of the final execution price and trade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253365</wp:posOffset>
            </wp:positionV>
            <wp:extent cx="7150100"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15" w:right="319" w:bottom="1440"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B</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INITIAL AND ANNUAL PERSONAL</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SECURITIES ACCOUNTS AND HOLDINGS REPORT</w:t>
      </w:r>
    </w:p>
    <w:p>
      <w:pPr>
        <w:spacing w:after="0" w:line="177" w:lineRule="exact"/>
        <w:rPr>
          <w:sz w:val="20"/>
          <w:szCs w:val="20"/>
          <w:color w:val="auto"/>
        </w:rPr>
      </w:pPr>
    </w:p>
    <w:p>
      <w:pPr>
        <w:ind w:right="20" w:firstLine="564"/>
        <w:spacing w:after="0" w:line="270" w:lineRule="auto"/>
        <w:rPr>
          <w:sz w:val="20"/>
          <w:szCs w:val="20"/>
          <w:color w:val="auto"/>
        </w:rPr>
      </w:pPr>
      <w:r>
        <w:rPr>
          <w:rFonts w:ascii="Times New Roman" w:cs="Times New Roman" w:eastAsia="Times New Roman" w:hAnsi="Times New Roman"/>
          <w:sz w:val="16"/>
          <w:szCs w:val="16"/>
          <w:color w:val="auto"/>
        </w:rPr>
        <w:t xml:space="preserve">I certify that the following bank or broker-dealer accounts are the only accounts holding securities </w:t>
      </w:r>
      <w:r>
        <w:rPr>
          <w:rFonts w:ascii="Times New Roman" w:cs="Times New Roman" w:eastAsia="Times New Roman" w:hAnsi="Times New Roman"/>
          <w:sz w:val="16"/>
          <w:szCs w:val="16"/>
          <w:u w:val="single" w:color="auto"/>
          <w:color w:val="auto"/>
        </w:rPr>
        <w:t>of any kind or nature whatsoever</w:t>
      </w:r>
      <w:r>
        <w:rPr>
          <w:rFonts w:ascii="Times New Roman" w:cs="Times New Roman" w:eastAsia="Times New Roman" w:hAnsi="Times New Roman"/>
          <w:sz w:val="16"/>
          <w:szCs w:val="16"/>
          <w:color w:val="auto"/>
        </w:rPr>
        <w:t xml:space="preserve"> in which I have or share a “Beneficial Ownership” interest as such term is defined in the SuRo Capital Corp. Code of Ethics.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Name of beneficial owner of</w:t>
            </w:r>
          </w:p>
        </w:tc>
      </w:tr>
      <w:tr>
        <w:trPr>
          <w:trHeight w:val="208"/>
        </w:trPr>
        <w:tc>
          <w:tcPr>
            <w:tcW w:w="4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Name of bank or broker custodian</w:t>
            </w:r>
          </w:p>
        </w:tc>
        <w:tc>
          <w:tcPr>
            <w:tcW w:w="220" w:type="dxa"/>
            <w:vAlign w:val="bottom"/>
          </w:tcPr>
          <w:p>
            <w:pPr>
              <w:spacing w:after="0"/>
              <w:rPr>
                <w:sz w:val="18"/>
                <w:szCs w:val="18"/>
                <w:color w:val="auto"/>
              </w:rPr>
            </w:pPr>
          </w:p>
        </w:tc>
        <w:tc>
          <w:tcPr>
            <w:tcW w:w="22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Account Number</w:t>
            </w:r>
          </w:p>
        </w:tc>
        <w:tc>
          <w:tcPr>
            <w:tcW w:w="220" w:type="dxa"/>
            <w:vAlign w:val="bottom"/>
          </w:tcPr>
          <w:p>
            <w:pPr>
              <w:spacing w:after="0"/>
              <w:rPr>
                <w:sz w:val="18"/>
                <w:szCs w:val="18"/>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record with the account 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further certify that the following is a listing of all “</w:t>
      </w:r>
      <w:r>
        <w:rPr>
          <w:rFonts w:ascii="Times New Roman" w:cs="Times New Roman" w:eastAsia="Times New Roman" w:hAnsi="Times New Roman"/>
          <w:sz w:val="16"/>
          <w:szCs w:val="16"/>
          <w:u w:val="single" w:color="auto"/>
          <w:color w:val="auto"/>
        </w:rPr>
        <w:t>Covered Securities”</w:t>
      </w:r>
      <w:r>
        <w:rPr>
          <w:rFonts w:ascii="Times New Roman" w:cs="Times New Roman" w:eastAsia="Times New Roman" w:hAnsi="Times New Roman"/>
          <w:sz w:val="16"/>
          <w:szCs w:val="16"/>
          <w:color w:val="auto"/>
        </w:rPr>
        <w:t xml:space="preserve"> in which I had or shared a “Beneficial Ownership” interest as of the following date:</w:t>
      </w:r>
    </w:p>
    <w:p>
      <w:pPr>
        <w:spacing w:after="0" w:line="192" w:lineRule="exact"/>
        <w:rPr>
          <w:sz w:val="20"/>
          <w:szCs w:val="20"/>
          <w:color w:val="auto"/>
        </w:rPr>
      </w:pPr>
    </w:p>
    <w:p>
      <w:pPr>
        <w:ind w:left="560" w:hanging="284"/>
        <w:spacing w:after="0"/>
        <w:tabs>
          <w:tab w:leader="none" w:pos="56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an </w:t>
      </w:r>
      <w:r>
        <w:rPr>
          <w:rFonts w:ascii="Times New Roman" w:cs="Times New Roman" w:eastAsia="Times New Roman" w:hAnsi="Times New Roman"/>
          <w:sz w:val="16"/>
          <w:szCs w:val="16"/>
          <w:u w:val="single" w:color="auto"/>
          <w:color w:val="auto"/>
        </w:rPr>
        <w:t>Initial</w:t>
      </w:r>
      <w:r>
        <w:rPr>
          <w:rFonts w:ascii="Times New Roman" w:cs="Times New Roman" w:eastAsia="Times New Roman" w:hAnsi="Times New Roman"/>
          <w:sz w:val="16"/>
          <w:szCs w:val="16"/>
          <w:color w:val="auto"/>
        </w:rPr>
        <w:t xml:space="preserve"> Personal Securities Holdings Report:______________________</w:t>
      </w:r>
    </w:p>
    <w:p>
      <w:pPr>
        <w:spacing w:after="0" w:line="192" w:lineRule="exact"/>
        <w:rPr>
          <w:rFonts w:ascii="Times New Roman" w:cs="Times New Roman" w:eastAsia="Times New Roman" w:hAnsi="Times New Roman"/>
          <w:sz w:val="16"/>
          <w:szCs w:val="16"/>
          <w:color w:val="auto"/>
        </w:rPr>
      </w:pPr>
    </w:p>
    <w:p>
      <w:pPr>
        <w:ind w:left="1120" w:hanging="280"/>
        <w:spacing w:after="0"/>
        <w:tabs>
          <w:tab w:leader="none" w:pos="112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indicated may not be more than 45 days prior to the date of submission, as indicated below, of this report)</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an </w:t>
      </w:r>
      <w:r>
        <w:rPr>
          <w:rFonts w:ascii="Times New Roman" w:cs="Times New Roman" w:eastAsia="Times New Roman" w:hAnsi="Times New Roman"/>
          <w:sz w:val="16"/>
          <w:szCs w:val="16"/>
          <w:u w:val="single" w:color="auto"/>
          <w:color w:val="auto"/>
        </w:rPr>
        <w:t>Annual</w:t>
      </w:r>
      <w:r>
        <w:rPr>
          <w:rFonts w:ascii="Times New Roman" w:cs="Times New Roman" w:eastAsia="Times New Roman" w:hAnsi="Times New Roman"/>
          <w:sz w:val="16"/>
          <w:szCs w:val="16"/>
          <w:color w:val="auto"/>
        </w:rPr>
        <w:t xml:space="preserve"> Personal Securities Holdings Report:  December 31, 20_____</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For holdings report purposes, the term “</w:t>
      </w:r>
      <w:r>
        <w:rPr>
          <w:rFonts w:ascii="Times New Roman" w:cs="Times New Roman" w:eastAsia="Times New Roman" w:hAnsi="Times New Roman"/>
          <w:sz w:val="16"/>
          <w:szCs w:val="16"/>
          <w:u w:val="single" w:color="auto"/>
          <w:color w:val="auto"/>
        </w:rPr>
        <w:t>Covered Securities</w:t>
      </w:r>
      <w:r>
        <w:rPr>
          <w:rFonts w:ascii="Times New Roman" w:cs="Times New Roman" w:eastAsia="Times New Roman" w:hAnsi="Times New Roman"/>
          <w:sz w:val="16"/>
          <w:szCs w:val="16"/>
          <w:color w:val="auto"/>
        </w:rPr>
        <w:t>” should be understood as including securities of all sorts, but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following: (i) shares of open-end mutual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funds; (ii) U.S. government or agency issued securities; and (iii) short-term debt instruments, bank CDs, bankers acceptances or repurchase agreements. Shares of exchange-traded funds (“</w:t>
      </w:r>
      <w:r>
        <w:rPr>
          <w:rFonts w:ascii="Times New Roman" w:cs="Times New Roman" w:eastAsia="Times New Roman" w:hAnsi="Times New Roman"/>
          <w:sz w:val="16"/>
          <w:szCs w:val="16"/>
          <w:b w:val="1"/>
          <w:bCs w:val="1"/>
          <w:i w:val="1"/>
          <w:iCs w:val="1"/>
          <w:color w:val="auto"/>
        </w:rPr>
        <w:t>ETFs</w:t>
      </w:r>
      <w:r>
        <w:rPr>
          <w:rFonts w:ascii="Times New Roman" w:cs="Times New Roman" w:eastAsia="Times New Roman" w:hAnsi="Times New Roman"/>
          <w:sz w:val="16"/>
          <w:szCs w:val="16"/>
          <w:color w:val="auto"/>
        </w:rPr>
        <w:t>”) are Covered Securities.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15" w:right="319" w:bottom="1440" w:gutter="0" w:footer="0" w:header="0"/>
        </w:sectPr>
      </w:pPr>
    </w:p>
    <w:bookmarkStart w:id="137" w:name="page138"/>
    <w:bookmarkEnd w:id="137"/>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In lieu of indicating the following required information within this form, you may submit—under cover of a signed and dated copy of this form-legible copies of statements of accounts issued by the account custodian(s) wherein Covered Securities are held as of the date indicated above. Such statements should be either emailed or sent, by U.S. mail or courier service, to:</w:t>
      </w:r>
    </w:p>
    <w:p>
      <w:pPr>
        <w:spacing w:after="0" w:line="144"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Compliance@surocap.com</w:t>
            </w:r>
          </w:p>
        </w:tc>
        <w:tc>
          <w:tcPr>
            <w:tcW w:w="2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Suro Capital Corp.</w:t>
            </w:r>
          </w:p>
        </w:tc>
      </w:tr>
      <w:tr>
        <w:trPr>
          <w:trHeight w:val="187"/>
        </w:trPr>
        <w:tc>
          <w:tcPr>
            <w:tcW w:w="17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Attn:Compliance Dept.</w:t>
            </w:r>
          </w:p>
        </w:tc>
      </w:tr>
      <w:tr>
        <w:trPr>
          <w:trHeight w:val="188"/>
        </w:trPr>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One Sansome Street, Suite 730</w:t>
            </w:r>
          </w:p>
        </w:tc>
      </w:tr>
      <w:tr>
        <w:trPr>
          <w:trHeight w:val="204"/>
        </w:trPr>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6"/>
              </w:rPr>
              <w:t>San Francisco, California 94104</w:t>
            </w:r>
          </w:p>
        </w:tc>
      </w:tr>
    </w:tbl>
    <w:p>
      <w:pPr>
        <w:spacing w:after="0" w:line="173" w:lineRule="exact"/>
        <w:rPr>
          <w:sz w:val="20"/>
          <w:szCs w:val="20"/>
          <w:color w:val="auto"/>
        </w:rPr>
      </w:pPr>
    </w:p>
    <w:p>
      <w:pPr>
        <w:sectPr>
          <w:pgSz w:w="11900" w:h="16838" w:orient="portrait"/>
          <w:cols w:equalWidth="0" w:num="1">
            <w:col w:w="11260"/>
          </w:cols>
          <w:pgMar w:left="320" w:top="616" w:right="31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Account Custodian</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Security</w:t>
            </w: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w w:val="96"/>
              </w:rPr>
              <w:t>Exchange Ticker Symbol or CUSIP</w:t>
            </w:r>
          </w:p>
        </w:tc>
      </w:tr>
      <w:tr>
        <w:trPr>
          <w:trHeight w:val="204"/>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and Number</w:t>
            </w:r>
          </w:p>
        </w:tc>
        <w:tc>
          <w:tcPr>
            <w:tcW w:w="13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Issuer</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Type</w:t>
            </w:r>
          </w:p>
        </w:tc>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Number</w:t>
            </w:r>
          </w:p>
        </w:tc>
      </w:tr>
      <w:tr>
        <w:trPr>
          <w:trHeight w:val="24"/>
        </w:trPr>
        <w:tc>
          <w:tcPr>
            <w:tcW w:w="1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Aggregate principal amount of</w:t>
            </w:r>
          </w:p>
        </w:tc>
      </w:tr>
      <w:tr>
        <w:trPr>
          <w:trHeight w:val="188"/>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number of equity security</w:t>
            </w: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debt</w:t>
            </w:r>
          </w:p>
        </w:tc>
      </w:tr>
      <w:tr>
        <w:trPr>
          <w:trHeight w:val="208"/>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shares</w:t>
            </w:r>
          </w:p>
        </w:tc>
        <w:tc>
          <w:tcPr>
            <w:tcW w:w="220" w:type="dxa"/>
            <w:vAlign w:val="bottom"/>
          </w:tcPr>
          <w:p>
            <w:pPr>
              <w:spacing w:after="0"/>
              <w:rPr>
                <w:sz w:val="18"/>
                <w:szCs w:val="18"/>
                <w:color w:val="auto"/>
              </w:rPr>
            </w:pP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securities</w:t>
            </w:r>
          </w:p>
        </w:tc>
      </w:tr>
    </w:tbl>
    <w:p>
      <w:pPr>
        <w:spacing w:after="0" w:line="200" w:lineRule="exact"/>
        <w:rPr>
          <w:sz w:val="20"/>
          <w:szCs w:val="20"/>
          <w:color w:val="auto"/>
        </w:rPr>
      </w:pPr>
    </w:p>
    <w:p>
      <w:pPr>
        <w:sectPr>
          <w:pgSz w:w="11900" w:h="16838" w:orient="portrait"/>
          <w:cols w:equalWidth="0" w:num="2">
            <w:col w:w="6420" w:space="220"/>
            <w:col w:w="4620"/>
          </w:cols>
          <w:pgMar w:left="320" w:top="61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(Use a continuation sheet if necessary.)</w:t>
      </w:r>
    </w:p>
    <w:p>
      <w:pPr>
        <w:spacing w:after="0" w:line="192"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16"/>
          <w:szCs w:val="16"/>
          <w:color w:val="auto"/>
        </w:rPr>
        <w:t>Signature:____________________________</w:t>
      </w:r>
      <w:r>
        <w:rPr>
          <w:sz w:val="20"/>
          <w:szCs w:val="20"/>
          <w:color w:val="auto"/>
        </w:rPr>
        <w:tab/>
      </w:r>
      <w:r>
        <w:rPr>
          <w:rFonts w:ascii="Times New Roman" w:cs="Times New Roman" w:eastAsia="Times New Roman" w:hAnsi="Times New Roman"/>
          <w:sz w:val="15"/>
          <w:szCs w:val="15"/>
          <w:color w:val="auto"/>
        </w:rPr>
        <w:t>Print Name:_____________________________</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Submitted: ___________________________</w:t>
      </w:r>
    </w:p>
    <w:p>
      <w:pPr>
        <w:spacing w:after="0" w:line="192" w:lineRule="exact"/>
        <w:rPr>
          <w:sz w:val="20"/>
          <w:szCs w:val="20"/>
          <w:color w:val="auto"/>
        </w:rPr>
      </w:pPr>
    </w:p>
    <w:p>
      <w:pPr>
        <w:ind w:left="560" w:hanging="284"/>
        <w:spacing w:after="0"/>
        <w:tabs>
          <w:tab w:leader="none" w:pos="56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w:t>
      </w:r>
      <w:r>
        <w:rPr>
          <w:rFonts w:ascii="Times New Roman" w:cs="Times New Roman" w:eastAsia="Times New Roman" w:hAnsi="Times New Roman"/>
          <w:sz w:val="15"/>
          <w:szCs w:val="15"/>
          <w:u w:val="single" w:color="auto"/>
          <w:color w:val="auto"/>
        </w:rPr>
        <w:t>Initial</w:t>
      </w:r>
      <w:r>
        <w:rPr>
          <w:rFonts w:ascii="Times New Roman" w:cs="Times New Roman" w:eastAsia="Times New Roman" w:hAnsi="Times New Roman"/>
          <w:sz w:val="15"/>
          <w:szCs w:val="15"/>
          <w:color w:val="auto"/>
        </w:rPr>
        <w:t xml:space="preserve"> Holdings Reports – Must be within 10 days of initial date of association with SuRo Capital Corp.</w:t>
      </w:r>
    </w:p>
    <w:p>
      <w:pPr>
        <w:spacing w:after="0" w:line="203" w:lineRule="exact"/>
        <w:rPr>
          <w:rFonts w:ascii="Times New Roman" w:cs="Times New Roman" w:eastAsia="Times New Roman" w:hAnsi="Times New Roman"/>
          <w:sz w:val="15"/>
          <w:szCs w:val="15"/>
          <w:color w:val="auto"/>
        </w:rPr>
      </w:pPr>
    </w:p>
    <w:p>
      <w:pPr>
        <w:ind w:left="560" w:hanging="284"/>
        <w:spacing w:after="0"/>
        <w:tabs>
          <w:tab w:leader="none" w:pos="56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w:t>
      </w:r>
      <w:r>
        <w:rPr>
          <w:rFonts w:ascii="Times New Roman" w:cs="Times New Roman" w:eastAsia="Times New Roman" w:hAnsi="Times New Roman"/>
          <w:sz w:val="16"/>
          <w:szCs w:val="16"/>
          <w:u w:val="single" w:color="auto"/>
          <w:color w:val="auto"/>
        </w:rPr>
        <w:t>Annual</w:t>
      </w:r>
      <w:r>
        <w:rPr>
          <w:rFonts w:ascii="Times New Roman" w:cs="Times New Roman" w:eastAsia="Times New Roman" w:hAnsi="Times New Roman"/>
          <w:sz w:val="16"/>
          <w:szCs w:val="16"/>
          <w:color w:val="auto"/>
        </w:rPr>
        <w:t xml:space="preserve"> Holdings Reports – Must be on or before January 30 of the current year.</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16" w:right="319" w:bottom="1440"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C</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QUARTERLY SECURITIES TRANSACTION REPORT</w:t>
      </w:r>
    </w:p>
    <w:p>
      <w:pPr>
        <w:spacing w:after="0" w:line="194" w:lineRule="exact"/>
        <w:rPr>
          <w:sz w:val="20"/>
          <w:szCs w:val="20"/>
          <w:color w:val="auto"/>
        </w:rPr>
      </w:pPr>
    </w:p>
    <w:p>
      <w:pPr>
        <w:jc w:val="both"/>
        <w:ind w:firstLine="564"/>
        <w:spacing w:after="0" w:line="258" w:lineRule="auto"/>
        <w:rPr>
          <w:sz w:val="20"/>
          <w:szCs w:val="20"/>
          <w:color w:val="auto"/>
        </w:rPr>
      </w:pPr>
      <w:r>
        <w:rPr>
          <w:rFonts w:ascii="Times New Roman" w:cs="Times New Roman" w:eastAsia="Times New Roman" w:hAnsi="Times New Roman"/>
          <w:sz w:val="16"/>
          <w:szCs w:val="16"/>
          <w:color w:val="auto"/>
        </w:rPr>
        <w:t>The following lists all transactions in Covered Securities, in which I had any direct or indirect Beneficial Ownership interest, that were effected during the last calendar quarter and required to be reported by Section V(B) of the SuRo Capital Corp. Code of Ethics. (If no such transactions took place write “NONE.”) Please sign and date this report and return it to the Chief Compliance Officer no later than the 30th day following the end of the quarter. Use reverse side if additional space is needed.</w:t>
      </w:r>
    </w:p>
    <w:p>
      <w:pPr>
        <w:spacing w:after="0" w:line="144"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PURCHASES AND ACQUISITIONS</w:t>
            </w: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6"/>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gridSpan w:val="6"/>
          </w:tcPr>
          <w:p>
            <w:pPr>
              <w:jc w:val="center"/>
              <w:ind w:right="1180"/>
              <w:spacing w:after="0"/>
              <w:rPr>
                <w:sz w:val="20"/>
                <w:szCs w:val="20"/>
                <w:color w:val="auto"/>
              </w:rPr>
            </w:pPr>
            <w:r>
              <w:rPr>
                <w:rFonts w:ascii="Times New Roman" w:cs="Times New Roman" w:eastAsia="Times New Roman" w:hAnsi="Times New Roman"/>
                <w:sz w:val="16"/>
                <w:szCs w:val="16"/>
                <w:color w:val="auto"/>
                <w:w w:val="97"/>
              </w:rPr>
              <w:t>No. of Shares or</w:t>
            </w:r>
          </w:p>
        </w:tc>
        <w:tc>
          <w:tcPr>
            <w:tcW w:w="20" w:type="dxa"/>
            <w:vAlign w:val="bottom"/>
          </w:tcPr>
          <w:p>
            <w:pPr>
              <w:spacing w:after="0"/>
              <w:rPr>
                <w:sz w:val="24"/>
                <w:szCs w:val="24"/>
                <w:color w:val="auto"/>
              </w:rPr>
            </w:pPr>
          </w:p>
        </w:tc>
        <w:tc>
          <w:tcPr>
            <w:tcW w:w="1420" w:type="dxa"/>
            <w:vAlign w:val="bottom"/>
            <w:gridSpan w:val="5"/>
          </w:tcPr>
          <w:p>
            <w:pPr>
              <w:jc w:val="center"/>
              <w:ind w:right="620"/>
              <w:spacing w:after="0"/>
              <w:rPr>
                <w:sz w:val="20"/>
                <w:szCs w:val="20"/>
                <w:color w:val="auto"/>
              </w:rPr>
            </w:pPr>
            <w:r>
              <w:rPr>
                <w:rFonts w:ascii="Times New Roman" w:cs="Times New Roman" w:eastAsia="Times New Roman" w:hAnsi="Times New Roman"/>
                <w:sz w:val="16"/>
                <w:szCs w:val="16"/>
                <w:color w:val="auto"/>
                <w:w w:val="98"/>
              </w:rPr>
              <w:t>Interest Rate</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4"/>
              </w:rPr>
              <w:t>Broker,</w:t>
            </w: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168"/>
        </w:trPr>
        <w:tc>
          <w:tcPr>
            <w:tcW w:w="360" w:type="dxa"/>
            <w:vAlign w:val="bottom"/>
            <w:gridSpan w:val="3"/>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Trade</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Principal</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gridSpan w:val="5"/>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and Maturity</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auto"/>
              </w:rPr>
              <w:t>Name 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5"/>
          </w:tcPr>
          <w:p>
            <w:pPr>
              <w:jc w:val="center"/>
              <w:ind w:left="262"/>
              <w:spacing w:after="0" w:line="168" w:lineRule="exact"/>
              <w:rPr>
                <w:sz w:val="20"/>
                <w:szCs w:val="20"/>
                <w:color w:val="auto"/>
              </w:rPr>
            </w:pPr>
            <w:r>
              <w:rPr>
                <w:rFonts w:ascii="Times New Roman" w:cs="Times New Roman" w:eastAsia="Times New Roman" w:hAnsi="Times New Roman"/>
                <w:sz w:val="16"/>
                <w:szCs w:val="16"/>
                <w:color w:val="auto"/>
                <w:w w:val="96"/>
              </w:rPr>
              <w:t>Dealer, or</w:t>
            </w:r>
          </w:p>
        </w:tc>
      </w:tr>
      <w:tr>
        <w:trPr>
          <w:trHeight w:val="168"/>
        </w:trPr>
        <w:tc>
          <w:tcPr>
            <w:tcW w:w="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gridSpan w:val="2"/>
          </w:tcPr>
          <w:p>
            <w:pPr>
              <w:jc w:val="center"/>
              <w:ind w:right="40"/>
              <w:spacing w:after="0" w:line="168" w:lineRule="exact"/>
              <w:rPr>
                <w:sz w:val="20"/>
                <w:szCs w:val="20"/>
                <w:color w:val="auto"/>
              </w:rPr>
            </w:pPr>
            <w:r>
              <w:rPr>
                <w:rFonts w:ascii="Times New Roman" w:cs="Times New Roman" w:eastAsia="Times New Roman" w:hAnsi="Times New Roman"/>
                <w:sz w:val="16"/>
                <w:szCs w:val="16"/>
                <w:color w:val="auto"/>
                <w:w w:val="92"/>
              </w:rPr>
              <w:t>Date</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jc w:val="center"/>
              <w:ind w:right="20"/>
              <w:spacing w:after="0" w:line="168" w:lineRule="exact"/>
              <w:rPr>
                <w:sz w:val="20"/>
                <w:szCs w:val="20"/>
                <w:color w:val="auto"/>
              </w:rPr>
            </w:pPr>
            <w:r>
              <w:rPr>
                <w:rFonts w:ascii="Times New Roman" w:cs="Times New Roman" w:eastAsia="Times New Roman" w:hAnsi="Times New Roman"/>
                <w:sz w:val="16"/>
                <w:szCs w:val="16"/>
                <w:color w:val="auto"/>
                <w:w w:val="99"/>
              </w:rPr>
              <w:t>Amount</w:t>
            </w:r>
          </w:p>
        </w:tc>
        <w:tc>
          <w:tcPr>
            <w:tcW w:w="140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3"/>
          </w:tcPr>
          <w:p>
            <w:pPr>
              <w:jc w:val="center"/>
              <w:ind w:right="260"/>
              <w:spacing w:after="0" w:line="168" w:lineRule="exact"/>
              <w:rPr>
                <w:sz w:val="20"/>
                <w:szCs w:val="20"/>
                <w:color w:val="auto"/>
              </w:rPr>
            </w:pPr>
            <w:r>
              <w:rPr>
                <w:rFonts w:ascii="Times New Roman" w:cs="Times New Roman" w:eastAsia="Times New Roman" w:hAnsi="Times New Roman"/>
                <w:sz w:val="16"/>
                <w:szCs w:val="16"/>
                <w:color w:val="auto"/>
                <w:w w:val="99"/>
              </w:rPr>
              <w:t>Date</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Borders>
              <w:top w:val="single" w:sz="8" w:color="auto"/>
            </w:tcBorders>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w w:val="93"/>
              </w:rPr>
              <w:t>Security</w:t>
            </w:r>
          </w:p>
        </w:tc>
        <w:tc>
          <w:tcPr>
            <w:tcW w:w="1040" w:type="dxa"/>
            <w:vAlign w:val="bottom"/>
            <w:gridSpan w:val="2"/>
          </w:tcPr>
          <w:p>
            <w:pPr>
              <w:spacing w:after="0"/>
              <w:rPr>
                <w:sz w:val="14"/>
                <w:szCs w:val="14"/>
                <w:color w:val="auto"/>
              </w:rPr>
            </w:pPr>
          </w:p>
        </w:tc>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Unit Price</w:t>
            </w:r>
          </w:p>
        </w:tc>
        <w:tc>
          <w:tcPr>
            <w:tcW w:w="1360" w:type="dxa"/>
            <w:vAlign w:val="bottom"/>
            <w:gridSpan w:val="3"/>
          </w:tcPr>
          <w:p>
            <w:pPr>
              <w:ind w:left="340"/>
              <w:spacing w:after="0" w:line="168" w:lineRule="exact"/>
              <w:rPr>
                <w:sz w:val="20"/>
                <w:szCs w:val="20"/>
                <w:color w:val="auto"/>
              </w:rPr>
            </w:pPr>
            <w:r>
              <w:rPr>
                <w:rFonts w:ascii="Times New Roman" w:cs="Times New Roman" w:eastAsia="Times New Roman" w:hAnsi="Times New Roman"/>
                <w:sz w:val="16"/>
                <w:szCs w:val="16"/>
                <w:color w:val="auto"/>
              </w:rPr>
              <w:t>Total Price</w:t>
            </w: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2"/>
          </w:tcPr>
          <w:p>
            <w:pPr>
              <w:jc w:val="center"/>
              <w:ind w:right="140"/>
              <w:spacing w:after="0" w:line="168" w:lineRule="exact"/>
              <w:rPr>
                <w:sz w:val="20"/>
                <w:szCs w:val="20"/>
                <w:color w:val="auto"/>
              </w:rPr>
            </w:pPr>
            <w:r>
              <w:rPr>
                <w:rFonts w:ascii="Times New Roman" w:cs="Times New Roman" w:eastAsia="Times New Roman" w:hAnsi="Times New Roman"/>
                <w:sz w:val="16"/>
                <w:szCs w:val="16"/>
                <w:color w:val="auto"/>
                <w:w w:val="94"/>
              </w:rPr>
              <w:t>Bank</w:t>
            </w: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w w:val="96"/>
              </w:rPr>
              <w:t>SALES AND OTHER DISPOSITIONS</w:t>
            </w: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56"/>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gridSpan w:val="6"/>
          </w:tcPr>
          <w:p>
            <w:pPr>
              <w:jc w:val="center"/>
              <w:ind w:right="1180"/>
              <w:spacing w:after="0"/>
              <w:rPr>
                <w:sz w:val="20"/>
                <w:szCs w:val="20"/>
                <w:color w:val="auto"/>
              </w:rPr>
            </w:pPr>
            <w:r>
              <w:rPr>
                <w:rFonts w:ascii="Times New Roman" w:cs="Times New Roman" w:eastAsia="Times New Roman" w:hAnsi="Times New Roman"/>
                <w:sz w:val="16"/>
                <w:szCs w:val="16"/>
                <w:color w:val="auto"/>
                <w:w w:val="97"/>
              </w:rPr>
              <w:t>No. of Shares or</w:t>
            </w:r>
          </w:p>
        </w:tc>
        <w:tc>
          <w:tcPr>
            <w:tcW w:w="20" w:type="dxa"/>
            <w:vAlign w:val="bottom"/>
          </w:tcPr>
          <w:p>
            <w:pPr>
              <w:spacing w:after="0"/>
              <w:rPr>
                <w:sz w:val="24"/>
                <w:szCs w:val="24"/>
                <w:color w:val="auto"/>
              </w:rPr>
            </w:pPr>
          </w:p>
        </w:tc>
        <w:tc>
          <w:tcPr>
            <w:tcW w:w="1420" w:type="dxa"/>
            <w:vAlign w:val="bottom"/>
            <w:gridSpan w:val="4"/>
          </w:tcPr>
          <w:p>
            <w:pPr>
              <w:jc w:val="center"/>
              <w:ind w:right="620"/>
              <w:spacing w:after="0"/>
              <w:rPr>
                <w:sz w:val="20"/>
                <w:szCs w:val="20"/>
                <w:color w:val="auto"/>
              </w:rPr>
            </w:pPr>
            <w:r>
              <w:rPr>
                <w:rFonts w:ascii="Times New Roman" w:cs="Times New Roman" w:eastAsia="Times New Roman" w:hAnsi="Times New Roman"/>
                <w:sz w:val="16"/>
                <w:szCs w:val="16"/>
                <w:color w:val="auto"/>
                <w:w w:val="98"/>
              </w:rPr>
              <w:t>Interest Rate</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4"/>
              </w:rPr>
              <w:t>Broker,</w:t>
            </w: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168"/>
        </w:trPr>
        <w:tc>
          <w:tcPr>
            <w:tcW w:w="360" w:type="dxa"/>
            <w:vAlign w:val="bottom"/>
            <w:gridSpan w:val="3"/>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Trade</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Principal</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gridSpan w:val="4"/>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and Maturity</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auto"/>
              </w:rPr>
              <w:t>Name 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5"/>
          </w:tcPr>
          <w:p>
            <w:pPr>
              <w:jc w:val="center"/>
              <w:ind w:left="262"/>
              <w:spacing w:after="0" w:line="168" w:lineRule="exact"/>
              <w:rPr>
                <w:sz w:val="20"/>
                <w:szCs w:val="20"/>
                <w:color w:val="auto"/>
              </w:rPr>
            </w:pPr>
            <w:r>
              <w:rPr>
                <w:rFonts w:ascii="Times New Roman" w:cs="Times New Roman" w:eastAsia="Times New Roman" w:hAnsi="Times New Roman"/>
                <w:sz w:val="16"/>
                <w:szCs w:val="16"/>
                <w:color w:val="auto"/>
                <w:w w:val="96"/>
              </w:rPr>
              <w:t>Dealer, or</w:t>
            </w:r>
          </w:p>
        </w:tc>
      </w:tr>
      <w:tr>
        <w:trPr>
          <w:trHeight w:val="168"/>
        </w:trPr>
        <w:tc>
          <w:tcPr>
            <w:tcW w:w="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gridSpan w:val="2"/>
          </w:tcPr>
          <w:p>
            <w:pPr>
              <w:jc w:val="center"/>
              <w:ind w:right="40"/>
              <w:spacing w:after="0" w:line="168" w:lineRule="exact"/>
              <w:rPr>
                <w:sz w:val="20"/>
                <w:szCs w:val="20"/>
                <w:color w:val="auto"/>
              </w:rPr>
            </w:pPr>
            <w:r>
              <w:rPr>
                <w:rFonts w:ascii="Times New Roman" w:cs="Times New Roman" w:eastAsia="Times New Roman" w:hAnsi="Times New Roman"/>
                <w:sz w:val="16"/>
                <w:szCs w:val="16"/>
                <w:color w:val="auto"/>
                <w:w w:val="92"/>
              </w:rPr>
              <w:t>Date</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2"/>
          </w:tcPr>
          <w:p>
            <w:pPr>
              <w:jc w:val="center"/>
              <w:ind w:right="20"/>
              <w:spacing w:after="0" w:line="168" w:lineRule="exact"/>
              <w:rPr>
                <w:sz w:val="20"/>
                <w:szCs w:val="20"/>
                <w:color w:val="auto"/>
              </w:rPr>
            </w:pPr>
            <w:r>
              <w:rPr>
                <w:rFonts w:ascii="Times New Roman" w:cs="Times New Roman" w:eastAsia="Times New Roman" w:hAnsi="Times New Roman"/>
                <w:sz w:val="16"/>
                <w:szCs w:val="16"/>
                <w:color w:val="auto"/>
                <w:w w:val="99"/>
              </w:rPr>
              <w:t>Amount</w:t>
            </w:r>
          </w:p>
        </w:tc>
        <w:tc>
          <w:tcPr>
            <w:tcW w:w="1400" w:type="dxa"/>
            <w:vAlign w:val="bottom"/>
            <w:gridSpan w:val="2"/>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center"/>
              <w:ind w:right="260"/>
              <w:spacing w:after="0" w:line="168" w:lineRule="exact"/>
              <w:rPr>
                <w:sz w:val="20"/>
                <w:szCs w:val="20"/>
                <w:color w:val="auto"/>
              </w:rPr>
            </w:pPr>
            <w:r>
              <w:rPr>
                <w:rFonts w:ascii="Times New Roman" w:cs="Times New Roman" w:eastAsia="Times New Roman" w:hAnsi="Times New Roman"/>
                <w:sz w:val="16"/>
                <w:szCs w:val="16"/>
                <w:color w:val="auto"/>
                <w:w w:val="79"/>
              </w:rPr>
              <w:t>Date</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Borders>
              <w:top w:val="single" w:sz="8" w:color="auto"/>
            </w:tcBorders>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w w:val="93"/>
              </w:rPr>
              <w:t>Security</w:t>
            </w:r>
          </w:p>
        </w:tc>
        <w:tc>
          <w:tcPr>
            <w:tcW w:w="1040" w:type="dxa"/>
            <w:vAlign w:val="bottom"/>
            <w:gridSpan w:val="2"/>
          </w:tcPr>
          <w:p>
            <w:pPr>
              <w:spacing w:after="0"/>
              <w:rPr>
                <w:sz w:val="14"/>
                <w:szCs w:val="14"/>
                <w:color w:val="auto"/>
              </w:rPr>
            </w:pPr>
          </w:p>
        </w:tc>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Unit Price</w:t>
            </w:r>
          </w:p>
        </w:tc>
        <w:tc>
          <w:tcPr>
            <w:tcW w:w="1360" w:type="dxa"/>
            <w:vAlign w:val="bottom"/>
            <w:gridSpan w:val="3"/>
          </w:tcPr>
          <w:p>
            <w:pPr>
              <w:ind w:left="340"/>
              <w:spacing w:after="0" w:line="168" w:lineRule="exact"/>
              <w:rPr>
                <w:sz w:val="20"/>
                <w:szCs w:val="20"/>
                <w:color w:val="auto"/>
              </w:rPr>
            </w:pPr>
            <w:r>
              <w:rPr>
                <w:rFonts w:ascii="Times New Roman" w:cs="Times New Roman" w:eastAsia="Times New Roman" w:hAnsi="Times New Roman"/>
                <w:sz w:val="16"/>
                <w:szCs w:val="16"/>
                <w:color w:val="auto"/>
              </w:rPr>
              <w:t>Total Price</w:t>
            </w: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2"/>
          </w:tcPr>
          <w:p>
            <w:pPr>
              <w:jc w:val="center"/>
              <w:ind w:right="140"/>
              <w:spacing w:after="0" w:line="168" w:lineRule="exact"/>
              <w:rPr>
                <w:sz w:val="20"/>
                <w:szCs w:val="20"/>
                <w:color w:val="auto"/>
              </w:rPr>
            </w:pPr>
            <w:r>
              <w:rPr>
                <w:rFonts w:ascii="Times New Roman" w:cs="Times New Roman" w:eastAsia="Times New Roman" w:hAnsi="Times New Roman"/>
                <w:sz w:val="16"/>
                <w:szCs w:val="16"/>
                <w:color w:val="auto"/>
                <w:w w:val="94"/>
              </w:rPr>
              <w:t>Bank</w:t>
            </w: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700" w:type="dxa"/>
            <w:vAlign w:val="bottom"/>
            <w:gridSpan w:val="6"/>
          </w:tcPr>
          <w:p>
            <w:pPr>
              <w:jc w:val="center"/>
              <w:ind w:left="542"/>
              <w:spacing w:after="0"/>
              <w:rPr>
                <w:sz w:val="20"/>
                <w:szCs w:val="20"/>
                <w:color w:val="auto"/>
              </w:rPr>
            </w:pPr>
            <w:r>
              <w:rPr>
                <w:rFonts w:ascii="Times New Roman" w:cs="Times New Roman" w:eastAsia="Times New Roman" w:hAnsi="Times New Roman"/>
                <w:sz w:val="16"/>
                <w:szCs w:val="16"/>
                <w:color w:val="auto"/>
                <w:w w:val="97"/>
              </w:rPr>
              <w:t>NEW ACCOUNTS ESTABLISHED DURING THE QUARTER</w:t>
            </w:r>
          </w:p>
        </w:tc>
        <w:tc>
          <w:tcPr>
            <w:tcW w:w="1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56"/>
        </w:trPr>
        <w:tc>
          <w:tcPr>
            <w:tcW w:w="13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Name of Broker,</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720" w:type="dxa"/>
            <w:vAlign w:val="bottom"/>
            <w:tcBorders>
              <w:top w:val="single" w:sz="8" w:color="auto"/>
            </w:tcBorders>
            <w:gridSpan w:val="4"/>
          </w:tcPr>
          <w:p>
            <w:pPr>
              <w:jc w:val="center"/>
              <w:ind w:right="1380"/>
              <w:spacing w:after="0"/>
              <w:rPr>
                <w:sz w:val="20"/>
                <w:szCs w:val="20"/>
                <w:color w:val="auto"/>
              </w:rPr>
            </w:pPr>
            <w:r>
              <w:rPr>
                <w:rFonts w:ascii="Times New Roman" w:cs="Times New Roman" w:eastAsia="Times New Roman" w:hAnsi="Times New Roman"/>
                <w:sz w:val="16"/>
                <w:szCs w:val="16"/>
                <w:color w:val="auto"/>
                <w:w w:val="96"/>
              </w:rPr>
              <w:t>Name of Account</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32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8"/>
        </w:trPr>
        <w:tc>
          <w:tcPr>
            <w:tcW w:w="1320" w:type="dxa"/>
            <w:vAlign w:val="bottom"/>
          </w:tcPr>
          <w:p>
            <w:pPr>
              <w:spacing w:after="0"/>
              <w:rPr>
                <w:sz w:val="14"/>
                <w:szCs w:val="14"/>
                <w:color w:val="auto"/>
              </w:rPr>
            </w:pPr>
          </w:p>
        </w:tc>
        <w:tc>
          <w:tcPr>
            <w:tcW w:w="10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Dealer or Bank</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80" w:type="dxa"/>
            <w:vAlign w:val="bottom"/>
            <w:gridSpan w:val="5"/>
          </w:tcPr>
          <w:p>
            <w:pPr>
              <w:jc w:val="center"/>
              <w:ind w:right="20"/>
              <w:spacing w:after="0" w:line="168" w:lineRule="exact"/>
              <w:rPr>
                <w:sz w:val="20"/>
                <w:szCs w:val="20"/>
                <w:color w:val="auto"/>
              </w:rPr>
            </w:pPr>
            <w:r>
              <w:rPr>
                <w:rFonts w:ascii="Times New Roman" w:cs="Times New Roman" w:eastAsia="Times New Roman" w:hAnsi="Times New Roman"/>
                <w:sz w:val="16"/>
                <w:szCs w:val="16"/>
                <w:color w:val="auto"/>
                <w:w w:val="97"/>
              </w:rPr>
              <w:t>and Account Number</w:t>
            </w:r>
          </w:p>
        </w:tc>
        <w:tc>
          <w:tcPr>
            <w:tcW w:w="1260" w:type="dxa"/>
            <w:vAlign w:val="bottom"/>
          </w:tcPr>
          <w:p>
            <w:pPr>
              <w:spacing w:after="0"/>
              <w:rPr>
                <w:sz w:val="14"/>
                <w:szCs w:val="14"/>
                <w:color w:val="auto"/>
              </w:rPr>
            </w:pPr>
          </w:p>
        </w:tc>
        <w:tc>
          <w:tcPr>
            <w:tcW w:w="23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Date Established</w:t>
            </w:r>
          </w:p>
        </w:tc>
      </w:tr>
      <w:tr>
        <w:trPr>
          <w:trHeight w:val="959"/>
        </w:trPr>
        <w:tc>
          <w:tcPr>
            <w:tcW w:w="132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15" w:right="31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SCHEDULE 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ACKNOWLEDGEMENT, AFFIRMATION AND CERTIFICATION</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OF COMPLIANCE WITH SURO CAPITAL COMPLIANCE PROGRAM DOCUMENTS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undersigned, as a Covered Person of SuRo Capital Corp, hereby acknowledges, affirms and/or certifies as follows:</w:t>
      </w:r>
    </w:p>
    <w:p>
      <w:pPr>
        <w:spacing w:after="0" w:line="192" w:lineRule="exact"/>
        <w:rPr>
          <w:sz w:val="20"/>
          <w:szCs w:val="20"/>
          <w:color w:val="auto"/>
        </w:rPr>
      </w:pPr>
    </w:p>
    <w:p>
      <w:pPr>
        <w:ind w:left="560" w:hanging="284"/>
        <w:spacing w:after="0"/>
        <w:tabs>
          <w:tab w:leader="none" w:pos="56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received, read and understand the</w:t>
      </w:r>
    </w:p>
    <w:p>
      <w:pPr>
        <w:spacing w:after="0" w:line="215" w:lineRule="exact"/>
        <w:rPr>
          <w:rFonts w:ascii="Times New Roman" w:cs="Times New Roman" w:eastAsia="Times New Roman" w:hAnsi="Times New Roman"/>
          <w:sz w:val="16"/>
          <w:szCs w:val="16"/>
          <w:color w:val="auto"/>
        </w:rPr>
      </w:pPr>
    </w:p>
    <w:p>
      <w:pPr>
        <w:ind w:left="1400" w:hanging="278"/>
        <w:spacing w:after="0"/>
        <w:tabs>
          <w:tab w:leader="none" w:pos="1400"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SuRo Capital Corp. Code of Ethics;</w:t>
      </w:r>
    </w:p>
    <w:p>
      <w:pPr>
        <w:spacing w:after="0" w:line="19" w:lineRule="exact"/>
        <w:rPr>
          <w:rFonts w:ascii="Times New Roman" w:cs="Times New Roman" w:eastAsia="Times New Roman" w:hAnsi="Times New Roman"/>
          <w:sz w:val="16"/>
          <w:szCs w:val="16"/>
          <w:color w:val="auto"/>
        </w:rPr>
      </w:pPr>
    </w:p>
    <w:p>
      <w:pPr>
        <w:ind w:left="1400" w:hanging="278"/>
        <w:spacing w:after="0"/>
        <w:tabs>
          <w:tab w:leader="none" w:pos="1400"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Code of Business Conduct and Ethics; and</w:t>
      </w:r>
    </w:p>
    <w:p>
      <w:pPr>
        <w:spacing w:after="0" w:line="4" w:lineRule="exact"/>
        <w:rPr>
          <w:rFonts w:ascii="Times New Roman" w:cs="Times New Roman" w:eastAsia="Times New Roman" w:hAnsi="Times New Roman"/>
          <w:sz w:val="16"/>
          <w:szCs w:val="16"/>
          <w:color w:val="auto"/>
        </w:rPr>
      </w:pPr>
    </w:p>
    <w:p>
      <w:pPr>
        <w:ind w:left="1400" w:hanging="278"/>
        <w:spacing w:after="0"/>
        <w:tabs>
          <w:tab w:leader="none" w:pos="1400"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Insider Trading Policy and Procedures</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(collectively, the “SuRo Capital Compliance Program Documents”) and agree to comply in all respects with the policies and procedures stated therein.</w:t>
      </w:r>
    </w:p>
    <w:p>
      <w:pPr>
        <w:spacing w:after="0" w:line="192" w:lineRule="exact"/>
        <w:rPr>
          <w:sz w:val="20"/>
          <w:szCs w:val="20"/>
          <w:color w:val="auto"/>
        </w:rPr>
      </w:pPr>
    </w:p>
    <w:p>
      <w:pPr>
        <w:jc w:val="both"/>
        <w:ind w:left="560" w:hanging="284"/>
        <w:spacing w:after="0" w:line="258" w:lineRule="auto"/>
        <w:tabs>
          <w:tab w:leader="none" w:pos="5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during the past calendar year I was subject to any one, some or all of the SuRo Capital Compliance Program Documents, I further certify that I have complied in all respects with the requirements of each such Document as was then in effect or, in the event that I have not so complied, I have previously fully disclosed all such non-compliance to the Chief Compliance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Signature:___________________</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Print Name:__________________________</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Submitted:______________________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50100"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15" w:right="3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INDEPENDENT REGISTERED PUBLIC ACCOUNTING FIRM’S CONSENT</w:t>
      </w:r>
    </w:p>
    <w:p>
      <w:pPr>
        <w:spacing w:after="0" w:line="19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 of SuRo Capital Corp. and subsidiaries (“the Company”) on Form N-2 (File No. 333-272578) and in the Registration Statement on Form S-8 (File No. 814-00852) of the Company (collectively, the “Registration Statements”) of our report dated March 14, 2024, with respect to our audits of the consolidated financial statements of the Company as of December 31, 2023 and 2022, and for each of the years ended December 31, 2023, 2022 and 2021, which report is included in this Annual Report on Form 10-K of the Company for the year ended December 31, 2023 (the “Form 10-K”). We also consent to the reference to us under the heading “Senior Securities” in Part II, Item 5 of the Form 10-K.</w:t>
      </w:r>
    </w:p>
    <w:p>
      <w:pPr>
        <w:spacing w:after="0" w:line="16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of our report dated March 14, 2024, relating to the financial information set forth under the heading “Senior Securities” in Part II, Item 5 of the Form 10-K, which report is included as an exhibit to the Form 10-K.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 Marcum </w:t>
      </w:r>
      <w:r>
        <w:rPr>
          <w:rFonts w:ascii="Times New Roman" w:cs="Times New Roman" w:eastAsia="Times New Roman" w:hAnsi="Times New Roman"/>
          <w:sz w:val="10"/>
          <w:szCs w:val="10"/>
          <w:color w:val="auto"/>
        </w:rPr>
        <w:t>llp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Marcum </w:t>
      </w:r>
      <w:r>
        <w:rPr>
          <w:rFonts w:ascii="Times New Roman" w:cs="Times New Roman" w:eastAsia="Times New Roman" w:hAnsi="Times New Roman"/>
          <w:sz w:val="10"/>
          <w:szCs w:val="10"/>
          <w:color w:val="auto"/>
        </w:rPr>
        <w:t>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Francisco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715010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of SuRo Capital Corp.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13a-14(a) under the Exchange Act,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Mark D. Klein, certify that:</w:t>
      </w:r>
    </w:p>
    <w:p>
      <w:pPr>
        <w:spacing w:after="0" w:line="192" w:lineRule="exact"/>
        <w:rPr>
          <w:sz w:val="20"/>
          <w:szCs w:val="20"/>
          <w:color w:val="auto"/>
        </w:rPr>
      </w:pPr>
    </w:p>
    <w:p>
      <w:pPr>
        <w:ind w:left="560" w:hanging="284"/>
        <w:spacing w:after="0"/>
        <w:tabs>
          <w:tab w:leader="none" w:pos="5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SuRo Capital Corp.;</w:t>
      </w:r>
    </w:p>
    <w:p>
      <w:pPr>
        <w:spacing w:after="0" w:line="192"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Times New Roman" w:cs="Times New Roman" w:eastAsia="Times New Roman" w:hAnsi="Times New Roman"/>
          <w:sz w:val="16"/>
          <w:szCs w:val="16"/>
          <w:color w:val="auto"/>
        </w:rPr>
      </w:pPr>
    </w:p>
    <w:p>
      <w:pPr>
        <w:jc w:val="both"/>
        <w:ind w:left="840" w:right="20" w:hanging="282"/>
        <w:spacing w:after="0" w:line="258" w:lineRule="auto"/>
        <w:tabs>
          <w:tab w:leader="none" w:pos="84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840" w:hanging="282"/>
        <w:spacing w:after="0" w:line="258" w:lineRule="auto"/>
        <w:tabs>
          <w:tab w:leader="none" w:pos="84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840" w:right="20" w:hanging="282"/>
        <w:spacing w:after="0" w:line="270" w:lineRule="auto"/>
        <w:tabs>
          <w:tab w:leader="none" w:pos="84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6"/>
          <w:szCs w:val="16"/>
          <w:color w:val="auto"/>
        </w:rPr>
      </w:pPr>
    </w:p>
    <w:p>
      <w:pPr>
        <w:jc w:val="both"/>
        <w:ind w:left="840" w:hanging="282"/>
        <w:spacing w:after="0" w:line="258" w:lineRule="auto"/>
        <w:tabs>
          <w:tab w:leader="none" w:pos="84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Times New Roman" w:cs="Times New Roman" w:eastAsia="Times New Roman" w:hAnsi="Times New Roman"/>
          <w:sz w:val="16"/>
          <w:szCs w:val="16"/>
          <w:color w:val="auto"/>
        </w:rPr>
      </w:pPr>
    </w:p>
    <w:p>
      <w:pPr>
        <w:ind w:left="840" w:right="20" w:hanging="282"/>
        <w:spacing w:after="0" w:line="270" w:lineRule="auto"/>
        <w:tabs>
          <w:tab w:leader="none" w:pos="84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840" w:hanging="282"/>
        <w:spacing w:after="0" w:line="270" w:lineRule="auto"/>
        <w:tabs>
          <w:tab w:leader="none" w:pos="84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this 14th day of March,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14605</wp:posOffset>
            </wp:positionV>
            <wp:extent cx="335851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3358515" cy="15240"/>
                    </a:xfrm>
                    <a:prstGeom prst="rect">
                      <a:avLst/>
                    </a:prstGeom>
                    <a:noFill/>
                  </pic:spPr>
                </pic:pic>
              </a:graphicData>
            </a:graphic>
          </wp:anchor>
        </w:drawing>
      </w:r>
    </w:p>
    <w:p>
      <w:pPr>
        <w:spacing w:after="0" w:line="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Mark D. Klein</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7150100"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 of SuRo Capital Corp.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13a-14(a) under the Exchange Act,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Allison Green, certify that:</w:t>
      </w:r>
    </w:p>
    <w:p>
      <w:pPr>
        <w:spacing w:after="0" w:line="192" w:lineRule="exact"/>
        <w:rPr>
          <w:sz w:val="20"/>
          <w:szCs w:val="20"/>
          <w:color w:val="auto"/>
        </w:rPr>
      </w:pPr>
    </w:p>
    <w:p>
      <w:pPr>
        <w:ind w:left="560" w:hanging="284"/>
        <w:spacing w:after="0"/>
        <w:tabs>
          <w:tab w:leader="none" w:pos="5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SuRo Capital Corp.;</w:t>
      </w:r>
    </w:p>
    <w:p>
      <w:pPr>
        <w:spacing w:after="0" w:line="192"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6"/>
          <w:szCs w:val="16"/>
          <w:color w:val="auto"/>
        </w:rPr>
      </w:pPr>
    </w:p>
    <w:p>
      <w:pPr>
        <w:ind w:left="560" w:hanging="284"/>
        <w:spacing w:after="0" w:line="270" w:lineRule="auto"/>
        <w:tabs>
          <w:tab w:leader="none" w:pos="5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Times New Roman" w:cs="Times New Roman" w:eastAsia="Times New Roman" w:hAnsi="Times New Roman"/>
          <w:sz w:val="16"/>
          <w:szCs w:val="16"/>
          <w:color w:val="auto"/>
        </w:rPr>
      </w:pPr>
    </w:p>
    <w:p>
      <w:pPr>
        <w:jc w:val="both"/>
        <w:ind w:left="840" w:right="20" w:hanging="282"/>
        <w:spacing w:after="0" w:line="258" w:lineRule="auto"/>
        <w:tabs>
          <w:tab w:leader="none" w:pos="84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840" w:hanging="282"/>
        <w:spacing w:after="0" w:line="258" w:lineRule="auto"/>
        <w:tabs>
          <w:tab w:leader="none" w:pos="84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840" w:right="20" w:hanging="282"/>
        <w:spacing w:after="0" w:line="270" w:lineRule="auto"/>
        <w:tabs>
          <w:tab w:leader="none" w:pos="84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6"/>
          <w:szCs w:val="16"/>
          <w:color w:val="auto"/>
        </w:rPr>
      </w:pPr>
    </w:p>
    <w:p>
      <w:pPr>
        <w:jc w:val="both"/>
        <w:ind w:left="840" w:hanging="282"/>
        <w:spacing w:after="0" w:line="258" w:lineRule="auto"/>
        <w:tabs>
          <w:tab w:leader="none" w:pos="84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6"/>
          <w:szCs w:val="16"/>
          <w:color w:val="auto"/>
        </w:rPr>
      </w:pPr>
    </w:p>
    <w:p>
      <w:pPr>
        <w:ind w:left="560" w:right="20" w:hanging="284"/>
        <w:spacing w:after="0" w:line="270" w:lineRule="auto"/>
        <w:tabs>
          <w:tab w:leader="none" w:pos="56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Times New Roman" w:cs="Times New Roman" w:eastAsia="Times New Roman" w:hAnsi="Times New Roman"/>
          <w:sz w:val="16"/>
          <w:szCs w:val="16"/>
          <w:color w:val="auto"/>
        </w:rPr>
      </w:pPr>
    </w:p>
    <w:p>
      <w:pPr>
        <w:ind w:left="840" w:right="20" w:hanging="282"/>
        <w:spacing w:after="0" w:line="270" w:lineRule="auto"/>
        <w:tabs>
          <w:tab w:leader="none" w:pos="84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840" w:hanging="282"/>
        <w:spacing w:after="0" w:line="270" w:lineRule="auto"/>
        <w:tabs>
          <w:tab w:leader="none" w:pos="84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this 14th day of March,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14605</wp:posOffset>
            </wp:positionV>
            <wp:extent cx="335851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3358515" cy="15240"/>
                    </a:xfrm>
                    <a:prstGeom prst="rect">
                      <a:avLst/>
                    </a:prstGeom>
                    <a:noFill/>
                  </pic:spPr>
                </pic:pic>
              </a:graphicData>
            </a:graphic>
          </wp:anchor>
        </w:drawing>
      </w:r>
    </w:p>
    <w:p>
      <w:pPr>
        <w:spacing w:after="0" w:line="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Allison Green</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715010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 (18 U.S.C. 1350)</w:t>
      </w:r>
    </w:p>
    <w:p>
      <w:pPr>
        <w:spacing w:after="0" w:line="177" w:lineRule="exact"/>
        <w:rPr>
          <w:sz w:val="20"/>
          <w:szCs w:val="20"/>
          <w:color w:val="auto"/>
        </w:rPr>
      </w:pPr>
    </w:p>
    <w:p>
      <w:pPr>
        <w:ind w:right="20" w:firstLine="282"/>
        <w:spacing w:after="0" w:line="270" w:lineRule="auto"/>
        <w:rPr>
          <w:sz w:val="20"/>
          <w:szCs w:val="20"/>
          <w:color w:val="auto"/>
        </w:rPr>
      </w:pPr>
      <w:r>
        <w:rPr>
          <w:rFonts w:ascii="Times New Roman" w:cs="Times New Roman" w:eastAsia="Times New Roman" w:hAnsi="Times New Roman"/>
          <w:sz w:val="16"/>
          <w:szCs w:val="16"/>
          <w:color w:val="auto"/>
        </w:rPr>
        <w:t>In connection with the annual report on Form 10-K for the year ended December 31, 2023 (the “Report”) of SuRo Capital Corp. (the “Registrant”), as filed with the Securities and Exchange Commission on the date hereof, I, Mark D. Klein, the Chief Executive Officer of the Registrant, hereby certify, to the best of my knowledge, that:</w:t>
      </w:r>
    </w:p>
    <w:p>
      <w:pPr>
        <w:spacing w:after="0" w:line="150" w:lineRule="exact"/>
        <w:rPr>
          <w:sz w:val="20"/>
          <w:szCs w:val="20"/>
          <w:color w:val="auto"/>
        </w:rPr>
      </w:pPr>
    </w:p>
    <w:p>
      <w:pPr>
        <w:ind w:left="560" w:hanging="284"/>
        <w:spacing w:after="0"/>
        <w:tabs>
          <w:tab w:leader="none" w:pos="5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75050"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3575050" cy="15240"/>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Name: Mark D. Klein</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Date: 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7150100"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 (18 U.S.C. 1350)</w:t>
      </w:r>
    </w:p>
    <w:p>
      <w:pPr>
        <w:spacing w:after="0" w:line="177" w:lineRule="exact"/>
        <w:rPr>
          <w:sz w:val="20"/>
          <w:szCs w:val="20"/>
          <w:color w:val="auto"/>
        </w:rPr>
      </w:pPr>
    </w:p>
    <w:p>
      <w:pPr>
        <w:ind w:right="20" w:firstLine="282"/>
        <w:spacing w:after="0" w:line="270" w:lineRule="auto"/>
        <w:rPr>
          <w:sz w:val="20"/>
          <w:szCs w:val="20"/>
          <w:color w:val="auto"/>
        </w:rPr>
      </w:pPr>
      <w:r>
        <w:rPr>
          <w:rFonts w:ascii="Times New Roman" w:cs="Times New Roman" w:eastAsia="Times New Roman" w:hAnsi="Times New Roman"/>
          <w:sz w:val="16"/>
          <w:szCs w:val="16"/>
          <w:color w:val="auto"/>
        </w:rPr>
        <w:t>In connection with the annual report on Form 10-K for the year ended December 31, 2023 (the “Report”) of SuRo Capital Corp. (the “Registrant”), as filed with the Securities and Exchange Commission on the date hereof, I, Allison Green, the Chief Financial Officer of the Registrant, hereby certify, to the best of my knowledge, that:</w:t>
      </w:r>
    </w:p>
    <w:p>
      <w:pPr>
        <w:spacing w:after="0" w:line="150" w:lineRule="exact"/>
        <w:rPr>
          <w:sz w:val="20"/>
          <w:szCs w:val="20"/>
          <w:color w:val="auto"/>
        </w:rPr>
      </w:pPr>
    </w:p>
    <w:p>
      <w:pPr>
        <w:ind w:left="560" w:hanging="284"/>
        <w:spacing w:after="0"/>
        <w:tabs>
          <w:tab w:leader="none" w:pos="5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192" w:lineRule="exact"/>
        <w:rPr>
          <w:rFonts w:ascii="Times New Roman" w:cs="Times New Roman" w:eastAsia="Times New Roman" w:hAnsi="Times New Roman"/>
          <w:sz w:val="16"/>
          <w:szCs w:val="16"/>
          <w:color w:val="auto"/>
        </w:rPr>
      </w:pPr>
    </w:p>
    <w:p>
      <w:pPr>
        <w:ind w:left="560" w:hanging="284"/>
        <w:spacing w:after="0"/>
        <w:tabs>
          <w:tab w:leader="none" w:pos="5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75050"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3575050" cy="15240"/>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b w:val="1"/>
          <w:bCs w:val="1"/>
          <w:color w:val="auto"/>
        </w:rPr>
        <w:t>Name: Allison Green</w:t>
      </w:r>
    </w:p>
    <w:p>
      <w:pPr>
        <w:spacing w:after="0" w:line="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Date: 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7150100"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9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 ON SUPPLEMENTAL FINANCIAL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Shareholders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SuRo Capital Corp. (f/k/a Sutter Rock Capital Corp.)</w:t>
      </w:r>
    </w:p>
    <w:p>
      <w:pPr>
        <w:spacing w:after="0" w:line="17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We have audited the consolidated statements of assets and liabilities of SuRo Capital Corp. and subsidiaries (the “Company”), including the consolidated schedule of investments as of December 31, 2023 and 2022, and the related consolidated statements of operations, changes in net assets and of cash flows for each of the three years in the period ended December 31, 2023 and the financial highlights (presented in Note 8) for each of the five years in the period ended December 31, 2023 and the related notes, and have issued our report thereon dated March 14, 2024, which contained an unqualified opinion on those consolidated financial statements. The supplemental financial information set forth under the heading “Senior Securities” as of December 31, 2023, 2022, 2021, 2020 and 2019 included in Part II, Item 5 of the Company’s Annual Report on Form 10-K has been subjected to audit procedures performed in conjunction with the audit of the Company’s consolidated financial statements. The supplemental financial information is the responsibility of the Company’s management. Our audit procedures included determining whether the supplemental financial information reconciles to the consolidated financial statements or the underlying accounting and other records, as applicable, and performing procedures to test the completeness and accuracy of the information presented in the supplemental financial information. In our opinion, such financial information is fairly stated, in all material respects, in relation to the consolidated financial statements as a whole.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Marcum llp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Francisco, 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241935</wp:posOffset>
            </wp:positionV>
            <wp:extent cx="7150100"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46" w:name="page147"/>
    <w:bookmarkEnd w:id="146"/>
    <w:p>
      <w:pPr>
        <w:ind w:left="10440"/>
        <w:spacing w:after="0"/>
        <w:rPr>
          <w:sz w:val="20"/>
          <w:szCs w:val="20"/>
          <w:color w:val="auto"/>
        </w:rPr>
      </w:pPr>
      <w:r>
        <w:rPr>
          <w:rFonts w:ascii="Times New Roman" w:cs="Times New Roman" w:eastAsia="Times New Roman" w:hAnsi="Times New Roman"/>
          <w:sz w:val="15"/>
          <w:szCs w:val="15"/>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2638425</wp:posOffset>
            </wp:positionH>
            <wp:positionV relativeFrom="paragraph">
              <wp:posOffset>140970</wp:posOffset>
            </wp:positionV>
            <wp:extent cx="1865630" cy="8286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1865630" cy="82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SuRo Capital Corp.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DODD-FRANK COMPENSATION RECOUPMENT POLICY</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Board of Directors of SuRo Capital Corp. has adopted the following Dodd-Frank Compensation Recoupment Policy effective as of October 2, 2023. It is the intention of the Board that this Dodd-Frank Compensation Recoupment Policy be interpreted and administered in a manner consistent with applicable laws and regulations and Securities Exchange listing requirements, including Section 304 of the Sarbanes-Oxley Act of 2002, Section 954 of the Dodd-Frank Wall Street Reform and Consumer Protection Act of 2010 (and Rule 10D-1 promulgated thereunder), and Nasdaq Listing Rules 5608 and 5810(c)(2)(A)(iii). This Dodd-Frank Compensation Recoupment Policy applies to awards of Incentive-Based Compensation received on or after the Effective Date by Executive Officers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means the Board of Directors of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“Committee” means the Compensation Committee of the Board of Directors of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means SuRo Capital Corp.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Date” means October 2, 2023.</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“Executive Officer”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are deemed Executive Officers of the Company if they perform such policymaking functions for the Company.</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“Excess Incentive-Based Compensation” means the amount of Incentive-Based Compensation received by a current or former Executive Officer that exceeds the amount of Incentive-Based Compensation that otherwise would have been received had the amount of such Incentive-Based Compensation been determined based on the accounting restatement, computed without regard to taxes paid by the Executive Officer. With regards to Incentive-Based Compensation based on stock price or total shareholder return, where the amount of Excess Incentive-Based Compensation is not subject to mathematical recalculation directly from the information in an accounting restatement, Excess Incentive-Based Compensation means a reasonable estimate of the effect of the accounting restatement on the applicable Financial Reporting Measure.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309" w:right="319" w:bottom="1440" w:gutter="0" w:footer="0" w:header="0"/>
        </w:sectPr>
      </w:pPr>
    </w:p>
    <w:bookmarkStart w:id="147" w:name="page148"/>
    <w:bookmarkEnd w:id="147"/>
    <w:p>
      <w:pPr>
        <w:jc w:val="both"/>
        <w:spacing w:after="0" w:line="253" w:lineRule="auto"/>
        <w:rPr>
          <w:sz w:val="20"/>
          <w:szCs w:val="20"/>
          <w:color w:val="auto"/>
        </w:rPr>
      </w:pPr>
      <w:r>
        <w:rPr>
          <w:rFonts w:ascii="Times New Roman" w:cs="Times New Roman" w:eastAsia="Times New Roman" w:hAnsi="Times New Roman"/>
          <w:sz w:val="16"/>
          <w:szCs w:val="16"/>
          <w:color w:val="auto"/>
        </w:rPr>
        <w:t>“Financial Reporting Measure” means any measure that is determined and presented in accordance with the accounting principles used to prepare the Company’s financial statements, and any measures that are derived wholly or in part from such measures. “Stock price” and “total shareholder return” metrics are also Financial Reporting Measures. For the avoidance of doubt, a Financial Reporting Measure need not be presented in the Company’s financial statements or included in a filing with the U.S. Securities and Exchange Commission.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“Incentive-Based Compensation” means any compensation that is granted, earned, or vested based wholly or in part upon the attainment of a Financial Reporting Measure.</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“Lookback Period” means the three completed fiscal years preceding the date on which the Company is required to prepare an accounting restatement, and if the Company changes its fiscal year, any transition period of less than nine months within or immediately following those three completed fiscal years. For purposes of this definition, the date on which the Company is required to prepare an accounting restatement shall be deemed to be the earlier of (i) the date the Company’s Board, a committee of the Board, or the officer(s) of the Company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Exchange” means the securities exchange upon which the Company’s common stock, par value $0.01 per share, trades.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Recoupment for an Accounting Restatement</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Company shall recover reasonably promptly any Excess Incentive-Based Compensation in the event that the Company is required to restate its financial statements due to the material noncompliance of the Company with any financial reporting requirement under the federal securities laws, including any required accounting restatement to correct an error (i) in previously issued financial statements that is material to the previously issued financial statements or (ii) that would result in a material misstatement if the error were corrected in the current period or left uncorrected in the current period. The preceding sentence shall apply to Excess Incentive-Based Compensation received by any current or former Executive Officer: (a) after beginning service as an Executive Officer; (b) who served as an Executive Officer at any time during the performance period for the applicable Incentive-Based Compensation; (c) while the Company has a class of securities listed on a national securities exchange or a national securities association; and (d) during the Lookback Period. For purposes of this paragraph, Incentive-Based Compensation is deemed “received” in the Company’s fiscal period during which the Financial Reporting Measure specified in the Incentive-Based Compensation is attained, even if the payment or grant of the Incentive-Based Compensation occurs after the end of that period.</w:t>
      </w:r>
    </w:p>
    <w:p>
      <w:pPr>
        <w:spacing w:after="0" w:line="1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If the Company is required to recoup Excess Incentive-Based Compensation following an accounting restatement based on adjustments to stock price or total shareholder return, the Company shall determine the amount of such Excess Incentive-Based Compensation subject to recoupment, which amount shall be a reasonable estimate of the effect of the accounting restatement on the applicable Financial Reporting Measure.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148" w:name="page149"/>
    <w:bookmarkEnd w:id="148"/>
    <w:p>
      <w:pPr>
        <w:ind w:right="20"/>
        <w:spacing w:after="0" w:line="270" w:lineRule="auto"/>
        <w:rPr>
          <w:sz w:val="20"/>
          <w:szCs w:val="20"/>
          <w:color w:val="auto"/>
        </w:rPr>
      </w:pPr>
      <w:r>
        <w:rPr>
          <w:rFonts w:ascii="Times New Roman" w:cs="Times New Roman" w:eastAsia="Times New Roman" w:hAnsi="Times New Roman"/>
          <w:sz w:val="16"/>
          <w:szCs w:val="16"/>
          <w:color w:val="auto"/>
        </w:rPr>
        <w:t>Notwithstanding the foregoing, if the Committee makes a determination that recovery would be impracticable, and one of the following enumerated conditions is satisfied, the Company need not recover such Excess Incentive-Based Compensation.</w:t>
      </w:r>
    </w:p>
    <w:p>
      <w:pPr>
        <w:spacing w:after="0" w:line="150" w:lineRule="exact"/>
        <w:rPr>
          <w:sz w:val="20"/>
          <w:szCs w:val="20"/>
          <w:color w:val="auto"/>
        </w:rPr>
      </w:pPr>
    </w:p>
    <w:p>
      <w:pPr>
        <w:jc w:val="both"/>
        <w:ind w:left="560" w:hanging="284"/>
        <w:spacing w:after="0" w:line="249" w:lineRule="auto"/>
        <w:tabs>
          <w:tab w:leader="none" w:pos="5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Expenses Exceed Recovery Amount</w:t>
      </w:r>
      <w:r>
        <w:rPr>
          <w:rFonts w:ascii="Times New Roman" w:cs="Times New Roman" w:eastAsia="Times New Roman" w:hAnsi="Times New Roman"/>
          <w:sz w:val="16"/>
          <w:szCs w:val="16"/>
          <w:color w:val="auto"/>
        </w:rPr>
        <w:t>: The Company need not recover the Excess Incentive-Based Compensation at issue if the direct expense to be paid to a third party to assist in enforcing this Dodd-Frank Compensation Recoupment Policy would exceed the amount to be recovered; provided, however, that the Company must make a reasonable attempt to recover the Excess Incentive-Based Compensation and document such attempt(s) prior to the Committee’s determination that recovery would be impracticable. The Company must provide the documentation evidencing the attempt(s) to the Securities Exchange consistent with the listing standards of the Securities Exchange.</w:t>
      </w:r>
    </w:p>
    <w:p>
      <w:pPr>
        <w:spacing w:after="0" w:line="1" w:lineRule="exact"/>
        <w:rPr>
          <w:rFonts w:ascii="Times New Roman" w:cs="Times New Roman" w:eastAsia="Times New Roman" w:hAnsi="Times New Roman"/>
          <w:sz w:val="16"/>
          <w:szCs w:val="16"/>
          <w:color w:val="auto"/>
        </w:rPr>
      </w:pPr>
    </w:p>
    <w:p>
      <w:pPr>
        <w:jc w:val="both"/>
        <w:ind w:left="560" w:right="20" w:hanging="284"/>
        <w:spacing w:after="0" w:line="245" w:lineRule="auto"/>
        <w:tabs>
          <w:tab w:leader="none" w:pos="5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Recovery Would Violate Home Country Law</w:t>
      </w:r>
      <w:r>
        <w:rPr>
          <w:rFonts w:ascii="Times New Roman" w:cs="Times New Roman" w:eastAsia="Times New Roman" w:hAnsi="Times New Roman"/>
          <w:sz w:val="16"/>
          <w:szCs w:val="16"/>
          <w:color w:val="auto"/>
        </w:rPr>
        <w:t>: The Company need not recover the Excess Incentive-Based Compensation at issue if recovery would violate home country law where that law was adopted prior to November 28, 2022; provided, however, that the Company must obtain an opinion of home country counsel, in a form acceptable to the Securities Exchange, that recovery would result in such violation. The Company must provide the opinion to the Securities Exchange consistent with the listing standards of the Securities Exchange.</w:t>
      </w:r>
    </w:p>
    <w:p>
      <w:pPr>
        <w:jc w:val="both"/>
        <w:ind w:left="560" w:hanging="284"/>
        <w:spacing w:after="0" w:line="247" w:lineRule="auto"/>
        <w:tabs>
          <w:tab w:leader="none" w:pos="56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Recovery Would Violate ERISA Anti-Alienation Provisions</w:t>
      </w:r>
      <w:r>
        <w:rPr>
          <w:rFonts w:ascii="Times New Roman" w:cs="Times New Roman" w:eastAsia="Times New Roman" w:hAnsi="Times New Roman"/>
          <w:sz w:val="16"/>
          <w:szCs w:val="16"/>
          <w:color w:val="auto"/>
        </w:rPr>
        <w:t>: The Company need not recover the Excess Incentive-Based Compensation at issue if recovery would violate the anti-alienation provisions of the Employee Retirement Income Security Act of 1974, as amended, contained in 26 U.S.C. § 401(a)(13) or 26 U.S.C. § 411(a), or regulations promulgated thereunder.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Method of Recoupment</w:t>
      </w:r>
    </w:p>
    <w:p>
      <w:pPr>
        <w:spacing w:after="0" w:line="19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The Committee shall have the sole discretion and authority to determine the means, timing (which shall in all circumstances be reasonably prompt) and any other requirements by which any recoupment required by this Dodd-Frank Compensation Recoupment Policy shall occur and impose any other terms, conditions or procedures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the imposition of interest charges on un-repaid amounts) to govern the current or former Executive Officer’s repayment of Excess Incentive-Based Compensation.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Policy Terms</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Any applicable award agreement, plan or other document setting forth the terms and conditions of any Incentive-Based Compensation or other compensation covered by this Dodd-Frank Compensation Recoupment Policy received on or after the Effective Date shall be deemed to (i) include the restrictions imposed herein; (ii) incorporate the Dodd-Frank Compensation Recoupment Policy by reference; and (iii) govern the terms of such award agreement, plan or other document in the event of any inconsistency. Eligibility for participation in and for payment under any such award agreement, plan or other document is contingent upon acceptance of the terms of this Dodd-Frank Compensation Recoupment Policy.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149" w:name="page150"/>
    <w:bookmarkEnd w:id="149"/>
    <w:p>
      <w:pPr>
        <w:jc w:val="both"/>
        <w:spacing w:after="0" w:line="253" w:lineRule="auto"/>
        <w:rPr>
          <w:sz w:val="20"/>
          <w:szCs w:val="20"/>
          <w:color w:val="auto"/>
        </w:rPr>
      </w:pPr>
      <w:r>
        <w:rPr>
          <w:rFonts w:ascii="Times New Roman" w:cs="Times New Roman" w:eastAsia="Times New Roman" w:hAnsi="Times New Roman"/>
          <w:sz w:val="16"/>
          <w:szCs w:val="16"/>
          <w:color w:val="auto"/>
        </w:rPr>
        <w:t>Any recoupment under this Dodd-Frank Compensation Recoupment Policy is in addition to, and not in lieu of, any other remedies or rights that may be available to the Company or its affiliates under applicable law, including, without limitation: (i) dismissing the current or former Executive Officer; (ii) adjusting the future compensation of the current or former Executive Officer; or (iii) authorizing legal action or taking such other action to enforce the current or former Executive Officer’s obligations to the Company or its affiliates as it may deem appropriate in view of all of the facts and circumstances surrounding the particular case.</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Incentive-Based Compensation and other compensation paid to employees of the Company and its affiliates may also be subject to other recoupment or similar policies, and this policy does not supersede any such other policies. However, in the event of any conflict between any such policy and this Dodd-Frank Compensation Recoupment Policy, this policy shall govern. In addition, no Executive Officer shall be subject to recoupment more than one time with respect to the same compensation.</w:t>
      </w:r>
    </w:p>
    <w:p>
      <w:pPr>
        <w:spacing w:after="0" w:line="15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Current or former Executive Officers shall not be entitled to any indemnification by or from the Company or its affiliates with respect to any amounts subject to recoupment pursuant to this Dodd-Frank Compensation Recoupment Policy, including through the payment of insurance premiums or gross-up payments.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Administration</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Board has delegated the administration of this policy to the Committee. The Committee is responsible for monitoring the application of this policy with respect to all Executive Officers. The Committee shall have the sole authority to review, interpret, construe and implement, the provisions of this Dodd-Frank Compensation Recoupment Policy and to delegate to one or more executive officers and/or employees certain administrative and record-keeping responsibilities, as appropriate, with respect to the implementation of this Dodd-Frank Compensation Recoupment Policy; provided, however, that no such action shall contravene the federal securities laws. Any determinations of the Board or Committee under this Dodd-Frank Compensation Recoupment Policy shall be binding on the applicable individual.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Policy shall be binding and enforceable against all current and former Executive Officers and their beneficiaries, heirs, executors, administrators or other legal representatives.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Board may amend, modify or change this Dodd-Frank Compensation Recoupment Policy, as well as any related rules and procedures, at any time and from time to time as it may determine, in its sole discretion, is necessary or appropriate. Notwithstanding anything in this section to the contrary, no amendment or termination of this Dodd-Frank Compensation Recoupment Policy shall be effective if such amendment or termination would (after taking into account any actions taken by the Company contemporaneously with such amendment or termination) cause the Company to violate any federal securities laws, SEC rule or Securities Exchange rule.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Approved by the Board of Directors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Company on November 1, 2023.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617" w:right="31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ATTESTATION AND ACKNOWLEDGEMENT OF</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DODD-FRANK COMPENSATION RECOUPMENT POLICY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my signature below, I acknowledge and agree that:</w:t>
      </w:r>
    </w:p>
    <w:p>
      <w:pPr>
        <w:spacing w:after="0" w:line="192" w:lineRule="exact"/>
        <w:rPr>
          <w:sz w:val="20"/>
          <w:szCs w:val="20"/>
          <w:color w:val="auto"/>
        </w:rPr>
      </w:pPr>
    </w:p>
    <w:p>
      <w:pPr>
        <w:ind w:left="560" w:hanging="284"/>
        <w:spacing w:after="0"/>
        <w:tabs>
          <w:tab w:leader="none" w:pos="5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received and read the attached Dodd-Frank Compensation Recoupment Policy (the “Policy”).</w:t>
      </w:r>
    </w:p>
    <w:p>
      <w:pPr>
        <w:spacing w:after="0" w:line="19" w:lineRule="exact"/>
        <w:rPr>
          <w:rFonts w:ascii="Times New Roman" w:cs="Times New Roman" w:eastAsia="Times New Roman" w:hAnsi="Times New Roman"/>
          <w:sz w:val="16"/>
          <w:szCs w:val="16"/>
          <w:color w:val="auto"/>
        </w:rPr>
      </w:pPr>
    </w:p>
    <w:p>
      <w:pPr>
        <w:ind w:left="560" w:hanging="284"/>
        <w:spacing w:after="0" w:line="250" w:lineRule="auto"/>
        <w:tabs>
          <w:tab w:leader="none" w:pos="5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hereby agree to abide by all of the terms of the Policy both during and after my employment with the Company, including, without limitation, by promptly repaying or returning any Excess Incentive-Based Compensation to the Company as determined in accordance with the Policy.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________________________</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Printed Name: 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____________________________</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50100"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sectPr>
      <w:pgSz w:w="11900" w:h="16838" w:orient="portrait"/>
      <w:cols w:equalWidth="0" w:num="1">
        <w:col w:w="11260"/>
      </w:cols>
      <w:pgMar w:left="320" w:top="6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lvl w:ilvl="1">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1."/>
      <w:numFmt w:val="decimal"/>
      <w:start w:val="1"/>
    </w:lvl>
  </w:abstractNum>
  <w:abstractNum w:abstractNumId="6">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
      <w:numFmt w:val="bullet"/>
      <w:start w:val="1"/>
    </w:lvl>
    <w:lvl w:ilvl="1">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1)"/>
      <w:numFmt w:val="decimal"/>
      <w:start w:val="1"/>
    </w:lvl>
  </w:abstractNum>
  <w:abstractNum w:abstractNumId="20">
    <w:nsid w:val="5FF87E05"/>
    <w:multiLevelType w:val="hybridMultilevel"/>
    <w:lvl w:ilvl="0">
      <w:lvlJc w:val="left"/>
      <w:lvlText w:val="(%1)"/>
      <w:numFmt w:val="decimal"/>
      <w:start w:val="2"/>
    </w:lvl>
  </w:abstractNum>
  <w:abstractNum w:abstractNumId="21">
    <w:nsid w:val="2F305DEF"/>
    <w:multiLevelType w:val="hybridMultilevel"/>
    <w:lvl w:ilvl="0">
      <w:lvlJc w:val="left"/>
      <w:lvlText w:val="(%1)"/>
      <w:numFmt w:val="decimal"/>
      <w:start w:val="1"/>
    </w:lvl>
  </w:abstractNum>
  <w:abstractNum w:abstractNumId="22">
    <w:nsid w:val="25A70BF7"/>
    <w:multiLevelType w:val="hybridMultilevel"/>
    <w:lvl w:ilvl="0">
      <w:lvlJc w:val="left"/>
      <w:lvlText w:val="(%1)"/>
      <w:numFmt w:val="decimal"/>
      <w:start w:val="8"/>
    </w:lvl>
  </w:abstractNum>
  <w:abstractNum w:abstractNumId="23">
    <w:nsid w:val="1DBABF00"/>
    <w:multiLevelType w:val="hybridMultilevel"/>
    <w:lvl w:ilvl="0">
      <w:lvlJc w:val="left"/>
      <w:lvlText w:val="(%1)"/>
      <w:numFmt w:val="lowerRoman"/>
      <w:start w:val="6"/>
    </w:lvl>
  </w:abstractNum>
  <w:abstractNum w:abstractNumId="24">
    <w:nsid w:val="4AD084E9"/>
    <w:multiLevelType w:val="hybridMultilevel"/>
    <w:lvl w:ilvl="0">
      <w:lvlJc w:val="left"/>
      <w:lvlText w:val="(%1)"/>
      <w:numFmt w:val="decimal"/>
      <w:start w:val="1"/>
    </w:lvl>
  </w:abstractNum>
  <w:abstractNum w:abstractNumId="25">
    <w:nsid w:val="1F48EAA1"/>
    <w:multiLevelType w:val="hybridMultilevel"/>
    <w:lvl w:ilvl="0">
      <w:lvlJc w:val="left"/>
      <w:lvlText w:val="(%1)"/>
      <w:numFmt w:val="decimal"/>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1)"/>
      <w:numFmt w:val="decimal"/>
      <w:start w:val="1"/>
    </w:lvl>
  </w:abstractNum>
  <w:abstractNum w:abstractNumId="30">
    <w:nsid w:val="15014ACB"/>
    <w:multiLevelType w:val="hybridMultilevel"/>
    <w:lvl w:ilvl="0">
      <w:lvlJc w:val="left"/>
      <w:lvlText w:val="(%1)"/>
      <w:numFmt w:val="decimal"/>
      <w:start w:val="1"/>
    </w:lvl>
  </w:abstractNum>
  <w:abstractNum w:abstractNumId="31">
    <w:nsid w:val="5F5E7FD0"/>
    <w:multiLevelType w:val="hybridMultilevel"/>
    <w:lvl w:ilvl="0">
      <w:lvlJc w:val="left"/>
      <w:lvlText w:val="(%1)"/>
      <w:numFmt w:val="decimal"/>
      <w:start w:val="7"/>
    </w:lvl>
  </w:abstractNum>
  <w:abstractNum w:abstractNumId="32">
    <w:nsid w:val="98A3148"/>
    <w:multiLevelType w:val="hybridMultilevel"/>
    <w:lvl w:ilvl="0">
      <w:lvlJc w:val="left"/>
      <w:lvlText w:val="(%1)"/>
      <w:numFmt w:val="decimal"/>
      <w:start w:val="1"/>
    </w:lvl>
  </w:abstractNum>
  <w:abstractNum w:abstractNumId="33">
    <w:nsid w:val="799D0247"/>
    <w:multiLevelType w:val="hybridMultilevel"/>
    <w:lvl w:ilvl="0">
      <w:lvlJc w:val="left"/>
      <w:lvlText w:val="(%1)"/>
      <w:numFmt w:val="decimal"/>
      <w:start w:val="1"/>
    </w:lvl>
  </w:abstractNum>
  <w:abstractNum w:abstractNumId="34">
    <w:nsid w:val="6B94764"/>
    <w:multiLevelType w:val="hybridMultilevel"/>
    <w:lvl w:ilvl="0">
      <w:lvlJc w:val="left"/>
      <w:lvlText w:val="(%1)"/>
      <w:numFmt w:val="decimal"/>
      <w:start w:val="9"/>
    </w:lvl>
  </w:abstractNum>
  <w:abstractNum w:abstractNumId="35">
    <w:nsid w:val="42C296BD"/>
    <w:multiLevelType w:val="hybridMultilevel"/>
    <w:lvl w:ilvl="0">
      <w:lvlJc w:val="left"/>
      <w:lvlText w:val="(%1)"/>
      <w:numFmt w:val="decimal"/>
      <w:start w:val="1"/>
    </w:lvl>
  </w:abstractNum>
  <w:abstractNum w:abstractNumId="36">
    <w:nsid w:val="168E121F"/>
    <w:multiLevelType w:val="hybridMultilevel"/>
    <w:lvl w:ilvl="0">
      <w:lvlJc w:val="left"/>
      <w:lvlText w:val="(%1)"/>
      <w:numFmt w:val="decimal"/>
      <w:start w:val="1"/>
    </w:lvl>
  </w:abstractNum>
  <w:abstractNum w:abstractNumId="37">
    <w:nsid w:val="1EBA5D23"/>
    <w:multiLevelType w:val="hybridMultilevel"/>
    <w:lvl w:ilvl="0">
      <w:lvlJc w:val="left"/>
      <w:lvlText w:val="(%1)"/>
      <w:numFmt w:val="decimal"/>
      <w:start w:val="1"/>
    </w:lvl>
  </w:abstractNum>
  <w:abstractNum w:abstractNumId="38">
    <w:nsid w:val="661E3F1E"/>
    <w:multiLevelType w:val="hybridMultilevel"/>
    <w:lvl w:ilvl="0">
      <w:lvlJc w:val="left"/>
      <w:lvlText w:val="(%1)"/>
      <w:numFmt w:val="decimal"/>
      <w:start w:val="1"/>
    </w:lvl>
  </w:abstractNum>
  <w:abstractNum w:abstractNumId="39">
    <w:nsid w:val="5DC79EA8"/>
    <w:multiLevelType w:val="hybridMultilevel"/>
    <w:lvl w:ilvl="0">
      <w:lvlJc w:val="left"/>
      <w:lvlText w:val="(%1)"/>
      <w:numFmt w:val="lowerRoman"/>
      <w:start w:val="1"/>
    </w:lvl>
  </w:abstractNum>
  <w:abstractNum w:abstractNumId="40">
    <w:nsid w:val="540A471C"/>
    <w:multiLevelType w:val="hybridMultilevel"/>
    <w:lvl w:ilvl="0">
      <w:lvlJc w:val="left"/>
      <w:lvlText w:val="(%1)"/>
      <w:numFmt w:val="decimal"/>
      <w:start w:val="1"/>
    </w:lvl>
  </w:abstractNum>
  <w:abstractNum w:abstractNumId="41">
    <w:nsid w:val="7BD3EE7B"/>
    <w:multiLevelType w:val="hybridMultilevel"/>
    <w:lvl w:ilvl="0">
      <w:lvlJc w:val="left"/>
      <w:lvlText w:val="(%1)"/>
      <w:numFmt w:val="decimal"/>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1)"/>
      <w:numFmt w:val="decimal"/>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1)"/>
      <w:numFmt w:val="decimal"/>
      <w:start w:val="1"/>
    </w:lvl>
  </w:abstractNum>
  <w:abstractNum w:abstractNumId="50">
    <w:nsid w:val="3B0FD379"/>
    <w:multiLevelType w:val="hybridMultilevel"/>
    <w:lvl w:ilvl="0">
      <w:lvlJc w:val="left"/>
      <w:lvlText w:val="%1."/>
      <w:numFmt w:val="decimal"/>
      <w:start w:val="1"/>
    </w:lvl>
  </w:abstractNum>
  <w:abstractNum w:abstractNumId="51">
    <w:nsid w:val="68EB2F63"/>
    <w:multiLevelType w:val="hybridMultilevel"/>
    <w:lvl w:ilvl="0">
      <w:lvlJc w:val="left"/>
      <w:lvlText w:val="(%1)"/>
      <w:numFmt w:val="decimal"/>
      <w:start w:val="1"/>
    </w:lvl>
  </w:abstractNum>
  <w:abstractNum w:abstractNumId="52">
    <w:nsid w:val="4962813B"/>
    <w:multiLevelType w:val="hybridMultilevel"/>
    <w:lvl w:ilvl="0">
      <w:lvlJc w:val="left"/>
      <w:lvlText w:val="(%1)"/>
      <w:numFmt w:val="decimal"/>
      <w:start w:val="1"/>
    </w:lvl>
  </w:abstractNum>
  <w:abstractNum w:abstractNumId="53">
    <w:nsid w:val="60B6DF70"/>
    <w:multiLevelType w:val="hybridMultilevel"/>
    <w:lvl w:ilvl="0">
      <w:lvlJc w:val="left"/>
      <w:lvlText w:val="(%1)"/>
      <w:numFmt w:val="decimal"/>
      <w:start w:val="1"/>
    </w:lvl>
  </w:abstractNum>
  <w:abstractNum w:abstractNumId="54">
    <w:nsid w:val="6A5EE64"/>
    <w:multiLevelType w:val="hybridMultilevel"/>
    <w:lvl w:ilvl="0">
      <w:lvlJc w:val="left"/>
      <w:lvlText w:val="(%1)"/>
      <w:numFmt w:val="decimal"/>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1)"/>
      <w:numFmt w:val="decimal"/>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1)"/>
      <w:numFmt w:val="decimal"/>
      <w:start w:val="1"/>
    </w:lvl>
  </w:abstractNum>
  <w:abstractNum w:abstractNumId="63">
    <w:nsid w:val="94211F2"/>
    <w:multiLevelType w:val="hybridMultilevel"/>
    <w:lvl w:ilvl="0">
      <w:lvlJc w:val="left"/>
      <w:lvlText w:val="(%1)"/>
      <w:numFmt w:val="decimal"/>
      <w:start w:val="1"/>
    </w:lvl>
  </w:abstractNum>
  <w:abstractNum w:abstractNumId="64">
    <w:nsid w:val="885E1B"/>
    <w:multiLevelType w:val="hybridMultilevel"/>
    <w:lvl w:ilvl="0">
      <w:lvlJc w:val="left"/>
      <w:lvlText w:val="(%1)"/>
      <w:numFmt w:val="decimal"/>
      <w:start w:val="1"/>
    </w:lvl>
  </w:abstractNum>
  <w:abstractNum w:abstractNumId="65">
    <w:nsid w:val="76272110"/>
    <w:multiLevelType w:val="hybridMultilevel"/>
    <w:lvl w:ilvl="0">
      <w:lvlJc w:val="left"/>
      <w:lvlText w:val="(%1)"/>
      <w:numFmt w:val="decimal"/>
      <w:start w:val="1"/>
    </w:lvl>
  </w:abstractNum>
  <w:abstractNum w:abstractNumId="66">
    <w:nsid w:val="4C04A8AF"/>
    <w:multiLevelType w:val="hybridMultilevel"/>
    <w:lvl w:ilvl="0">
      <w:lvlJc w:val="left"/>
      <w:lvlText w:val="(%1)"/>
      <w:numFmt w:val="decimal"/>
      <w:start w:val="1"/>
    </w:lvl>
  </w:abstractNum>
  <w:abstractNum w:abstractNumId="67">
    <w:nsid w:val="1716703B"/>
    <w:multiLevelType w:val="hybridMultilevel"/>
    <w:lvl w:ilvl="0">
      <w:lvlJc w:val="left"/>
      <w:lvlText w:val="(%1)"/>
      <w:numFmt w:val="decimal"/>
      <w:start w:val="1"/>
    </w:lvl>
  </w:abstractNum>
  <w:abstractNum w:abstractNumId="68">
    <w:nsid w:val="14E17E33"/>
    <w:multiLevelType w:val="hybridMultilevel"/>
    <w:lvl w:ilvl="0">
      <w:lvlJc w:val="left"/>
      <w:lvlText w:val="(%1)"/>
      <w:numFmt w:val="decimal"/>
      <w:start w:val="2"/>
    </w:lvl>
  </w:abstractNum>
  <w:abstractNum w:abstractNumId="69">
    <w:nsid w:val="3222E7CD"/>
    <w:multiLevelType w:val="hybridMultilevel"/>
    <w:lvl w:ilvl="0">
      <w:lvlJc w:val="left"/>
      <w:lvlText w:val="%1"/>
      <w:numFmt w:val="decimal"/>
      <w:start w:val="1"/>
    </w:lvl>
    <w:lvl w:ilvl="1">
      <w:lvlJc w:val="left"/>
      <w:lvlText w:val="%2"/>
      <w:numFmt w:val="decimal"/>
      <w:start w:val="104"/>
    </w:lvl>
  </w:abstractNum>
  <w:abstractNum w:abstractNumId="70">
    <w:nsid w:val="74DE0EE3"/>
    <w:multiLevelType w:val="hybridMultilevel"/>
    <w:lvl w:ilvl="0">
      <w:lvlJc w:val="left"/>
      <w:lvlText w:val="(%1)"/>
      <w:numFmt w:val="decimal"/>
      <w:start w:val="1"/>
    </w:lvl>
    <w:lvl w:ilvl="1">
      <w:lvlJc w:val="left"/>
      <w:lvlText w:val="%2"/>
      <w:numFmt w:val="decimal"/>
      <w:start w:val="1"/>
    </w:lvl>
  </w:abstractNum>
  <w:abstractNum w:abstractNumId="71">
    <w:nsid w:val="68EBC550"/>
    <w:multiLevelType w:val="hybridMultilevel"/>
    <w:lvl w:ilvl="0">
      <w:lvlJc w:val="left"/>
      <w:lvlText w:val="%1."/>
      <w:numFmt w:val="decimal"/>
      <w:start w:val="1"/>
    </w:lvl>
  </w:abstractNum>
  <w:abstractNum w:abstractNumId="72">
    <w:nsid w:val="2DF6D648"/>
    <w:multiLevelType w:val="hybridMultilevel"/>
    <w:lvl w:ilvl="0">
      <w:lvlJc w:val="left"/>
      <w:lvlText w:val="%1."/>
      <w:numFmt w:val="decimal"/>
      <w:start w:val="2"/>
    </w:lvl>
  </w:abstractNum>
  <w:abstractNum w:abstractNumId="73">
    <w:nsid w:val="46B7D447"/>
    <w:multiLevelType w:val="hybridMultilevel"/>
    <w:lvl w:ilvl="0">
      <w:lvlJc w:val="left"/>
      <w:lvlText w:val="%1."/>
      <w:numFmt w:val="decimal"/>
      <w:start w:val="1"/>
    </w:lvl>
  </w:abstractNum>
  <w:abstractNum w:abstractNumId="74">
    <w:nsid w:val="4A2AC315"/>
    <w:multiLevelType w:val="hybridMultilevel"/>
    <w:lvl w:ilvl="0">
      <w:lvlJc w:val="left"/>
      <w:lvlText w:val="%1."/>
      <w:numFmt w:val="decimal"/>
      <w:start w:val="2"/>
    </w:lvl>
  </w:abstractNum>
  <w:abstractNum w:abstractNumId="75">
    <w:nsid w:val="39EE015C"/>
    <w:multiLevelType w:val="hybridMultilevel"/>
    <w:lvl w:ilvl="0">
      <w:lvlJc w:val="left"/>
      <w:lvlText w:val="(%1)"/>
      <w:numFmt w:val="upperLetter"/>
      <w:start w:val="1"/>
    </w:lvl>
  </w:abstractNum>
  <w:abstractNum w:abstractNumId="76">
    <w:nsid w:val="57FC4FBB"/>
    <w:multiLevelType w:val="hybridMultilevel"/>
    <w:lvl w:ilvl="0">
      <w:lvlJc w:val="left"/>
      <w:lvlText w:val="(%1)"/>
      <w:numFmt w:val="upperLetter"/>
      <w:start w:val="4"/>
    </w:lvl>
  </w:abstractNum>
  <w:abstractNum w:abstractNumId="77">
    <w:nsid w:val="CC1016F"/>
    <w:multiLevelType w:val="hybridMultilevel"/>
    <w:lvl w:ilvl="0">
      <w:lvlJc w:val="left"/>
      <w:lvlText w:val="(%1)"/>
      <w:numFmt w:val="upperLetter"/>
      <w:start w:val="11"/>
    </w:lvl>
    <w:lvl w:ilvl="1">
      <w:lvlJc w:val="left"/>
      <w:lvlText w:val="(%2)"/>
      <w:numFmt w:val="upperLetter"/>
      <w:start w:val="2"/>
    </w:lvl>
  </w:abstractNum>
  <w:abstractNum w:abstractNumId="78">
    <w:nsid w:val="43F18422"/>
    <w:multiLevelType w:val="hybridMultilevel"/>
    <w:lvl w:ilvl="0">
      <w:lvlJc w:val="left"/>
      <w:lvlText w:val="(%1)"/>
      <w:numFmt w:val="lowerRoman"/>
      <w:start w:val="1"/>
    </w:lvl>
  </w:abstractNum>
  <w:abstractNum w:abstractNumId="79">
    <w:nsid w:val="60EF0119"/>
    <w:multiLevelType w:val="hybridMultilevel"/>
    <w:lvl w:ilvl="0">
      <w:lvlJc w:val="left"/>
      <w:lvlText w:val="(%1)"/>
      <w:numFmt w:val="upperLetter"/>
      <w:start w:val="1"/>
    </w:lvl>
    <w:lvl w:ilvl="1">
      <w:lvlJc w:val="left"/>
      <w:lvlText w:val="(%2)"/>
      <w:numFmt w:val="decimal"/>
      <w:start w:val="1"/>
    </w:lvl>
  </w:abstractNum>
  <w:abstractNum w:abstractNumId="80">
    <w:nsid w:val="26F324BA"/>
    <w:multiLevelType w:val="hybridMultilevel"/>
    <w:lvl w:ilvl="0">
      <w:lvlJc w:val="left"/>
      <w:lvlText w:val="(%1)"/>
      <w:numFmt w:val="upperLetter"/>
      <w:start w:val="1"/>
    </w:lvl>
  </w:abstractNum>
  <w:abstractNum w:abstractNumId="81">
    <w:nsid w:val="7F01579B"/>
    <w:multiLevelType w:val="hybridMultilevel"/>
    <w:lvl w:ilvl="0">
      <w:lvlJc w:val="left"/>
      <w:lvlText w:val="(%1)"/>
      <w:numFmt w:val="upperLetter"/>
      <w:start w:val="2"/>
    </w:lvl>
  </w:abstractNum>
  <w:abstractNum w:abstractNumId="82">
    <w:nsid w:val="49DA307D"/>
    <w:multiLevelType w:val="hybridMultilevel"/>
    <w:lvl w:ilvl="0">
      <w:lvlJc w:val="left"/>
      <w:lvlText w:val="%1"/>
      <w:numFmt w:val="upperLetter"/>
      <w:start w:val="1"/>
    </w:lvl>
    <w:lvl w:ilvl="1">
      <w:lvlJc w:val="left"/>
      <w:lvlText w:val="(%2)"/>
      <w:numFmt w:val="decimal"/>
      <w:start w:val="1"/>
    </w:lvl>
  </w:abstractNum>
  <w:abstractNum w:abstractNumId="83">
    <w:nsid w:val="7055A5F5"/>
    <w:multiLevelType w:val="hybridMultilevel"/>
    <w:lvl w:ilvl="0">
      <w:lvlJc w:val="left"/>
      <w:lvlText w:val="(%1)"/>
      <w:numFmt w:val="upperLetter"/>
      <w:start w:val="3"/>
    </w:lvl>
    <w:lvl w:ilvl="1">
      <w:lvlJc w:val="left"/>
      <w:lvlText w:val="%2"/>
      <w:numFmt w:val="decimal"/>
      <w:start w:val="1"/>
    </w:lvl>
  </w:abstractNum>
  <w:abstractNum w:abstractNumId="84">
    <w:nsid w:val="5FB8370B"/>
    <w:multiLevelType w:val="hybridMultilevel"/>
    <w:lvl w:ilvl="0">
      <w:lvlJc w:val="left"/>
      <w:lvlText w:val="(%1)"/>
      <w:numFmt w:val="upperLetter"/>
      <w:start w:val="4"/>
    </w:lvl>
  </w:abstractNum>
  <w:abstractNum w:abstractNumId="85">
    <w:nsid w:val="50801EE1"/>
    <w:multiLevelType w:val="hybridMultilevel"/>
    <w:lvl w:ilvl="0">
      <w:lvlJc w:val="left"/>
      <w:lvlText w:val="(%1)"/>
      <w:numFmt w:val="decimal"/>
      <w:start w:val="1"/>
    </w:lvl>
  </w:abstractNum>
  <w:abstractNum w:abstractNumId="86">
    <w:nsid w:val="488AC1A"/>
    <w:multiLevelType w:val="hybridMultilevel"/>
    <w:lvl w:ilvl="0">
      <w:lvlJc w:val="left"/>
      <w:lvlText w:val="(%1)"/>
      <w:numFmt w:val="upperLetter"/>
      <w:start w:val="5"/>
    </w:lvl>
  </w:abstractNum>
  <w:abstractNum w:abstractNumId="87">
    <w:nsid w:val="5FB8011C"/>
    <w:multiLevelType w:val="hybridMultilevel"/>
    <w:lvl w:ilvl="0">
      <w:lvlJc w:val="left"/>
      <w:lvlText w:val="(%1)"/>
      <w:numFmt w:val="upperLetter"/>
      <w:start w:val="6"/>
    </w:lvl>
  </w:abstractNum>
  <w:abstractNum w:abstractNumId="88">
    <w:nsid w:val="6AA78F7F"/>
    <w:multiLevelType w:val="hybridMultilevel"/>
    <w:lvl w:ilvl="0">
      <w:lvlJc w:val="left"/>
      <w:lvlText w:val="(%1)"/>
      <w:numFmt w:val="upperLetter"/>
      <w:start w:val="7"/>
    </w:lvl>
  </w:abstractNum>
  <w:abstractNum w:abstractNumId="89">
    <w:nsid w:val="7672BD23"/>
    <w:multiLevelType w:val="hybridMultilevel"/>
    <w:lvl w:ilvl="0">
      <w:lvlJc w:val="left"/>
      <w:lvlText w:val="(%1)"/>
      <w:numFmt w:val="upperLetter"/>
      <w:start w:val="8"/>
    </w:lvl>
  </w:abstractNum>
  <w:abstractNum w:abstractNumId="90">
    <w:nsid w:val="6FC75AF8"/>
    <w:multiLevelType w:val="hybridMultilevel"/>
    <w:lvl w:ilvl="0">
      <w:lvlJc w:val="left"/>
      <w:lvlText w:val="(%1)"/>
      <w:numFmt w:val="upperLetter"/>
      <w:start w:val="1"/>
    </w:lvl>
  </w:abstractNum>
  <w:abstractNum w:abstractNumId="91">
    <w:nsid w:val="6A5F7029"/>
    <w:multiLevelType w:val="hybridMultilevel"/>
    <w:lvl w:ilvl="0">
      <w:lvlJc w:val="left"/>
      <w:lvlText w:val="(%1)"/>
      <w:numFmt w:val="upperLetter"/>
      <w:start w:val="2"/>
    </w:lvl>
  </w:abstractNum>
  <w:abstractNum w:abstractNumId="92">
    <w:nsid w:val="7D5E18F8"/>
    <w:multiLevelType w:val="hybridMultilevel"/>
    <w:lvl w:ilvl="0">
      <w:lvlJc w:val="left"/>
      <w:lvlText w:val="(%1)"/>
      <w:numFmt w:val="upperLetter"/>
      <w:start w:val="1"/>
    </w:lvl>
  </w:abstractNum>
  <w:abstractNum w:abstractNumId="93">
    <w:nsid w:val="5F3534A4"/>
    <w:multiLevelType w:val="hybridMultilevel"/>
    <w:lvl w:ilvl="0">
      <w:lvlJc w:val="left"/>
      <w:lvlText w:val="(%1)"/>
      <w:numFmt w:val="upperLetter"/>
      <w:start w:val="2"/>
    </w:lvl>
  </w:abstractNum>
  <w:abstractNum w:abstractNumId="94">
    <w:nsid w:val="73A1821B"/>
    <w:multiLevelType w:val="hybridMultilevel"/>
    <w:lvl w:ilvl="0">
      <w:lvlJc w:val="left"/>
      <w:lvlText w:val="(%1)"/>
      <w:numFmt w:val="upperLetter"/>
      <w:start w:val="1"/>
    </w:lvl>
    <w:lvl w:ilvl="1">
      <w:lvlJc w:val="left"/>
      <w:lvlText w:val="(%2)"/>
      <w:numFmt w:val="decimal"/>
      <w:start w:val="1"/>
    </w:lvl>
  </w:abstractNum>
  <w:abstractNum w:abstractNumId="95">
    <w:nsid w:val="7DE67713"/>
    <w:multiLevelType w:val="hybridMultilevel"/>
    <w:lvl w:ilvl="0">
      <w:lvlJc w:val="left"/>
      <w:lvlText w:val="%1"/>
      <w:numFmt w:val="upperLetter"/>
      <w:start w:val="1"/>
    </w:lvl>
    <w:lvl w:ilvl="1">
      <w:lvlJc w:val="left"/>
      <w:lvlText w:val="(%2)"/>
      <w:numFmt w:val="decimal"/>
      <w:start w:val="5"/>
    </w:lvl>
  </w:abstractNum>
  <w:abstractNum w:abstractNumId="96">
    <w:nsid w:val="555C55B5"/>
    <w:multiLevelType w:val="hybridMultilevel"/>
    <w:lvl w:ilvl="0">
      <w:lvlJc w:val="left"/>
      <w:lvlText w:val="(%1)"/>
      <w:numFmt w:val="upperLetter"/>
      <w:start w:val="3"/>
    </w:lvl>
    <w:lvl w:ilvl="1">
      <w:lvlJc w:val="left"/>
      <w:lvlText w:val="(%2)"/>
      <w:numFmt w:val="decimal"/>
      <w:start w:val="1"/>
    </w:lvl>
  </w:abstractNum>
  <w:abstractNum w:abstractNumId="97">
    <w:nsid w:val="3FA62ACA"/>
    <w:multiLevelType w:val="hybridMultilevel"/>
    <w:lvl w:ilvl="0">
      <w:lvlJc w:val="left"/>
      <w:lvlText w:val="1"/>
      <w:numFmt w:val="bullet"/>
      <w:start w:val="1"/>
    </w:lvl>
  </w:abstractNum>
  <w:abstractNum w:abstractNumId="98">
    <w:nsid w:val="14FCE74E"/>
    <w:multiLevelType w:val="hybridMultilevel"/>
    <w:lvl w:ilvl="0">
      <w:lvlJc w:val="left"/>
      <w:lvlText w:val="●"/>
      <w:numFmt w:val="bullet"/>
      <w:start w:val="1"/>
    </w:lvl>
    <w:lvl w:ilvl="1">
      <w:lvlJc w:val="left"/>
      <w:lvlText w:val="○"/>
      <w:numFmt w:val="bullet"/>
      <w:start w:val="1"/>
    </w:lvl>
  </w:abstractNum>
  <w:abstractNum w:abstractNumId="99">
    <w:nsid w:val="6A3DD3E8"/>
    <w:multiLevelType w:val="hybridMultilevel"/>
    <w:lvl w:ilvl="0">
      <w:lvlJc w:val="left"/>
      <w:lvlText w:val="●"/>
      <w:numFmt w:val="bullet"/>
      <w:start w:val="1"/>
    </w:lvl>
  </w:abstractNum>
  <w:abstractNum w:abstractNumId="100">
    <w:nsid w:val="71C91298"/>
    <w:multiLevelType w:val="hybridMultilevel"/>
    <w:lvl w:ilvl="0">
      <w:lvlJc w:val="left"/>
      <w:lvlText w:val="(%1)"/>
      <w:numFmt w:val="decimal"/>
      <w:start w:val="1"/>
    </w:lvl>
    <w:lvl w:ilvl="1">
      <w:lvlJc w:val="left"/>
      <w:lvlText w:val="●"/>
      <w:numFmt w:val="bullet"/>
      <w:start w:val="1"/>
    </w:lvl>
  </w:abstractNum>
  <w:abstractNum w:abstractNumId="101">
    <w:nsid w:val="9DAF632"/>
    <w:multiLevelType w:val="hybridMultilevel"/>
    <w:lvl w:ilvl="0">
      <w:lvlJc w:val="left"/>
      <w:lvlText w:val="(%1)"/>
      <w:numFmt w:val="decimal"/>
      <w:start w:val="2"/>
    </w:lvl>
  </w:abstractNum>
  <w:abstractNum w:abstractNumId="102">
    <w:nsid w:val="53299938"/>
    <w:multiLevelType w:val="hybridMultilevel"/>
    <w:lvl w:ilvl="0">
      <w:lvlJc w:val="left"/>
      <w:lvlText w:val="%1."/>
      <w:numFmt w:val="decimal"/>
      <w:start w:val="1"/>
    </w:lvl>
    <w:lvl w:ilvl="1">
      <w:lvlJc w:val="left"/>
      <w:lvlText w:val="(%2)"/>
      <w:numFmt w:val="lowerLetter"/>
      <w:start w:val="1"/>
    </w:lvl>
  </w:abstractNum>
  <w:abstractNum w:abstractNumId="103">
    <w:nsid w:val="1FBFE8E0"/>
    <w:multiLevelType w:val="hybridMultilevel"/>
    <w:lvl w:ilvl="0">
      <w:lvlJc w:val="left"/>
      <w:lvlText w:val="%1."/>
      <w:numFmt w:val="decimal"/>
      <w:start w:val="1"/>
    </w:lvl>
    <w:lvl w:ilvl="1">
      <w:lvlJc w:val="left"/>
      <w:lvlText w:val="(%2)"/>
      <w:numFmt w:val="lowerLetter"/>
      <w:start w:val="1"/>
    </w:lvl>
  </w:abstractNum>
  <w:abstractNum w:abstractNumId="104">
    <w:nsid w:val="5092CA79"/>
    <w:multiLevelType w:val="hybridMultilevel"/>
    <w:lvl w:ilvl="0">
      <w:lvlJc w:val="left"/>
      <w:lvlText w:val="(%1)"/>
      <w:numFmt w:val="decimal"/>
      <w:start w:val="1"/>
    </w:lvl>
  </w:abstractNum>
  <w:abstractNum w:abstractNumId="105">
    <w:nsid w:val="1D545C4D"/>
    <w:multiLevelType w:val="hybridMultilevel"/>
    <w:lvl w:ilvl="0">
      <w:lvlJc w:val="left"/>
      <w:lvlText w:val="(%1)"/>
      <w:numFmt w:val="decimal"/>
      <w:start w:val="1"/>
    </w:lvl>
  </w:abstractNum>
  <w:abstractNum w:abstractNumId="106">
    <w:nsid w:val="59ADEA3D"/>
    <w:multiLevelType w:val="hybridMultilevel"/>
    <w:lvl w:ilvl="0">
      <w:lvlJc w:val="left"/>
      <w:lvlText w:val="●"/>
      <w:numFmt w:val="bullet"/>
      <w:start w:val="1"/>
    </w:lvl>
  </w:abstractNum>
  <w:abstractNum w:abstractNumId="107">
    <w:nsid w:val="288F1A3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jpe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160" Type="http://schemas.openxmlformats.org/officeDocument/2006/relationships/hyperlink" Target="https://www.sec.gov/Archives/edgar/data/1509470/000113379611000069/k216228_ex99-2a.htm" TargetMode="External"/><Relationship Id="rId161" Type="http://schemas.openxmlformats.org/officeDocument/2006/relationships/hyperlink" Target="https://www.sec.gov/Archives/edgar/data/1509470/000114420411033389/v224342_ex3-1.htm" TargetMode="External"/><Relationship Id="rId162" Type="http://schemas.openxmlformats.org/officeDocument/2006/relationships/hyperlink" Target="https://www.sec.gov/Archives/edgar/data/1509470/000114420419037014/tv526412_ex3-1.htm" TargetMode="External"/><Relationship Id="rId163" Type="http://schemas.openxmlformats.org/officeDocument/2006/relationships/hyperlink" Target="https://www.sec.gov/Archives/edgar/data/1509470/000110465920073783/tm2022743d1_ex3-1.htm" TargetMode="External"/><Relationship Id="rId164" Type="http://schemas.openxmlformats.org/officeDocument/2006/relationships/hyperlink" Target="https://www.sec.gov/Archives/edgar/data/1509470/000110465920073783/tm2022743d1_ex3-2.htm" TargetMode="External"/><Relationship Id="rId165" Type="http://schemas.openxmlformats.org/officeDocument/2006/relationships/hyperlink" Target="https://www.sec.gov/Archives/edgar/data/1509470/000114420411053817/v235130_ex99-d1.htm" TargetMode="External"/><Relationship Id="rId166" Type="http://schemas.openxmlformats.org/officeDocument/2006/relationships/hyperlink" Target="https://www.sec.gov/Archives/edgar/data/1509470/000110465920080689/tm2023838d1_ex-d3.htm" TargetMode="External"/><Relationship Id="rId167" Type="http://schemas.openxmlformats.org/officeDocument/2006/relationships/hyperlink" Target="https://www.sec.gov/Archives/edgar/data/1509470/000110465921150924/tm2135610d1_ex4-2.htm" TargetMode="External"/><Relationship Id="rId168" Type="http://schemas.openxmlformats.org/officeDocument/2006/relationships/hyperlink" Target="https://www.sec.gov/Archives/edgar/data/1509470/000110465921150924/tm2135610d1_ex4-2.htm#S1" TargetMode="External"/><Relationship Id="rId169" Type="http://schemas.openxmlformats.org/officeDocument/2006/relationships/hyperlink" Target="https://www.sec.gov/Archives/edgar/data/1509470/000162828022005867/surocapital-form10xkex45.htm" TargetMode="External"/><Relationship Id="rId170" Type="http://schemas.openxmlformats.org/officeDocument/2006/relationships/hyperlink" Target="https://www.sec.gov/Archives/edgar/data/1509470/000113379611000069/k216228_ex99-2e.htm" TargetMode="External"/><Relationship Id="rId171" Type="http://schemas.openxmlformats.org/officeDocument/2006/relationships/hyperlink" Target="https://www.sec.gov/Archives/edgar/data/1509470/000110465920080597/tm2023817d1_ex4-7.htm" TargetMode="External"/><Relationship Id="rId172" Type="http://schemas.openxmlformats.org/officeDocument/2006/relationships/hyperlink" Target="https://www.sec.gov/Archives/edgar/data/1509470/000110465920080597/tm2023817d1_ex4-8.htm" TargetMode="External"/><Relationship Id="rId173" Type="http://schemas.openxmlformats.org/officeDocument/2006/relationships/hyperlink" Target="https://www.sec.gov/Archives/edgar/data/1509470/000110465920080597/tm2023817d1_ex4-9.htm" TargetMode="External"/><Relationship Id="rId174" Type="http://schemas.openxmlformats.org/officeDocument/2006/relationships/hyperlink" Target="https://www.sec.gov/Archives/edgar/data/1509470/000110465920080597/tm2023817d1_ex4-10.htm" TargetMode="External"/><Relationship Id="rId175" Type="http://schemas.openxmlformats.org/officeDocument/2006/relationships/hyperlink" Target="https://www.sec.gov/Archives/edgar/data/1509470/000113379611000099/v217933_ex99-2j.htm" TargetMode="External"/><Relationship Id="rId176" Type="http://schemas.openxmlformats.org/officeDocument/2006/relationships/hyperlink" Target="https://www.sec.gov/Archives/edgar/data/1509470/000110465922113258/tm2229366d1_ex10-1.htm" TargetMode="External"/><Relationship Id="rId177" Type="http://schemas.openxmlformats.org/officeDocument/2006/relationships/hyperlink" Target="https://www.sec.gov/Archives/edgar/data/1509470/000110465922113258/tm2229366d1_ex10-2.htm" TargetMode="External"/><Relationship Id="rId178" Type="http://schemas.openxmlformats.org/officeDocument/2006/relationships/hyperlink" Target="https://www.sec.gov/Archives/edgar/data/1509470/000110465923047475/tm2313292d1_ex10-1.htm" TargetMode="External"/><Relationship Id="rId179" Type="http://schemas.openxmlformats.org/officeDocument/2006/relationships/hyperlink" Target="https://www.sec.gov/Archives/edgar/data/1509470/000113379611000069/k216228_ex99-2k2.htm" TargetMode="External"/><Relationship Id="rId180" Type="http://schemas.openxmlformats.org/officeDocument/2006/relationships/hyperlink" Target="https://www.sec.gov/Archives/edgar/data/1509470/000162828021009320/ex101markklein-secondamend.htm" TargetMode="External"/><Relationship Id="rId181" Type="http://schemas.openxmlformats.org/officeDocument/2006/relationships/hyperlink" Target="https://www.sec.gov/Archives/edgar/data/1509470/000162828021009320/ex102allisongreen-secondam.htm" TargetMode="External"/><Relationship Id="rId182" Type="http://schemas.openxmlformats.org/officeDocument/2006/relationships/hyperlink" Target="https://www.sec.gov/Archives/edgar/data/1509470/000162828022005867/a1010greensecondamendedand.htm" TargetMode="External"/><Relationship Id="rId183" Type="http://schemas.openxmlformats.org/officeDocument/2006/relationships/hyperlink" Target="https://www.sec.gov/Archives/edgar/data/1509470/000110465920089216/tm2026282d1_ex10-1.htm" TargetMode="External"/><Relationship Id="rId184" Type="http://schemas.openxmlformats.org/officeDocument/2006/relationships/hyperlink" Target="https://www.sec.gov/Archives/edgar/data/1509470/000110465920107576/tm2031571d1_ex10-2.htm" TargetMode="External"/><Relationship Id="rId185" Type="http://schemas.openxmlformats.org/officeDocument/2006/relationships/hyperlink" Target="https://www.sec.gov/Archives/edgar/data/1509470/000149315223007850/ex14-1.htm" TargetMode="External"/><Relationship Id="rId186" Type="http://schemas.openxmlformats.org/officeDocument/2006/relationships/hyperlink" Target="https://www.sec.gov/Archives/edgar/data/1509470/000150947020000003/ssss-12312019x10kex142.htm" TargetMode="External"/><Relationship Id="rId187" Type="http://schemas.openxmlformats.org/officeDocument/2006/relationships/hyperlink" Target="https://www.sec.gov/Archives/edgar/data/1509470/000110465920080689/tm2023838d1_ex-n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2024-03-14T08:37:35Z</dcterms:created>
  <dcterms:modified xsi:type="dcterms:W3CDTF">2024-03-14T08:37:35Z</dcterms:modified>
</cp:coreProperties>
</file>