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0-app.htm"/>
      <w:bookmarkStart w:id="1" w:name="ksform40app"/>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812-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EXPEDITED REVIEW REQUESTED UNDER 17 CFR 270.0-5(d)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005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Magnetar financial llc, magnetar asset management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Capital Partners LP,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810"/>
        <w:gridCol w:w="60"/>
        <w:gridCol w:w="3035"/>
      </w:tblGrid>
      <w:tr>
        <w:trPr/>
        <w:tc>
          <w:tcPr>
            <w:tcW w:w="5905" w:type="dxa"/>
            <w:gridSpan w:val="3"/>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tc>
      </w:tr>
      <w:tr>
        <w:trPr/>
        <w:tc>
          <w:tcPr>
            <w:tcW w:w="28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agreen@neostellaradvisors.com</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mklein@neostellaradvisors.com</w:t>
            </w:r>
            <w:r>
              <w:rPr>
                <w:rFonts w:ascii="Times New Roman;Times;Serif" w:hAnsi="Times New Roman;Times;Serif"/>
                <w:b w:val="false"/>
                <w:i w:val="false"/>
                <w:caps w:val="false"/>
                <w:smallCaps w:val="false"/>
                <w:sz w:val="20"/>
              </w:rPr>
              <w:t xml:space="preserve">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Karl Wachter,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Butler,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Financial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karl.wachter@magnetar.com</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mike.butler@magnetar.com</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jc w:val="center"/>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pPr>
      <w:r>
        <w:rPr/>
        <w:t> </w:t>
      </w:r>
    </w:p>
    <w:tbl>
      <w:tblPr>
        <w:tblW w:w="5890" w:type="dxa"/>
        <w:jc w:val="left"/>
        <w:tblInd w:w="0" w:type="dxa"/>
        <w:tblLayout w:type="fixed"/>
        <w:tblCellMar>
          <w:top w:w="0" w:type="dxa"/>
          <w:left w:w="0" w:type="dxa"/>
          <w:bottom w:w="0" w:type="dxa"/>
          <w:right w:w="0" w:type="dxa"/>
        </w:tblCellMar>
      </w:tblPr>
      <w:tblGrid>
        <w:gridCol w:w="3950"/>
        <w:gridCol w:w="60"/>
        <w:gridCol w:w="1880"/>
      </w:tblGrid>
      <w:tr>
        <w:trPr/>
        <w:tc>
          <w:tcPr>
            <w:tcW w:w="5890" w:type="dxa"/>
            <w:gridSpan w:val="3"/>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tc>
      </w:tr>
      <w:tr>
        <w:trPr/>
        <w:tc>
          <w:tcPr>
            <w:tcW w:w="39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anne.oberndorf@eversheds-sutherland.com</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payam.siadatpour@eversheds-sutherland.com</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Clifford R. Cone,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Sidley Austin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 Seventh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839-5300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cliff.cone@sidley.com</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OF AMERICA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7680"/>
        <w:gridCol w:w="80"/>
        <w:gridCol w:w="2445"/>
      </w:tblGrid>
      <w:tr>
        <w:trPr/>
        <w:tc>
          <w:tcPr>
            <w:tcW w:w="7680"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MATTER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Magnetar financial llc, magnetar asset management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 Magnetar Capital Fund II LP, Magnetar Capital Master Fund, Ltd, Magnetar Capital Partners LP,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1603 Orrington Avenue, 13th Floor</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Evanston, IL 60201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812-</w:t>
            </w:r>
          </w:p>
        </w:tc>
        <w:tc>
          <w:tcPr>
            <w:tcW w:w="80" w:type="dxa"/>
            <w:tcBorders/>
            <w:tcMar>
              <w:top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45"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SUMMARY OF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 (the “</w:t>
            </w:r>
            <w:r>
              <w:rPr>
                <w:rFonts w:ascii="Times New Roman;Times;Serif" w:hAnsi="Times New Roman;Times;Serif"/>
                <w:b/>
                <w:i/>
                <w:caps w:val="false"/>
                <w:smallCaps w:val="false"/>
                <w:sz w:val="20"/>
              </w:rPr>
              <w:t>Existing Regulated Fund</w:t>
            </w:r>
            <w:r>
              <w:rPr>
                <w:rFonts w:ascii="Times New Roman;Times;Serif" w:hAnsi="Times New Roman;Times;Serif"/>
                <w:b w:val="false"/>
                <w:i w:val="false"/>
                <w:caps w:val="false"/>
                <w:smallCaps w:val="false"/>
                <w:sz w:val="20"/>
              </w:rPr>
              <w:t>”), a Maryland corporation that operates as an externally managed, closed-end non-diversified management investment company that has elected to be regulated as a business development company (“</w:t>
            </w:r>
            <w:r>
              <w:rPr>
                <w:rFonts w:ascii="Times New Roman;Times;Serif" w:hAnsi="Times New Roman;Times;Serif"/>
                <w:b/>
                <w:i/>
                <w:caps w:val="false"/>
                <w:smallCaps w:val="false"/>
                <w:sz w:val="20"/>
              </w:rPr>
              <w:t>BDC</w:t>
            </w:r>
            <w:r>
              <w:rPr>
                <w:rFonts w:ascii="Times New Roman;Times;Serif" w:hAnsi="Times New Roman;Times;Serif"/>
                <w:b w:val="false"/>
                <w:i w:val="false"/>
                <w:caps w:val="false"/>
                <w:smallCaps w:val="false"/>
                <w:sz w:val="20"/>
              </w:rPr>
              <w:t>”) under the 1940 Act;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(the “</w:t>
            </w:r>
            <w:r>
              <w:rPr>
                <w:rFonts w:ascii="Times New Roman;Times;Serif" w:hAnsi="Times New Roman;Times;Serif"/>
                <w:b/>
                <w:i/>
                <w:caps w:val="false"/>
                <w:smallCaps w:val="false"/>
                <w:sz w:val="20"/>
              </w:rPr>
              <w:t>BDC Adviser</w:t>
            </w:r>
            <w:r>
              <w:rPr>
                <w:rFonts w:ascii="Times New Roman;Times;Serif" w:hAnsi="Times New Roman;Times;Serif"/>
                <w:b w:val="false"/>
                <w:i w:val="false"/>
                <w:caps w:val="false"/>
                <w:smallCaps w:val="false"/>
                <w:sz w:val="20"/>
              </w:rPr>
              <w:t>”), a Delaware limited liability company that is an investment adviser registered under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 and that serves as the investment adviser to the Existing Regulated Fund, on behalf of itself and its successors;</w:t>
            </w:r>
            <w:r>
              <w:rPr>
                <w:rFonts w:ascii="Times New Roman;Times;Serif" w:hAnsi="Times New Roman;Times;Serif"/>
                <w:b w:val="false"/>
                <w:i w:val="false"/>
                <w:caps w:val="false"/>
                <w:smallCaps w:val="false"/>
                <w:position w:val="7"/>
                <w:sz w:val="16"/>
                <w:sz w:val="20"/>
              </w:rPr>
              <w:t>2</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LLC (“</w:t>
            </w:r>
            <w:r>
              <w:rPr>
                <w:rFonts w:ascii="Times New Roman;Times;Serif" w:hAnsi="Times New Roman;Times;Serif"/>
                <w:b/>
                <w:i/>
                <w:caps w:val="false"/>
                <w:smallCaps w:val="false"/>
                <w:sz w:val="20"/>
              </w:rPr>
              <w:t>Magnetar Financial</w:t>
            </w:r>
            <w:r>
              <w:rPr>
                <w:rFonts w:ascii="Times New Roman;Times;Serif" w:hAnsi="Times New Roman;Times;Serif"/>
                <w:b w:val="false"/>
                <w:i w:val="false"/>
                <w:caps w:val="false"/>
                <w:smallCaps w:val="false"/>
                <w:sz w:val="20"/>
              </w:rPr>
              <w:t>”), a Delaware limited liability company that is an investment adviser registered under the Advisers Act, and that serves as the investment adviser to certain Existing Affiliated Funds (as defined below);</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Financial (UK) LLP (“</w:t>
            </w:r>
            <w:r>
              <w:rPr>
                <w:rFonts w:ascii="Times New Roman;Times;Serif" w:hAnsi="Times New Roman;Times;Serif"/>
                <w:b/>
                <w:i/>
                <w:caps w:val="false"/>
                <w:smallCaps w:val="false"/>
                <w:sz w:val="20"/>
              </w:rPr>
              <w:t>Magnetar UK</w:t>
            </w:r>
            <w:r>
              <w:rPr>
                <w:rFonts w:ascii="Times New Roman;Times;Serif" w:hAnsi="Times New Roman;Times;Serif"/>
                <w:b w:val="false"/>
                <w:i w:val="false"/>
                <w:caps w:val="false"/>
                <w:smallCaps w:val="false"/>
                <w:sz w:val="20"/>
              </w:rPr>
              <w:t>”), a United Kingdom limited liability partnership and the investment adviser to certain Existing Affiliated Funds;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Asset Management LLC (“</w:t>
            </w:r>
            <w:r>
              <w:rPr>
                <w:rFonts w:ascii="Times New Roman;Times;Serif" w:hAnsi="Times New Roman;Times;Serif"/>
                <w:b/>
                <w:i/>
                <w:caps w:val="false"/>
                <w:smallCaps w:val="false"/>
                <w:sz w:val="20"/>
              </w:rPr>
              <w:t>Magnetar Asset Management</w:t>
            </w:r>
            <w:r>
              <w:rPr>
                <w:rFonts w:ascii="Times New Roman;Times;Serif" w:hAnsi="Times New Roman;Times;Serif"/>
                <w:b w:val="false"/>
                <w:i w:val="false"/>
                <w:caps w:val="false"/>
                <w:smallCaps w:val="false"/>
                <w:sz w:val="20"/>
              </w:rPr>
              <w:t>”), a Delaware limited liability company that is an investment adviser registered under the Advisers Act (and together with the BDC Adviser, Magnetar UK and Magnetar Financial, the “</w:t>
            </w:r>
            <w:r>
              <w:rPr>
                <w:rFonts w:ascii="Times New Roman;Times;Serif" w:hAnsi="Times New Roman;Times;Serif"/>
                <w:b/>
                <w:i/>
                <w:caps w:val="false"/>
                <w:smallCaps w:val="false"/>
                <w:sz w:val="20"/>
              </w:rPr>
              <w:t>Existing Advisers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vehicles (as identified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caps w:val="false"/>
                <w:smallCaps w:val="false"/>
                <w:sz w:val="20"/>
              </w:rPr>
              <w:t>Existing Wholly-Owned Subsidiaries</w:t>
            </w:r>
            <w:r>
              <w:rPr>
                <w:rFonts w:ascii="Times New Roman;Times;Serif" w:hAnsi="Times New Roman;Times;Serif"/>
                <w:b w:val="false"/>
                <w:i w:val="false"/>
                <w:caps w:val="false"/>
                <w:smallCaps w:val="false"/>
                <w:sz w:val="20"/>
              </w:rPr>
              <w:t>”), each of which is a separate and distinct legal entity and each of which is a Wholly-Owned Investment Sub (as defined below) of the Existing Regulated Fund;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investment vehicles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sz w:val="20"/>
              </w:rPr>
              <w:t>Existing Affiliated Funds</w:t>
            </w:r>
            <w:r>
              <w:rPr>
                <w:rFonts w:ascii="Times New Roman;Times;Serif" w:hAnsi="Times New Roman;Times;Serif"/>
                <w:b w:val="false"/>
                <w:i w:val="false"/>
                <w:caps w:val="false"/>
                <w:smallCaps w:val="false"/>
                <w:sz w:val="20"/>
              </w:rPr>
              <w:t>” and, together with the Existing Regulated Fund, the Existing Advisers, and the Existing Wholly-Owned Subsidiaries, the “</w:t>
            </w:r>
            <w:r>
              <w:rPr>
                <w:rFonts w:ascii="Times New Roman;Times;Serif" w:hAnsi="Times New Roman;Times;Serif"/>
                <w:b/>
                <w:i/>
                <w:caps w:val="false"/>
                <w:smallCaps w:val="false"/>
                <w:sz w:val="20"/>
              </w:rPr>
              <w:t>Applicants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section and rule references herein are to the 1940 Act and rules promulgated thereunder.</w:t>
            </w:r>
          </w:p>
        </w:tc>
      </w:tr>
      <w:tr>
        <w:trPr/>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successor</w:t>
            </w:r>
            <w:r>
              <w:rPr>
                <w:rFonts w:ascii="Times New Roman;Times;Serif" w:hAnsi="Times New Roman;Times;Serif"/>
                <w:b w:val="false"/>
                <w:i w:val="false"/>
                <w:caps w:val="false"/>
                <w:smallCaps w:val="false"/>
                <w:sz w:val="20"/>
              </w:rPr>
              <w:t>” means an entity that results from a reorganization into another jurisdiction or change in the type of business organization.</w:t>
            </w:r>
          </w:p>
        </w:tc>
      </w:tr>
      <w:tr>
        <w:trPr/>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entities that currently intend to rely upon the requested Order have been named as Applicants. Any other existing or future entity that subsequently relies on the Order will comply with the terms and conditions of the Application.</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 xml:space="preserve">7 </w:t>
      </w:r>
      <w:r>
        <w:rPr>
          <w:rFonts w:ascii="Times New Roman;Times;Serif" w:hAnsi="Times New Roman;Times;Serif"/>
          <w:b w:val="false"/>
          <w:i w:val="false"/>
          <w:caps w:val="false"/>
          <w:smallCaps w:val="false"/>
          <w:sz w:val="20"/>
        </w:rPr>
        <w:t>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means the Existing Regulated Fund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means the Existing Advisers, and any other investment adviser controlling, controlled by, or under common control with an Existing Adviser. The term “Adviser” also includes any internally-managed Regulated Fund.</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GENERAL DESCRIPTION OF THE APPLICANTS</w:t>
      </w:r>
    </w:p>
    <w:p>
      <w:pPr>
        <w:pStyle w:val="TextBody"/>
        <w:bidi w:val="0"/>
        <w:spacing w:before="0" w:after="0"/>
        <w:ind w:left="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Regulated Fund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sz w:val="20"/>
        </w:rPr>
        <w:t>Existing Regulated Fund Board</w:t>
      </w:r>
      <w:r>
        <w:rPr>
          <w:rFonts w:ascii="Times New Roman;Times;Serif" w:hAnsi="Times New Roman;Times;Serif"/>
          <w:b w:val="false"/>
          <w:i w:val="false"/>
          <w:caps w:val="false"/>
          <w:smallCaps w:val="false"/>
          <w:sz w:val="20"/>
        </w:rPr>
        <w:t>” and together with any Future Regulated Fund’s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The Existing Regulated Fund Board consists of seven members, of which five members are not “interested persons” of the Existing Regulated Fund within the meaning of Section 2(a)(19) of the 1940 Act.</w:t>
      </w:r>
      <w:r>
        <w:rPr>
          <w:rFonts w:ascii="Times New Roman;Times;Serif" w:hAnsi="Times New Roman;Times;Serif"/>
          <w:b w:val="false"/>
          <w:i w:val="false"/>
          <w:caps w:val="false"/>
          <w:smallCaps w:val="false"/>
          <w:position w:val="7"/>
          <w:sz w:val="16"/>
          <w:sz w:val="20"/>
        </w:rPr>
        <w:t>9</w:t>
      </w:r>
    </w:p>
    <w:p>
      <w:pPr>
        <w:pStyle w:val="TextBody"/>
        <w:bidi w:val="0"/>
        <w:spacing w:before="0" w:after="283"/>
        <w:jc w:val="left"/>
        <w:rPr/>
      </w:pPr>
      <w:r>
        <w:rPr/>
        <w:t> </w:t>
      </w:r>
    </w:p>
    <w:tbl>
      <w:tblPr>
        <w:tblW w:w="2688" w:type="dxa"/>
        <w:jc w:val="left"/>
        <w:tblInd w:w="0" w:type="dxa"/>
        <w:tblLayout w:type="fixed"/>
        <w:tblCellMar>
          <w:top w:w="0" w:type="dxa"/>
          <w:left w:w="0" w:type="dxa"/>
          <w:bottom w:w="0" w:type="dxa"/>
          <w:right w:w="0" w:type="dxa"/>
        </w:tblCellMar>
      </w:tblPr>
      <w:tblGrid>
        <w:gridCol w:w="38"/>
        <w:gridCol w:w="20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Affiliated Funds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Affiliated Funds are investment funds, each of whose investment adviser is an Existing Adviser and each of which would be an investment company but for Sections 3(c)(1), 3(c)(5) or 3(c)(7) of the 1940 Act.</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A list of the Existing Affiliated Funds and their respective investment adviser is included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36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20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Existing Advisers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BDC Adviser serves as the investment adviser of the Existing Regulated Fund and, as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an Existing Adviser serves as investment adviser to each of the Existing Affiliated Funds, and an Existing Adviser or another Adviser will serve as the investment adviser to any Future Regulated Fund. On the date of this Application, the clients of the Existing Advisers that intend to rely on this Application are the Existing Regulated Fund and the Existing Affiliated Funds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BDC Adviser is a Delaware limited liability company and is registered as an investment adviser with the Commission under the Advisers Act. 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provides administrative services to the Existing Regulated Fund under an administrative services agreement. The BDC Adviser is jointly owned by Magnetar Holdings LLC (“</w:t>
      </w:r>
      <w:r>
        <w:rPr>
          <w:rFonts w:ascii="Times New Roman;Times;Serif" w:hAnsi="Times New Roman;Times;Serif"/>
          <w:b/>
          <w:i/>
          <w:caps w:val="false"/>
          <w:smallCaps w:val="false"/>
          <w:sz w:val="20"/>
        </w:rPr>
        <w:t>Magnetar Holdings</w:t>
      </w:r>
      <w:r>
        <w:rPr>
          <w:rFonts w:ascii="Times New Roman;Times;Serif" w:hAnsi="Times New Roman;Times;Serif"/>
          <w:b w:val="false"/>
          <w:i w:val="false"/>
          <w:caps w:val="false"/>
          <w:smallCaps w:val="false"/>
          <w:sz w:val="20"/>
        </w:rPr>
        <w:t>”) and by a vehicle that is in turn owned and controlled by certain officers of the Existing Regulated Fund. Magnetar Holdings is owned and controlled by Magnetar Capital Partners LP, which is in turn an affiliated entity of Magnetar Financial, Magnetar UK and Magnetar Asset Management.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9</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each Future Regulated Fund will consist of a majority of members who are not “interested persons” of such Future Regulated Fund within the meaning of Section 2(a)(19) of the 1940 Act.</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10</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an Existing Affiliated Fund may register as an investment company under the Act and, if so registered, will be considered a Regulated Fund for purposes of this application.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Asset Management is a Delaware limited liability company and is registered as an investment adviser with the Commission under the Advisers Act. Magnetar Financial is a Delaware limited liability company and is registered as an investment adviser with the Commission under the Advisers Act. Magnetar UK is a United Kingdom limited liability partnership and is registered with the Financial Conduct Authority. The principal place of business of Magnetar Asset Management and Magnetar Financial is 1603 Orrington Avenue, 13th Floor, Evanston, IL 60201. The principal place of business of Magnetar UK is 25 Great Pulteney Street, 3rd Floor, London W1F 9LT, United Kingdom. Either Magnetar UK or Magnetar Financial serves as the investment adviser to each of the Existing Affiliated Funds.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management business that Magnetar Financial, Magnetar UK and Magnetar Asset Management 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an investment advisory agreement with the Existing Regulated Fund and each Existing Affiliated Fund, as applicable, the Existing Advisers will, among other things, manage the investment portfolio, direct purchases and sales of portfolio securities and report thereon to the Existing Regulated Fund’s and each Existing Affiliated Fund’s officers and directors/trustees/manager regularly.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ORDER REQUESTED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Need for Relief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The Existing Advisers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an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 Board can also, consistent with applicable fund documents, facilitate this opportunity by delegating the authority to veto the selection of such person to a committee of the Board.</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15</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an individual Participant that are incurred solely by the Participant due to its unique circumstances (such as legal and compliance expenses) will be borne by such Participant.</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16</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are not requesting and the Commission is not providing any relief for transaction fees received in connection with any Co-Investment Transaction.</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17</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Affiliated Entities may adopt shared Co-Investment Policies.</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19</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Board Oversight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18</w:t>
            </w:r>
          </w:p>
        </w:tc>
        <w:tc>
          <w:tcPr>
            <w:tcW w:w="99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19</w:t>
            </w:r>
          </w:p>
        </w:tc>
        <w:tc>
          <w:tcPr>
            <w:tcW w:w="99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tc>
      </w:tr>
      <w:tr>
        <w:trPr/>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20</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tc>
      </w:tr>
    </w:tbl>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STATEMENT IN SUPPORT OF RELIEF REQUESTED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Benefits to the Regulated Funds and their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Shareholder Protections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PRECEDENTS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FS Credit Opportunities Corp.,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812-15706), Release No. IC-35520 (April 3, 2025) (notice), Release No. IC-35561 (April 29, 2025) (order); Sixth Street Specialty Lending,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812-15729), Release No. IC-35531 (April 10, 2025) (notice), Release No. IC-35570 (May 6, 2025) (order); Blue Owl Capital Corporation,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812-15715), Release No. IC-35530 (April 9, 2025) (notice), Release No. IC-35573 (May 6, 2025) (order);  BlackRock Growth Equity Fund LP,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(File No. 812-15712), Release No. IC-35525 (April 8, 2025) (notice), Release No. IC-35572 (May 6, 2025) (order).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PROCEDURAL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Communications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Allison Green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agreen@neostellaradvisors.com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mklein@neostellaradvisors.com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Karl Wachter,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Evanston, IL 60201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(847) 905-4400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mike.butler@magnetar.com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payam.siadatpour@eversheds-sutherland.com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(202) 383-0100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Clifford R. Cone,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Sidley Austin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787 Seventh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839-5300</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cliff.cone@sidley.com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Authorizations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 Applicants hereby state that 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for a request for expedited review of this Application, marked copies of two recent applications seeking the same relief as Applicants that are substantially identical as required by Rule 0-5(e) of the 1940 Act are attached as Exhibit C.</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have caused this Application to be duly signed on their behalf on the 3rd day of August, 2026.</w:t>
      </w:r>
    </w:p>
    <w:p>
      <w:pPr>
        <w:pStyle w:val="TextBody"/>
        <w:bidi w:val="0"/>
        <w:spacing w:before="0" w:after="0"/>
        <w:ind w:left="0" w:right="0" w:firstLine="36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45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President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 CAPITAL LENDING, LLC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SPORTS, LLC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SRCI ADVISORS, LLC</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AE HOLDINGS, INC.</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859" w:type="dxa"/>
        <w:jc w:val="left"/>
        <w:tblInd w:w="0" w:type="dxa"/>
        <w:tblLayout w:type="fixed"/>
        <w:tblCellMar>
          <w:top w:w="0" w:type="dxa"/>
          <w:left w:w="0" w:type="dxa"/>
          <w:bottom w:w="0" w:type="dxa"/>
          <w:right w:w="0" w:type="dxa"/>
        </w:tblCellMar>
      </w:tblPr>
      <w:tblGrid>
        <w:gridCol w:w="1017"/>
        <w:gridCol w:w="2767"/>
        <w:gridCol w:w="75"/>
      </w:tblGrid>
      <w:tr>
        <w:trPr/>
        <w:tc>
          <w:tcPr>
            <w:tcW w:w="378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AV HOLDINGS, INC.</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caps w:val="false"/>
                <w:smallCaps w:val="false"/>
              </w:rPr>
            </w:pPr>
            <w:r>
              <w:rPr>
                <w:caps w:val="false"/>
                <w:smallCaps w:val="false"/>
              </w:rPr>
              <w:t> </w:t>
            </w:r>
          </w:p>
        </w:tc>
        <w:tc>
          <w:tcPr>
            <w:tcW w:w="27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SW HOLDINGS, INC.</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caps w:val="false"/>
                <w:smallCaps w:val="false"/>
              </w:rPr>
            </w:pPr>
            <w:r>
              <w:rPr>
                <w:caps w:val="false"/>
                <w:smallCaps w:val="false"/>
              </w:rPr>
              <w:t> </w:t>
            </w:r>
          </w:p>
        </w:tc>
        <w:tc>
          <w:tcPr>
            <w:tcW w:w="27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SVDS HOLDINGS, INC.</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caps w:val="false"/>
                <w:smallCaps w:val="false"/>
              </w:rPr>
            </w:pPr>
            <w:r>
              <w:rPr>
                <w:caps w:val="false"/>
                <w:smallCaps w:val="false"/>
              </w:rPr>
              <w:t> </w:t>
            </w:r>
          </w:p>
        </w:tc>
        <w:tc>
          <w:tcPr>
            <w:tcW w:w="27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Magnetar financial llc</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caps w:val="false"/>
                <w:smallCaps w:val="false"/>
              </w:rPr>
            </w:pPr>
            <w:r>
              <w:rPr>
                <w:caps w:val="false"/>
                <w:smallCaps w:val="false"/>
              </w:rPr>
              <w:t> </w:t>
            </w:r>
          </w:p>
        </w:tc>
        <w:tc>
          <w:tcPr>
            <w:tcW w:w="27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caps w:val="false"/>
                <w:smallCaps w:val="false"/>
              </w:rPr>
            </w:pPr>
            <w:r>
              <w:rPr>
                <w:caps w:val="false"/>
                <w:smallCaps w:val="false"/>
              </w:rPr>
              <w:t> </w:t>
            </w:r>
          </w:p>
        </w:tc>
        <w:tc>
          <w:tcPr>
            <w:tcW w:w="27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magnetar asset management llc</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caps w:val="false"/>
                <w:smallCaps w:val="false"/>
              </w:rPr>
            </w:pPr>
            <w:r>
              <w:rPr>
                <w:caps w:val="false"/>
                <w:smallCaps w:val="false"/>
              </w:rPr>
              <w:t> </w:t>
            </w:r>
          </w:p>
        </w:tc>
        <w:tc>
          <w:tcPr>
            <w:tcW w:w="2767"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I, a series of Astrum Partners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VII, a series of Astrum Partners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XI, a series of Astrum Partners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XVIII</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Credit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credit opportunity 2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opportunity 2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Longhorn Special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2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Opportunity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Ventures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ai ventures gp llc, its general partner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Alpha Star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ALPHA STAR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Fund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CAPITAL FUND ii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Master Fund, Ltd</w:t>
      </w:r>
    </w:p>
    <w:p>
      <w:pPr>
        <w:pStyle w:val="TextBody"/>
        <w:bidi w:val="0"/>
        <w:spacing w:before="0" w:after="0"/>
        <w:ind w:left="0" w:right="0" w:hanging="0"/>
        <w:jc w:val="both"/>
        <w:rPr>
          <w:caps/>
        </w:rPr>
      </w:pPr>
      <w:r>
        <w:rPr>
          <w:caps/>
        </w:rPr>
        <w:t> </w:t>
      </w:r>
    </w:p>
    <w:tbl>
      <w:tblPr>
        <w:tblW w:w="2035" w:type="dxa"/>
        <w:jc w:val="left"/>
        <w:tblInd w:w="0" w:type="dxa"/>
        <w:tblLayout w:type="fixed"/>
        <w:tblCellMar>
          <w:top w:w="0" w:type="dxa"/>
          <w:left w:w="0" w:type="dxa"/>
          <w:bottom w:w="0" w:type="dxa"/>
          <w:right w:w="0" w:type="dxa"/>
        </w:tblCellMar>
      </w:tblPr>
      <w:tblGrid>
        <w:gridCol w:w="560"/>
        <w:gridCol w:w="1400"/>
        <w:gridCol w:w="75"/>
      </w:tblGrid>
      <w:tr>
        <w:trPr/>
        <w:tc>
          <w:tcPr>
            <w:tcW w:w="560" w:type="dxa"/>
            <w:tcBorders/>
            <w:vAlign w:val="center"/>
          </w:tcPr>
          <w:p>
            <w:pPr>
              <w:pStyle w:val="TableContents"/>
              <w:bidi w:val="0"/>
              <w:spacing w:before="0" w:after="283"/>
              <w:jc w:val="both"/>
              <w:rPr>
                <w:sz w:val="20"/>
              </w:rPr>
            </w:pPr>
            <w:r>
              <w:rPr>
                <w:sz w:val="20"/>
              </w:rPr>
              <w:t>By:</w:t>
            </w:r>
          </w:p>
        </w:tc>
        <w:tc>
          <w:tcPr>
            <w:tcW w:w="1400" w:type="dxa"/>
            <w:tcBorders>
              <w:bottom w:val="single" w:sz="8" w:space="0" w:color="000000"/>
            </w:tcBorders>
            <w:tcMar>
              <w:bottom w:w="28" w:type="dxa"/>
            </w:tcMar>
            <w:vAlign w:val="center"/>
          </w:tcPr>
          <w:p>
            <w:pPr>
              <w:pStyle w:val="TableContents"/>
              <w:bidi w:val="0"/>
              <w:spacing w:before="0" w:after="283"/>
              <w:jc w:val="both"/>
              <w:rPr/>
            </w:pPr>
            <w:r>
              <w:rPr>
                <w:i/>
                <w:sz w:val="20"/>
              </w:rPr>
              <w:t>/s/ Alan Milgate</w:t>
            </w:r>
            <w:r>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sz w:val="20"/>
              </w:rPr>
            </w:pPr>
            <w:r>
              <w:rPr>
                <w:sz w:val="20"/>
              </w:rPr>
              <w:t>Name:</w:t>
            </w:r>
          </w:p>
        </w:tc>
        <w:tc>
          <w:tcPr>
            <w:tcW w:w="1400" w:type="dxa"/>
            <w:tcBorders/>
            <w:vAlign w:val="center"/>
          </w:tcPr>
          <w:p>
            <w:pPr>
              <w:pStyle w:val="TableContents"/>
              <w:bidi w:val="0"/>
              <w:spacing w:before="0" w:after="283"/>
              <w:jc w:val="both"/>
              <w:rPr/>
            </w:pPr>
            <w:r>
              <w:rPr>
                <w:sz w:val="20"/>
              </w:rPr>
              <w:t>Alan Milgate</w:t>
            </w:r>
            <w:r>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sz w:val="20"/>
              </w:rPr>
            </w:pPr>
            <w:r>
              <w:rPr>
                <w:sz w:val="20"/>
              </w:rPr>
              <w:t>Title:</w:t>
            </w:r>
          </w:p>
        </w:tc>
        <w:tc>
          <w:tcPr>
            <w:tcW w:w="1400" w:type="dxa"/>
            <w:tcBorders/>
            <w:vAlign w:val="center"/>
          </w:tcPr>
          <w:p>
            <w:pPr>
              <w:pStyle w:val="TableContents"/>
              <w:bidi w:val="0"/>
              <w:spacing w:before="0" w:after="283"/>
              <w:jc w:val="both"/>
              <w:rPr>
                <w:sz w:val="20"/>
              </w:rPr>
            </w:pPr>
            <w:r>
              <w:rPr>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Partners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supernova management llc, its general partner</w:t>
      </w:r>
    </w:p>
    <w:p>
      <w:pPr>
        <w:pStyle w:val="TextBody"/>
        <w:bidi w:val="0"/>
        <w:spacing w:before="0" w:after="0"/>
        <w:ind w:left="0" w:right="0" w:hanging="0"/>
        <w:jc w:val="both"/>
        <w:rPr>
          <w:caps/>
        </w:rPr>
      </w:pPr>
      <w:r>
        <w:rPr>
          <w:caps/>
        </w:rPr>
        <w:t> </w:t>
      </w:r>
    </w:p>
    <w:tbl>
      <w:tblPr>
        <w:tblW w:w="2635" w:type="dxa"/>
        <w:jc w:val="left"/>
        <w:tblInd w:w="0" w:type="dxa"/>
        <w:tblLayout w:type="fixed"/>
        <w:tblCellMar>
          <w:top w:w="0" w:type="dxa"/>
          <w:left w:w="0" w:type="dxa"/>
          <w:bottom w:w="0" w:type="dxa"/>
          <w:right w:w="0" w:type="dxa"/>
        </w:tblCellMar>
      </w:tblPr>
      <w:tblGrid>
        <w:gridCol w:w="560"/>
        <w:gridCol w:w="200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J. Snyderman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Snyderman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Constellation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Constellation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Milgate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Financial (UK) LLP</w:t>
      </w:r>
    </w:p>
    <w:p>
      <w:pPr>
        <w:pStyle w:val="TextBody"/>
        <w:bidi w:val="0"/>
        <w:spacing w:before="0" w:after="0"/>
        <w:ind w:left="0" w:right="0" w:hanging="0"/>
        <w:jc w:val="both"/>
        <w:rPr>
          <w:caps/>
        </w:rPr>
      </w:pPr>
      <w:r>
        <w:rPr>
          <w:caps/>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APPK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appk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Lake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Longhorn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magnertar longhorn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8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8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A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2025-2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2025-3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2025-3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2025-4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2025-4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5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5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6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6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7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opportuniyt 7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special situations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Structured Credit Fund, LP DBA Constellation onshore fund</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general partner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Alternative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C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MCP Investing LLC</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Mustang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Mustang opportunities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F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T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Realta Investments Ireland Designated Activity Company</w:t>
      </w:r>
    </w:p>
    <w:p>
      <w:pPr>
        <w:pStyle w:val="TextBody"/>
        <w:bidi w:val="0"/>
        <w:spacing w:before="0" w:after="0"/>
        <w:ind w:left="0" w:right="0" w:hanging="0"/>
        <w:jc w:val="both"/>
        <w:rPr>
          <w:caps/>
        </w:rPr>
      </w:pPr>
      <w:r>
        <w:rPr>
          <w:caps/>
        </w:rPr>
        <w:t> </w:t>
      </w:r>
    </w:p>
    <w:tbl>
      <w:tblPr>
        <w:tblW w:w="2290" w:type="dxa"/>
        <w:jc w:val="left"/>
        <w:tblInd w:w="0" w:type="dxa"/>
        <w:tblLayout w:type="fixed"/>
        <w:tblCellMar>
          <w:top w:w="0" w:type="dxa"/>
          <w:left w:w="0" w:type="dxa"/>
          <w:bottom w:w="0" w:type="dxa"/>
          <w:right w:w="0" w:type="dxa"/>
        </w:tblCellMar>
      </w:tblPr>
      <w:tblGrid>
        <w:gridCol w:w="560"/>
        <w:gridCol w:w="165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Bronwyn Wright</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Bronwyn Wright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1,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 — Existing Wholly-Owned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Wholly-owned subsidiaries (each, 100% owned) of Neostellar Capital Corp.:</w:t>
      </w:r>
    </w:p>
    <w:p>
      <w:pPr>
        <w:pStyle w:val="TextBody"/>
        <w:bidi w:val="0"/>
        <w:spacing w:before="0" w:after="0"/>
        <w:ind w:left="36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215"/>
        <w:gridCol w:w="7145"/>
      </w:tblGrid>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 Capital Lending, LLC (Delaware, formed April 13,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SuRo Capital Sports, LLC (Delaware, formed March 19,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SRCI Advisors, LLC (Delaware, formed September 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AE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AV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SW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GSVC SVDS Holdings, Inc. — Taxable Subsidiary (Delaware, formed August 13, 2013)</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 —Existing Affiliated Funds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Affiliated Funds are advised by an Adviser as set forth below:</w:t>
      </w:r>
    </w:p>
    <w:p>
      <w:pPr>
        <w:pStyle w:val="TextBody"/>
        <w:bidi w:val="0"/>
        <w:spacing w:before="0" w:after="0"/>
        <w:ind w:left="0" w:right="0" w:hanging="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20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Affiliated Funds advised by Magnetar Financial LLC:</w:t>
            </w:r>
          </w:p>
        </w:tc>
      </w:tr>
    </w:tbl>
    <w:p>
      <w:pPr>
        <w:pStyle w:val="TextBody"/>
        <w:bidi w:val="0"/>
        <w:spacing w:before="0" w:after="283"/>
        <w:jc w:val="left"/>
        <w:rPr/>
      </w:pPr>
      <w:r>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Capital Fund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Capital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Constellation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Constellation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Investment APPK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Lake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Longhorn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8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A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2025-3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2025-4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2025-A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5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6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Opportunity 7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Special Situations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Special Situations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Structured Credit Fund, LP DBA Constellation Onshore Fund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Alternative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Series 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Waterfront Series C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Xing He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Magnetar Xing He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Mustang Opportunities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Alternative Credit Fund – F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Alternative Credit Fund – T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1,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2026-1, a Series of 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2026-2, a Series of Magnetar Investment Opportunity Series Fund LP</w:t>
            </w:r>
          </w:p>
        </w:tc>
      </w:tr>
    </w:tbl>
    <w:p>
      <w:pPr>
        <w:pStyle w:val="TextBody"/>
        <w:bidi w:val="0"/>
        <w:spacing w:before="0" w:after="0"/>
        <w:ind w:left="144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0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Affiliated Funds Advised by Magnetar Financial (UK) LLP:</w:t>
            </w:r>
          </w:p>
        </w:tc>
      </w:tr>
    </w:tbl>
    <w:p>
      <w:pPr>
        <w:pStyle w:val="TextBody"/>
        <w:bidi w:val="0"/>
        <w:spacing w:before="0" w:after="283"/>
        <w:jc w:val="left"/>
        <w:rPr/>
      </w:pPr>
      <w:r>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Realta Investments Ireland Designated Activity Company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states that he or she has duly executed the attached Application dated August 3, 2026 for and on behalf of the Applicants, as the case may be, that he or she holds the office with each such entity as indicated below and that all actions by stockholders, officers, directors, and other bodies necessary to authorize the undersigned to execute and file such Application have been taken. The undersigned further states that he or she is familiar with the instrument and the contents thereof, and that the facts set forth therein are true to the best of his or her knowledge, information, and belief.</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60"/>
        <w:gridCol w:w="3965"/>
        <w:gridCol w:w="75"/>
      </w:tblGrid>
      <w:tr>
        <w:trPr/>
        <w:tc>
          <w:tcPr>
            <w:tcW w:w="452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c>
          <w:tcPr>
            <w:tcW w:w="75" w:type="dxa"/>
            <w:tcBorders/>
            <w:vAlign w:val="center"/>
          </w:tcPr>
          <w:p>
            <w:pPr>
              <w:pStyle w:val="TableContents"/>
              <w:bidi w:val="0"/>
              <w:spacing w:before="0" w:after="283"/>
              <w:jc w:val="left"/>
              <w:rPr/>
            </w:pPr>
            <w:r>
              <w:rPr/>
              <w:t> </w:t>
            </w:r>
          </w:p>
        </w:tc>
      </w:tr>
      <w:tr>
        <w:trPr/>
        <w:tc>
          <w:tcPr>
            <w:tcW w:w="452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64"/>
        <w:gridCol w:w="2075"/>
        <w:gridCol w:w="75"/>
      </w:tblGrid>
      <w:tr>
        <w:trPr/>
        <w:tc>
          <w:tcPr>
            <w:tcW w:w="283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tc>
        <w:tc>
          <w:tcPr>
            <w:tcW w:w="75" w:type="dxa"/>
            <w:tcBorders/>
            <w:vAlign w:val="center"/>
          </w:tcPr>
          <w:p>
            <w:pPr>
              <w:pStyle w:val="TableContents"/>
              <w:bidi w:val="0"/>
              <w:spacing w:before="0" w:after="283"/>
              <w:jc w:val="left"/>
              <w:rPr/>
            </w:pPr>
            <w:r>
              <w:rPr/>
              <w:t> </w:t>
            </w:r>
          </w:p>
        </w:tc>
      </w:tr>
      <w:tr>
        <w:trPr/>
        <w:tc>
          <w:tcPr>
            <w:tcW w:w="2839"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75"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Allison Green</w:t>
            </w:r>
          </w:p>
        </w:tc>
        <w:tc>
          <w:tcPr>
            <w:tcW w:w="75"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48"/>
        <w:gridCol w:w="2031"/>
        <w:gridCol w:w="75"/>
      </w:tblGrid>
      <w:tr>
        <w:trPr/>
        <w:tc>
          <w:tcPr>
            <w:tcW w:w="277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 CAPITAL LENDING,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7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7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44"/>
        <w:gridCol w:w="2020"/>
        <w:gridCol w:w="75"/>
      </w:tblGrid>
      <w:tr>
        <w:trPr/>
        <w:tc>
          <w:tcPr>
            <w:tcW w:w="2764"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SPORTS, LLC</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7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208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SRCI ADVISORS, LLC</w:t>
            </w:r>
          </w:p>
        </w:tc>
        <w:tc>
          <w:tcPr>
            <w:tcW w:w="75" w:type="dxa"/>
            <w:tcBorders/>
            <w:vAlign w:val="center"/>
          </w:tcPr>
          <w:p>
            <w:pPr>
              <w:pStyle w:val="TableContents"/>
              <w:bidi w:val="0"/>
              <w:spacing w:before="0" w:after="283"/>
              <w:jc w:val="left"/>
              <w:rPr/>
            </w:pPr>
            <w:r>
              <w:rPr/>
              <w:t> </w:t>
            </w:r>
          </w:p>
        </w:tc>
      </w:tr>
      <w:tr>
        <w:trPr/>
        <w:tc>
          <w:tcPr>
            <w:tcW w:w="208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655"/>
        <w:gridCol w:w="1779"/>
        <w:gridCol w:w="75"/>
      </w:tblGrid>
      <w:tr>
        <w:trPr/>
        <w:tc>
          <w:tcPr>
            <w:tcW w:w="243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AE HOLDINGS, INC.</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655"/>
        <w:gridCol w:w="1779"/>
        <w:gridCol w:w="75"/>
      </w:tblGrid>
      <w:tr>
        <w:trPr/>
        <w:tc>
          <w:tcPr>
            <w:tcW w:w="243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AV HOLDINGS, INC.</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663"/>
        <w:gridCol w:w="1801"/>
        <w:gridCol w:w="75"/>
      </w:tblGrid>
      <w:tr>
        <w:trPr/>
        <w:tc>
          <w:tcPr>
            <w:tcW w:w="246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SW HOLDINGS, INC.</w:t>
            </w:r>
          </w:p>
        </w:tc>
        <w:tc>
          <w:tcPr>
            <w:tcW w:w="7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0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12"/>
        <w:gridCol w:w="1932"/>
        <w:gridCol w:w="75"/>
      </w:tblGrid>
      <w:tr>
        <w:trPr/>
        <w:tc>
          <w:tcPr>
            <w:tcW w:w="264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GSVC SVDS HOLDINGS, INC.</w:t>
            </w:r>
          </w:p>
        </w:tc>
        <w:tc>
          <w:tcPr>
            <w:tcW w:w="75"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3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left"/>
              <w:rPr/>
            </w:pPr>
            <w:r>
              <w:rPr/>
              <w:t> </w:t>
            </w:r>
          </w:p>
        </w:tc>
      </w:tr>
      <w:tr>
        <w:trPr/>
        <w:tc>
          <w:tcPr>
            <w:tcW w:w="7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financial llc</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asset management llc</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I, a series of Astrum Partners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VII, a series of Astrum Partners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XI, a series of Astrum Partners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Astrum Partners LLC, Series XVIII</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Credit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credit opportunity 2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cw opportunity 2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CW Opportunity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Longhorn Special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longhorn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2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ACFI Strategic Ventures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Opportunity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AI Ventures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ai ventures gp llc, its general partner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Alpha Star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ALPHA STAR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Fund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CAPITAL FUND ii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Capital Partners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supernova management llc, its general partner</w:t>
      </w:r>
    </w:p>
    <w:p>
      <w:pPr>
        <w:pStyle w:val="TextBody"/>
        <w:bidi w:val="0"/>
        <w:spacing w:before="0" w:after="0"/>
        <w:ind w:left="0" w:right="0" w:hanging="0"/>
        <w:jc w:val="both"/>
        <w:rPr>
          <w:caps/>
        </w:rPr>
      </w:pPr>
      <w:r>
        <w:rPr>
          <w:caps/>
        </w:rPr>
        <w:t> </w:t>
      </w:r>
    </w:p>
    <w:tbl>
      <w:tblPr>
        <w:tblW w:w="2635" w:type="dxa"/>
        <w:jc w:val="left"/>
        <w:tblInd w:w="0" w:type="dxa"/>
        <w:tblLayout w:type="fixed"/>
        <w:tblCellMar>
          <w:top w:w="0" w:type="dxa"/>
          <w:left w:w="0" w:type="dxa"/>
          <w:bottom w:w="0" w:type="dxa"/>
          <w:right w:w="0" w:type="dxa"/>
        </w:tblCellMar>
      </w:tblPr>
      <w:tblGrid>
        <w:gridCol w:w="560"/>
        <w:gridCol w:w="200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J. Snyderman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Snyderman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Constellation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Constellation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Financial (UK) LLP</w:t>
      </w:r>
    </w:p>
    <w:p>
      <w:pPr>
        <w:pStyle w:val="TextBody"/>
        <w:bidi w:val="0"/>
        <w:spacing w:before="0" w:after="0"/>
        <w:ind w:left="0" w:right="0" w:hanging="0"/>
        <w:jc w:val="both"/>
        <w:rPr>
          <w:caps/>
        </w:rPr>
      </w:pPr>
      <w:r>
        <w:rPr>
          <w:caps/>
        </w:rPr>
        <w:t> </w:t>
      </w:r>
    </w:p>
    <w:tbl>
      <w:tblPr>
        <w:tblW w:w="2155" w:type="dxa"/>
        <w:jc w:val="left"/>
        <w:tblInd w:w="0" w:type="dxa"/>
        <w:tblLayout w:type="fixed"/>
        <w:tblCellMar>
          <w:top w:w="0" w:type="dxa"/>
          <w:left w:w="0" w:type="dxa"/>
          <w:bottom w:w="0" w:type="dxa"/>
          <w:right w:w="0" w:type="dxa"/>
        </w:tblCellMar>
      </w:tblPr>
      <w:tblGrid>
        <w:gridCol w:w="560"/>
        <w:gridCol w:w="152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APPK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appk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Lake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Longhorn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magnertar longhorn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managing MEMBER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8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8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A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2025-2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2025-2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2025-3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2025-3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2025-4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2025-4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2025-A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5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5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6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opportunity 6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Opportunity 7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opportuniyt 7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special situations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Special Situations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Structured Credit Fund, LP DBA Constellation onshore fund</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general partner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Alternative Credit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A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Waterfront Series C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Fund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FINANCIAL LLC, ITS MANAGER</w:t>
      </w:r>
    </w:p>
    <w:p>
      <w:pPr>
        <w:pStyle w:val="TextBody"/>
        <w:bidi w:val="0"/>
        <w:spacing w:before="0" w:after="0"/>
        <w:ind w:left="0" w:right="0" w:hanging="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560"/>
        <w:gridCol w:w="1370"/>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Magnetar Xing He Master Fund Ltd</w:t>
      </w:r>
    </w:p>
    <w:p>
      <w:pPr>
        <w:pStyle w:val="TextBody"/>
        <w:bidi w:val="0"/>
        <w:spacing w:before="0" w:after="0"/>
        <w:ind w:left="0" w:right="0" w:hanging="0"/>
        <w:jc w:val="both"/>
        <w:rPr>
          <w:caps/>
        </w:rPr>
      </w:pPr>
      <w:r>
        <w:rPr>
          <w:caps/>
        </w:rPr>
        <w:t> </w:t>
      </w:r>
    </w:p>
    <w:tbl>
      <w:tblPr>
        <w:tblW w:w="2020" w:type="dxa"/>
        <w:jc w:val="left"/>
        <w:tblInd w:w="0" w:type="dxa"/>
        <w:tblLayout w:type="fixed"/>
        <w:tblCellMar>
          <w:top w:w="0" w:type="dxa"/>
          <w:left w:w="0" w:type="dxa"/>
          <w:bottom w:w="0" w:type="dxa"/>
          <w:right w:w="0" w:type="dxa"/>
        </w:tblCellMar>
      </w:tblPr>
      <w:tblGrid>
        <w:gridCol w:w="560"/>
        <w:gridCol w:w="138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Alan Milgate</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Alan Milgate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MCP Investing LLC</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Mustang Opportunities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Mustang opportunities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F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Purpose Alternative Credit Fund – T LLC</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purpose mm llc, its manager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Realta Investments Ireland Designated Activity Company</w:t>
      </w:r>
    </w:p>
    <w:p>
      <w:pPr>
        <w:pStyle w:val="TextBody"/>
        <w:bidi w:val="0"/>
        <w:spacing w:before="0" w:after="0"/>
        <w:ind w:left="0" w:right="0" w:hanging="0"/>
        <w:jc w:val="both"/>
        <w:rPr>
          <w:caps/>
        </w:rPr>
      </w:pPr>
      <w:r>
        <w:rPr>
          <w:caps/>
        </w:rPr>
        <w:t> </w:t>
      </w:r>
    </w:p>
    <w:tbl>
      <w:tblPr>
        <w:tblW w:w="2290" w:type="dxa"/>
        <w:jc w:val="left"/>
        <w:tblInd w:w="0" w:type="dxa"/>
        <w:tblLayout w:type="fixed"/>
        <w:tblCellMar>
          <w:top w:w="0" w:type="dxa"/>
          <w:left w:w="0" w:type="dxa"/>
          <w:bottom w:w="0" w:type="dxa"/>
          <w:right w:w="0" w:type="dxa"/>
        </w:tblCellMar>
      </w:tblPr>
      <w:tblGrid>
        <w:gridCol w:w="560"/>
        <w:gridCol w:w="165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Bronwyn Wright</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Bronwyn Wright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1,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 A Series of Astrum Partners II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astrum partners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By: mcp gp holdings llc, ITS sole member</w:t>
      </w:r>
    </w:p>
    <w:p>
      <w:pPr>
        <w:pStyle w:val="TextBody"/>
        <w:bidi w:val="0"/>
        <w:spacing w:before="0" w:after="0"/>
        <w:ind w:left="0" w:right="0" w:hanging="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560"/>
        <w:gridCol w:w="1775"/>
        <w:gridCol w:w="7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Wachter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Board of Directors of Neostellar Capital Corp. (the “Fund”)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July 15,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Marked Copies of the Application Showing Changes from the Final Versions of the Two Applications Identified as Substantially Identical Under Rule 0-5(e)(3)</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No. </w:t>
      </w:r>
      <w:r>
        <w:rPr>
          <w:rFonts w:ascii="Times New Roman;Times;Serif" w:hAnsi="Times New Roman;Times;Serif"/>
          <w:b w:val="false"/>
          <w:i w:val="false"/>
          <w:caps w:val="false"/>
          <w:smallCaps w:val="false"/>
          <w:strike/>
          <w:color w:val="FF0000"/>
          <w:sz w:val="20"/>
        </w:rPr>
        <w:t>812-15805</w:t>
      </w:r>
      <w:r>
        <w:rPr>
          <w:rFonts w:ascii="Times New Roman;Times;Serif" w:hAnsi="Times New Roman;Times;Serif"/>
          <w:b w:val="false"/>
          <w:i w:val="false"/>
          <w:caps w:val="false"/>
          <w:smallCaps w:val="false"/>
          <w:color w:val="0000FF"/>
          <w:sz w:val="20"/>
          <w:u w:val="single"/>
        </w:rPr>
        <w:t>812-</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U.S. SECURITIES AND EXCHANGE COMMISSION</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EXPEDITED REVIEW REQUESTED UNDER 17 CFR 270.0-5(d)</w:t>
      </w:r>
    </w:p>
    <w:p>
      <w:pPr>
        <w:pStyle w:val="TextBody"/>
        <w:bidi w:val="0"/>
        <w:jc w:val="center"/>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______________________</w:t>
      </w:r>
    </w:p>
    <w:p>
      <w:pPr>
        <w:pStyle w:val="TextBody"/>
        <w:bidi w:val="0"/>
        <w:jc w:val="center"/>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PRIVATE REAL ESTATE FUND, BLUEROCK HIGH INCOME INSTITUTIONAL CREDIT FUND, BLUEROCK FUND ADVISOR, LLC AND BLUEROCK CREDIT FUND ADVISOR, LLC</w:t>
      </w:r>
    </w:p>
    <w:p>
      <w:pPr>
        <w:pStyle w:val="TextBody"/>
        <w:bidi w:val="0"/>
        <w:jc w:val="center"/>
        <w:rPr>
          <w:caps w:val="false"/>
          <w:smallCaps w:val="false"/>
          <w:color w:val="FF0000"/>
        </w:rPr>
      </w:pPr>
      <w:r>
        <w:rPr>
          <w:caps w:val="false"/>
          <w:smallCaps w:val="false"/>
          <w:color w:val="FF0000"/>
        </w:rPr>
        <w:t> </w:t>
      </w:r>
    </w:p>
    <w:p>
      <w:pPr>
        <w:pStyle w:val="TextBody"/>
        <w:bidi w:val="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 xml:space="preserve">NEOSTELLAR CAPITAL CORP., NEOSTELLAR ADVISORS LLC, GSV CAPITAL LENDING, LLC, SURO CAPITAL SPORTS, LLC, SRCI ADVISORS, LLC, GSVC AE HOLDINGS, INC., GSVC AV HOLDINGS, INC., GSVC SW HOLDINGS, INC., GSVC SVDS HOLDINGS, INC., </w:t>
      </w:r>
    </w:p>
    <w:p>
      <w:pPr>
        <w:pStyle w:val="TextBody"/>
        <w:bidi w:val="0"/>
        <w:ind w:left="1" w:right="0" w:hanging="90"/>
        <w:jc w:val="center"/>
        <w:rPr>
          <w:caps w:val="false"/>
          <w:smallCaps w:val="false"/>
        </w:rPr>
      </w:pPr>
      <w:r>
        <w:rPr>
          <w:caps w:val="false"/>
          <w:smallCaps w:val="false"/>
        </w:rPr>
        <w:t> </w:t>
      </w:r>
    </w:p>
    <w:p>
      <w:pPr>
        <w:pStyle w:val="TextBody"/>
        <w:bidi w:val="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ind w:left="1" w:right="0" w:hanging="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919 Third Avenue, 40th Floor</w:t>
        <w:br/>
      </w:r>
      <w:r>
        <w:rPr>
          <w:rFonts w:ascii="Times New Roman;Times;Serif" w:hAnsi="Times New Roman;Times;Serif"/>
          <w:b/>
          <w:i w:val="false"/>
          <w:caps w:val="false"/>
          <w:smallCaps w:val="false"/>
          <w:sz w:val="20"/>
        </w:rPr>
        <w:t xml:space="preserve">New York, NY </w:t>
      </w:r>
      <w:r>
        <w:rPr>
          <w:rFonts w:ascii="Times New Roman;Times;Serif" w:hAnsi="Times New Roman;Times;Serif"/>
          <w:b w:val="false"/>
          <w:i w:val="false"/>
          <w:caps w:val="false"/>
          <w:smallCaps w:val="false"/>
          <w:strike/>
          <w:color w:val="FF0000"/>
          <w:sz w:val="20"/>
        </w:rPr>
        <w:t>10022</w:t>
        <w:br/>
        <w:t>(212) 843 -1601</w:t>
      </w:r>
      <w:r>
        <w:rPr>
          <w:rFonts w:ascii="Times New Roman;Times;Serif" w:hAnsi="Times New Roman;Times;Serif"/>
          <w:b/>
          <w:i w:val="false"/>
          <w:caps w:val="false"/>
          <w:smallCaps w:val="false"/>
          <w:color w:val="0000FF"/>
          <w:sz w:val="20"/>
          <w:u w:val="single"/>
        </w:rPr>
        <w:t>10019</w:t>
      </w:r>
    </w:p>
    <w:p>
      <w:pPr>
        <w:pStyle w:val="TextBody"/>
        <w:bidi w:val="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ind w:left="1" w:right="0" w:hanging="90"/>
        <w:jc w:val="center"/>
        <w:rPr>
          <w:caps w:val="false"/>
          <w:smallCaps w:val="false"/>
        </w:rPr>
      </w:pPr>
      <w:r>
        <w:rPr>
          <w:caps w:val="false"/>
          <w:smallCaps w:val="false"/>
        </w:rPr>
        <w:t> </w:t>
      </w:r>
    </w:p>
    <w:p>
      <w:pPr>
        <w:pStyle w:val="TextBody"/>
        <w:bidi w:val="0"/>
        <w:ind w:left="1" w:right="0" w:hanging="90"/>
        <w:jc w:val="center"/>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 magnetar asset management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Capital Partners LP,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extBody"/>
        <w:bidi w:val="0"/>
        <w:ind w:left="1" w:right="0" w:hanging="90"/>
        <w:jc w:val="center"/>
        <w:rPr>
          <w:caps w:val="false"/>
          <w:smallCaps w:val="false"/>
        </w:rPr>
      </w:pPr>
      <w:r>
        <w:rPr>
          <w:caps w:val="false"/>
          <w:smallCaps w:val="false"/>
        </w:rPr>
        <w:t> </w:t>
      </w:r>
    </w:p>
    <w:p>
      <w:pPr>
        <w:pStyle w:val="TextBody"/>
        <w:bidi w:val="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jc w:val="center"/>
        <w:rPr>
          <w:caps w:val="false"/>
          <w:smallCaps w:val="false"/>
          <w:color w:val="0000FF"/>
        </w:rPr>
      </w:pPr>
      <w:r>
        <w:rPr>
          <w:caps w:val="false"/>
          <w:smallCaps w:val="false"/>
          <w:color w:val="0000FF"/>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AMENDMENT NO. 4 TO THE </w:t>
      </w:r>
      <w:r>
        <w:rPr>
          <w:rFonts w:ascii="Times New Roman;Times;Serif" w:hAnsi="Times New Roman;Times;Serif"/>
          <w:b w:val="false"/>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Jason Emala, Esq.</w:t>
        <w:br/>
        <w:t>Bluerock Asset Management, LLC</w:t>
        <w:br/>
        <w:t>919 Third Avenue, 40th Floor</w:t>
        <w:br/>
        <w:t>New York, NY 10022</w:t>
        <w:br/>
        <w:t>Telephone: (212) 843-1601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Allison Green</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agreen@neostellaradvisors.com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mklein@neostellaradvisors.com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Michael L. Butler,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karl.wachter@magnetar.com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mike.butler@magnetar.com</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Nicole Simon</w:t>
        <w:br/>
        <w:t>Stradley Ronon Stevens &amp; Young, LLP</w:t>
        <w:br/>
        <w:t>100 Park Avenue, Suite 2000</w:t>
        <w:br/>
        <w:t>New York, NY 10017</w:t>
        <w:br/>
        <w:t>Telephone: (212) 812-4137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 Siadatpour,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Eversheds Sutherland (US) LLP</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700 Sixth Street, N.W., Suite 700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Washington, D.C. 20001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(202) 383-0100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anne.oberndorf@eversheds-sutherland.com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payam.siadatpour@eversheds-sutherland.com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Clifford R. Cone,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Sidley Austin LLP</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787 Seventh Avenue</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839-5300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cliff.cone@sidley.com</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June 8</w:t>
      </w:r>
      <w:r>
        <w:rPr>
          <w:rFonts w:ascii="Times New Roman;Times;Serif" w:hAnsi="Times New Roman;Times;Serif"/>
          <w:b w:val="false"/>
          <w:i w:val="false"/>
          <w:caps w:val="false"/>
          <w:smallCaps w:val="false"/>
          <w:color w:val="0000FF"/>
          <w:sz w:val="20"/>
          <w:u w:val="single"/>
        </w:rPr>
        <w:t>August 3</w:t>
      </w:r>
      <w:r>
        <w:rPr>
          <w:rFonts w:ascii="Times New Roman;Times;Serif" w:hAnsi="Times New Roman;Times;Serif"/>
          <w:b w:val="false"/>
          <w:i w:val="false"/>
          <w:caps w:val="false"/>
          <w:smallCaps w:val="false"/>
          <w:sz w:val="20"/>
        </w:rPr>
        <w:t>, 2026</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UNITED STATES OF AMERICA</w:t>
        <w:br/>
        <w:t>BEFORE THE</w:t>
        <w:br/>
        <w:t>SECURITIES AND EXCHANGE COMMISSION</w:t>
      </w:r>
    </w:p>
    <w:p>
      <w:pPr>
        <w:pStyle w:val="TextBody"/>
        <w:bidi w:val="0"/>
        <w:jc w:val="center"/>
        <w:rPr>
          <w:caps w:val="false"/>
          <w:smallCaps w:val="false"/>
          <w:color w:val="FF0000"/>
        </w:rPr>
      </w:pPr>
      <w:r>
        <w:rPr>
          <w:caps w:val="false"/>
          <w:smallCaps w:val="false"/>
          <w:color w:val="FF0000"/>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color w:val="FF0000"/>
        </w:rPr>
      </w:pPr>
      <w:r>
        <w:rPr>
          <w:caps w:val="false"/>
          <w:smallCaps w:val="false"/>
          <w:color w:val="FF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color w:val="FF0000"/>
        </w:rPr>
      </w:pPr>
      <w:r>
        <w:rPr>
          <w:caps w:val="false"/>
          <w:smallCaps w:val="false"/>
          <w:color w:val="FF0000"/>
        </w:rPr>
        <w:t> </w:t>
      </w:r>
    </w:p>
    <w:tbl>
      <w:tblPr>
        <w:tblW w:w="2905" w:type="dxa"/>
        <w:jc w:val="left"/>
        <w:tblInd w:w="0" w:type="dxa"/>
        <w:tblLayout w:type="fixed"/>
        <w:tblCellMar>
          <w:top w:w="0" w:type="dxa"/>
          <w:left w:w="0" w:type="dxa"/>
          <w:bottom w:w="0" w:type="dxa"/>
          <w:right w:w="0" w:type="dxa"/>
        </w:tblCellMar>
      </w:tblPr>
      <w:tblGrid>
        <w:gridCol w:w="155"/>
        <w:gridCol w:w="27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trike/>
                <w:color w:val="008000"/>
                <w:sz w:val="20"/>
              </w:rPr>
            </w:pPr>
            <w:r>
              <w:rPr>
                <w:rFonts w:ascii="Times New Roman;Times;Serif" w:hAnsi="Times New Roman;Times;Serif"/>
                <w:b/>
                <w:i w:val="false"/>
                <w:caps w:val="false"/>
                <w:smallCaps w:val="false"/>
                <w:strike/>
                <w:color w:val="008000"/>
                <w:sz w:val="20"/>
              </w:rPr>
              <w:t>I.</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trike/>
                <w:color w:val="008000"/>
                <w:sz w:val="20"/>
              </w:rPr>
            </w:pPr>
            <w:r>
              <w:rPr>
                <w:rFonts w:ascii="Times New Roman;Times;Serif" w:hAnsi="Times New Roman;Times;Serif"/>
                <w:b/>
                <w:i w:val="false"/>
                <w:caps w:val="false"/>
                <w:smallCaps w:val="false"/>
                <w:strike/>
                <w:color w:val="008000"/>
                <w:sz w:val="20"/>
              </w:rPr>
              <w:t>SUMMARY OF APPLICATION</w:t>
            </w:r>
          </w:p>
        </w:tc>
      </w:tr>
    </w:tbl>
    <w:p>
      <w:pPr>
        <w:pStyle w:val="TextBody"/>
        <w:bidi w:val="0"/>
        <w:jc w:val="center"/>
        <w:rPr>
          <w:caps w:val="false"/>
          <w:smallCaps w:val="false"/>
          <w:color w:val="FF0000"/>
        </w:rPr>
      </w:pPr>
      <w:r>
        <w:rPr>
          <w:caps w:val="false"/>
          <w:smallCaps w:val="false"/>
          <w:color w:val="FF0000"/>
        </w:rPr>
        <w:t> </w:t>
      </w:r>
    </w:p>
    <w:tbl>
      <w:tblPr>
        <w:tblW w:w="10205" w:type="dxa"/>
        <w:jc w:val="left"/>
        <w:tblInd w:w="0" w:type="dxa"/>
        <w:tblLayout w:type="fixed"/>
        <w:tblCellMar>
          <w:top w:w="28" w:type="dxa"/>
          <w:left w:w="0" w:type="dxa"/>
          <w:bottom w:w="28" w:type="dxa"/>
          <w:right w:w="0" w:type="dxa"/>
        </w:tblCellMar>
      </w:tblPr>
      <w:tblGrid>
        <w:gridCol w:w="7750"/>
        <w:gridCol w:w="80"/>
        <w:gridCol w:w="2375"/>
      </w:tblGrid>
      <w:tr>
        <w:trPr/>
        <w:tc>
          <w:tcPr>
            <w:tcW w:w="10205" w:type="dxa"/>
            <w:gridSpan w:val="3"/>
            <w:tcBorders>
              <w:top w:val="double" w:sz="4"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UNITED STATES OF AMERICA</w:t>
            </w:r>
            <w:r>
              <w:rPr>
                <w:rFonts w:ascii="Times New Roman;Times;Serif" w:hAnsi="Times New Roman;Times;Serif"/>
                <w:b w:val="false"/>
                <w:i w:val="false"/>
                <w:caps w:val="false"/>
                <w:smallCaps w:val="false"/>
                <w:color w:val="0000FF"/>
                <w:sz w:val="20"/>
                <w:u w:val="single"/>
              </w:rPr>
              <w:br/>
            </w:r>
            <w:r>
              <w:rPr>
                <w:rFonts w:ascii="Times New Roman;Times;Serif" w:hAnsi="Times New Roman;Times;Serif"/>
                <w:b/>
                <w:i w:val="false"/>
                <w:caps w:val="false"/>
                <w:smallCaps w:val="false"/>
                <w:color w:val="0000FF"/>
                <w:sz w:val="20"/>
                <w:u w:val="single"/>
              </w:rPr>
              <w:t>BEFORE THE</w:t>
            </w:r>
            <w:r>
              <w:rPr>
                <w:rFonts w:ascii="Times New Roman;Times;Serif" w:hAnsi="Times New Roman;Times;Serif"/>
                <w:b w:val="false"/>
                <w:i w:val="false"/>
                <w:caps w:val="false"/>
                <w:smallCaps w:val="false"/>
                <w:color w:val="0000FF"/>
                <w:sz w:val="20"/>
                <w:u w:val="single"/>
              </w:rPr>
              <w:br/>
            </w:r>
            <w:r>
              <w:rPr>
                <w:rFonts w:ascii="Times New Roman;Times;Serif" w:hAnsi="Times New Roman;Times;Serif"/>
                <w:b/>
                <w:i w:val="false"/>
                <w:caps w:val="false"/>
                <w:smallCaps w:val="false"/>
                <w:color w:val="0000FF"/>
                <w:sz w:val="20"/>
                <w:u w:val="single"/>
              </w:rPr>
              <w:t>SECURITIES AND EXCHANGE COMMISSION</w:t>
            </w:r>
          </w:p>
        </w:tc>
      </w:tr>
      <w:tr>
        <w:trPr/>
        <w:tc>
          <w:tcPr>
            <w:tcW w:w="7750" w:type="dxa"/>
            <w:tcBorders/>
            <w:tcMar>
              <w:top w:w="0" w:type="dxa"/>
              <w:bottom w:w="0" w:type="dxa"/>
            </w:tcMar>
            <w:vAlign w:val="center"/>
          </w:tcPr>
          <w:p>
            <w:pPr>
              <w:pStyle w:val="TableContents"/>
              <w:bidi w:val="0"/>
              <w:jc w:val="left"/>
              <w:rPr>
                <w:caps w:val="false"/>
                <w:smallCaps w:val="false"/>
                <w:strike w:val="false"/>
                <w:dstrike w:val="false"/>
                <w:color w:val="0000FF"/>
                <w:u w:val="single"/>
                <w:effect w:val="none"/>
              </w:rPr>
            </w:pPr>
            <w:r>
              <w:rPr>
                <w:caps w:val="false"/>
                <w:smallCaps w:val="false"/>
                <w:strike w:val="false"/>
                <w:dstrike w:val="false"/>
                <w:color w:val="0000FF"/>
                <w:u w:val="single"/>
                <w:effect w:val="none"/>
              </w:rPr>
              <w:t> </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IN THE MATTER OF</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br/>
              <w:t>NEW YORK, NY 10019</w:t>
            </w:r>
          </w:p>
          <w:p>
            <w:pPr>
              <w:pStyle w:val="TableContents"/>
              <w:bidi w:val="0"/>
              <w:jc w:val="left"/>
              <w:rPr>
                <w:caps w:val="false"/>
                <w:smallCaps w:val="false"/>
                <w:color w:val="0000FF"/>
              </w:rPr>
            </w:pPr>
            <w:r>
              <w:rPr>
                <w:caps w:val="false"/>
                <w:smallCaps w:val="false"/>
                <w:color w:val="0000FF"/>
              </w:rPr>
              <w:t> </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 MAGNETAR ASSET MANAGEMENT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 MAGNETAR CAPITAL FUND II LP, MAGNETAR CAPITAL MASTER FUND, LTD, MAGNETAR CAPITAL PARTNERS LP,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ableContents"/>
              <w:bidi w:val="0"/>
              <w:jc w:val="left"/>
              <w:rPr>
                <w:caps w:val="false"/>
                <w:smallCaps w:val="false"/>
                <w:color w:val="0000FF"/>
              </w:rPr>
            </w:pPr>
            <w:r>
              <w:rPr>
                <w:caps w:val="false"/>
                <w:smallCaps w:val="false"/>
                <w:color w:val="0000FF"/>
              </w:rPr>
              <w:t> </w:t>
            </w:r>
          </w:p>
          <w:p>
            <w:pPr>
              <w:pStyle w:val="TableContents"/>
              <w:bidi w:val="0"/>
              <w:spacing w:before="0" w:after="283"/>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File No. 812-</w:t>
            </w:r>
          </w:p>
        </w:tc>
        <w:tc>
          <w:tcPr>
            <w:tcW w:w="80" w:type="dxa"/>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t>
            </w:r>
          </w:p>
        </w:tc>
        <w:tc>
          <w:tcPr>
            <w:tcW w:w="2375" w:type="dxa"/>
            <w:tcBorders/>
            <w:tcMar>
              <w:top w:w="0" w:type="dxa"/>
              <w:bottom w:w="0" w:type="dxa"/>
            </w:tcMar>
            <w:vAlign w:val="center"/>
          </w:tcPr>
          <w:p>
            <w:pPr>
              <w:pStyle w:val="TableContents"/>
              <w:bidi w:val="0"/>
              <w:jc w:val="left"/>
              <w:rPr>
                <w:caps w:val="false"/>
                <w:smallCaps w:val="false"/>
                <w:strike w:val="false"/>
                <w:dstrike w:val="false"/>
                <w:color w:val="0000FF"/>
                <w:u w:val="single"/>
                <w:effect w:val="none"/>
              </w:rPr>
            </w:pPr>
            <w:r>
              <w:rPr>
                <w:caps w:val="false"/>
                <w:smallCaps w:val="false"/>
                <w:strike w:val="false"/>
                <w:dstrike w:val="false"/>
                <w:color w:val="0000FF"/>
                <w:u w:val="single"/>
                <w:effect w:val="none"/>
              </w:rPr>
              <w:t> </w:t>
            </w:r>
          </w:p>
          <w:p>
            <w:pPr>
              <w:pStyle w:val="TableContents"/>
              <w:bidi w:val="0"/>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APPLICATION FOR AN ORDER</w:t>
            </w:r>
          </w:p>
          <w:p>
            <w:pPr>
              <w:pStyle w:val="TableContents"/>
              <w:bidi w:val="0"/>
              <w:spacing w:before="0" w:after="283"/>
              <w:jc w:val="lef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PURSUANT TO SECTIONS 17(d) AND 57(i) OF THE INVESTMENT COMPANY ACT OF 1940 AND RULE 17d-1 UNDER THE INVESTMENT COMPANY ACT OF 1940 PERMITTING CERTAIN JOINT TRANSACTIONS OTHERWISE PROHIBITED BY SECTIONS 17(d) AND 57(a)(4) OF AND RULE 17d-1 UNDER THE INVESTMENT COMPANY ACT OF 1940</w:t>
            </w:r>
          </w:p>
        </w:tc>
      </w:tr>
    </w:tbl>
    <w:p>
      <w:pPr>
        <w:pStyle w:val="TextBody"/>
        <w:bidi w:val="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5"/>
        <w:gridCol w:w="2735"/>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8000"/>
                <w:sz w:val="20"/>
                <w:u w:val="single"/>
              </w:rPr>
              <w:t>I.</w:t>
            </w:r>
            <w:r>
              <w:rPr>
                <w:rFonts w:ascii="Times New Roman;Times;Serif" w:hAnsi="Times New Roman;Times;Serif"/>
                <w:b w:val="false"/>
                <w:i w:val="false"/>
                <w:caps w:val="false"/>
                <w:smallCaps w:val="false"/>
                <w:sz w:val="20"/>
              </w:rPr>
              <w:t> </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color w:val="008000"/>
                <w:sz w:val="20"/>
                <w:u w:val="single"/>
              </w:rPr>
            </w:pPr>
            <w:r>
              <w:rPr>
                <w:rFonts w:ascii="Times New Roman;Times;Serif" w:hAnsi="Times New Roman;Times;Serif"/>
                <w:b/>
                <w:i w:val="false"/>
                <w:caps w:val="false"/>
                <w:smallCaps w:val="false"/>
                <w:color w:val="008000"/>
                <w:sz w:val="20"/>
                <w:u w:val="single"/>
              </w:rPr>
              <w:t>SUMMARY OF APPLICATION</w:t>
            </w:r>
          </w:p>
        </w:tc>
      </w:tr>
    </w:tbl>
    <w:p>
      <w:pPr>
        <w:pStyle w:val="TextBody"/>
        <w:bidi w:val="0"/>
        <w:spacing w:before="0" w:after="20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720" w:right="0" w:hanging="720"/>
        <w:jc w:val="both"/>
        <w:rPr>
          <w:rFonts w:ascii="Times New Roman;Times;Serif" w:hAnsi="Times New Roman;Times;Serif"/>
          <w:b w:val="false"/>
          <w:i w:val="false"/>
          <w:caps w:val="false"/>
          <w:smallCaps w:val="false"/>
          <w:color w:val="FF0000"/>
          <w:sz w:val="20"/>
        </w:rPr>
      </w:pPr>
      <w:r>
        <w:rPr>
          <w:rFonts w:ascii="Symbol" w:hAnsi="Symbol"/>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rPr>
        <w:t>Bluerock Private Real Estate Fund (“</w:t>
      </w:r>
      <w:r>
        <w:rPr>
          <w:rFonts w:ascii="Times New Roman;Times;Serif" w:hAnsi="Times New Roman;Times;Serif"/>
          <w:b/>
          <w:i/>
          <w:caps w:val="false"/>
          <w:smallCaps w:val="false"/>
          <w:strike/>
          <w:color w:val="FF0000"/>
          <w:sz w:val="20"/>
        </w:rPr>
        <w:t>BPRE</w:t>
      </w:r>
      <w:r>
        <w:rPr>
          <w:rFonts w:ascii="Times New Roman;Times;Serif" w:hAnsi="Times New Roman;Times;Serif"/>
          <w:b w:val="false"/>
          <w:i w:val="false"/>
          <w:caps w:val="false"/>
          <w:smallCaps w:val="false"/>
          <w:strike/>
          <w:color w:val="FF0000"/>
          <w:sz w:val="20"/>
        </w:rPr>
        <w:t>”), an externally managed, non-diversified closed-end management investment company registered under the 1940 Act and listed on the New York Stock Exchange;</w:t>
      </w:r>
    </w:p>
    <w:p>
      <w:pPr>
        <w:pStyle w:val="TextBody"/>
        <w:bidi w:val="0"/>
        <w:spacing w:before="0" w:after="0"/>
        <w:ind w:left="720" w:right="0" w:hanging="720"/>
        <w:jc w:val="both"/>
        <w:rPr>
          <w:caps w:val="false"/>
          <w:smallCaps w:val="false"/>
          <w:color w:val="FF0000"/>
        </w:rPr>
      </w:pPr>
      <w:r>
        <w:rPr>
          <w:caps w:val="false"/>
          <w:smallCaps w:val="false"/>
          <w:color w:val="FF0000"/>
        </w:rPr>
        <w:t> </w:t>
      </w:r>
    </w:p>
    <w:p>
      <w:pPr>
        <w:pStyle w:val="TextBody"/>
        <w:bidi w:val="0"/>
        <w:spacing w:before="0" w:after="0"/>
        <w:ind w:left="720" w:right="0" w:hanging="720"/>
        <w:jc w:val="both"/>
        <w:rPr>
          <w:rFonts w:ascii="Times New Roman;Times;Serif" w:hAnsi="Times New Roman;Times;Serif"/>
          <w:b w:val="false"/>
          <w:i w:val="false"/>
          <w:caps w:val="false"/>
          <w:smallCaps w:val="false"/>
          <w:color w:val="FF0000"/>
          <w:sz w:val="20"/>
        </w:rPr>
      </w:pPr>
      <w:r>
        <w:rPr>
          <w:rFonts w:ascii="Symbol" w:hAnsi="Symbol"/>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rPr>
        <w:t>Bluerock High Income Institutional Credit Fund (“</w:t>
      </w:r>
      <w:r>
        <w:rPr>
          <w:rFonts w:ascii="Times New Roman;Times;Serif" w:hAnsi="Times New Roman;Times;Serif"/>
          <w:b/>
          <w:i/>
          <w:caps w:val="false"/>
          <w:smallCaps w:val="false"/>
          <w:strike/>
          <w:color w:val="FF0000"/>
          <w:sz w:val="20"/>
        </w:rPr>
        <w:t>HI</w:t>
      </w:r>
      <w:r>
        <w:rPr>
          <w:rFonts w:ascii="Times New Roman;Times;Serif" w:hAnsi="Times New Roman;Times;Serif"/>
          <w:b w:val="false"/>
          <w:i w:val="false"/>
          <w:caps w:val="false"/>
          <w:smallCaps w:val="false"/>
          <w:strike/>
          <w:color w:val="FF0000"/>
          <w:sz w:val="20"/>
        </w:rPr>
        <w:t>” and, together with BPRE, the “</w:t>
      </w:r>
      <w:r>
        <w:rPr>
          <w:rFonts w:ascii="Times New Roman;Times;Serif" w:hAnsi="Times New Roman;Times;Serif"/>
          <w:b/>
          <w:i/>
          <w:caps w:val="false"/>
          <w:smallCaps w:val="false"/>
          <w:strike/>
          <w:color w:val="FF0000"/>
          <w:sz w:val="20"/>
        </w:rPr>
        <w:t>Existing Regulated Funds</w:t>
      </w:r>
      <w:r>
        <w:rPr>
          <w:rFonts w:ascii="Times New Roman;Times;Serif" w:hAnsi="Times New Roman;Times;Serif"/>
          <w:b w:val="false"/>
          <w:i w:val="false"/>
          <w:caps w:val="false"/>
          <w:smallCaps w:val="false"/>
          <w:strike/>
          <w:color w:val="FF0000"/>
          <w:sz w:val="20"/>
        </w:rPr>
        <w:t>”), an externally managed, non-diversified closed-end management investment company registered under the 1940 Act;</w:t>
      </w:r>
    </w:p>
    <w:p>
      <w:pPr>
        <w:pStyle w:val="TextBody"/>
        <w:bidi w:val="0"/>
        <w:spacing w:before="0" w:after="0"/>
        <w:ind w:left="720" w:right="0" w:hanging="720"/>
        <w:jc w:val="both"/>
        <w:rPr>
          <w:caps w:val="false"/>
          <w:smallCaps w:val="false"/>
          <w:color w:val="FF0000"/>
        </w:rPr>
      </w:pPr>
      <w:r>
        <w:rPr>
          <w:caps w:val="false"/>
          <w:smallCaps w:val="false"/>
          <w:color w:val="FF0000"/>
        </w:rPr>
        <w:t> </w:t>
      </w:r>
    </w:p>
    <w:p>
      <w:pPr>
        <w:pStyle w:val="TextBody"/>
        <w:bidi w:val="0"/>
        <w:spacing w:before="0" w:after="0"/>
        <w:ind w:left="720" w:right="0" w:hanging="720"/>
        <w:jc w:val="both"/>
        <w:rPr>
          <w:rFonts w:ascii="Times New Roman;Times;Serif" w:hAnsi="Times New Roman;Times;Serif"/>
          <w:b w:val="false"/>
          <w:i w:val="false"/>
          <w:caps w:val="false"/>
          <w:smallCaps w:val="false"/>
          <w:color w:val="FF0000"/>
          <w:sz w:val="20"/>
        </w:rPr>
      </w:pPr>
      <w:r>
        <w:rPr>
          <w:rFonts w:ascii="Symbol" w:hAnsi="Symbol"/>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rPr>
        <w:t>Bluerock Fund Advisor, LLC and its successors</w:t>
      </w: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i/>
          <w:caps w:val="false"/>
          <w:smallCaps w:val="false"/>
          <w:strike/>
          <w:color w:val="FF0000"/>
          <w:sz w:val="20"/>
        </w:rPr>
        <w:t>BFA</w:t>
      </w:r>
      <w:r>
        <w:rPr>
          <w:rFonts w:ascii="Times New Roman;Times;Serif" w:hAnsi="Times New Roman;Times;Serif"/>
          <w:b w:val="false"/>
          <w:i w:val="false"/>
          <w:caps w:val="false"/>
          <w:smallCaps w:val="false"/>
          <w:strike/>
          <w:color w:val="FF0000"/>
          <w:sz w:val="20"/>
        </w:rPr>
        <w:t>”), an indirect, majority-owned subsidiary of BAM (as defined below) and the investment adviser to BPRE. BFA is registered with the SEC as an investment adviser under the Investment Advisers Act of 1940 (the “</w:t>
      </w:r>
      <w:r>
        <w:rPr>
          <w:rFonts w:ascii="Times New Roman;Times;Serif" w:hAnsi="Times New Roman;Times;Serif"/>
          <w:b/>
          <w:i/>
          <w:caps w:val="false"/>
          <w:smallCaps w:val="false"/>
          <w:strike/>
          <w:color w:val="FF0000"/>
          <w:sz w:val="20"/>
        </w:rPr>
        <w:t>Advisers Act</w:t>
      </w:r>
      <w:r>
        <w:rPr>
          <w:rFonts w:ascii="Times New Roman;Times;Serif" w:hAnsi="Times New Roman;Times;Serif"/>
          <w:b/>
          <w:i w:val="false"/>
          <w:caps w:val="false"/>
          <w:smallCaps w:val="false"/>
          <w:strike/>
          <w:color w:val="FF0000"/>
          <w:sz w:val="20"/>
        </w:rPr>
        <w:t>”</w:t>
      </w:r>
      <w:r>
        <w:rPr>
          <w:rFonts w:ascii="Times New Roman;Times;Serif" w:hAnsi="Times New Roman;Times;Serif"/>
          <w:b w:val="false"/>
          <w:i w:val="false"/>
          <w:caps w:val="false"/>
          <w:smallCaps w:val="false"/>
          <w:strike/>
          <w:color w:val="FF0000"/>
          <w:sz w:val="20"/>
        </w:rPr>
        <w:t>);</w:t>
      </w:r>
    </w:p>
    <w:p>
      <w:pPr>
        <w:pStyle w:val="TextBody"/>
        <w:bidi w:val="0"/>
        <w:spacing w:before="0" w:after="0"/>
        <w:ind w:left="720" w:right="0" w:hanging="720"/>
        <w:jc w:val="both"/>
        <w:rPr>
          <w:caps w:val="false"/>
          <w:smallCaps w:val="false"/>
          <w:color w:val="FF0000"/>
        </w:rPr>
      </w:pPr>
      <w:r>
        <w:rPr>
          <w:caps w:val="false"/>
          <w:smallCaps w:val="false"/>
          <w:color w:val="FF0000"/>
        </w:rPr>
        <w:t> </w:t>
      </w:r>
    </w:p>
    <w:p>
      <w:pPr>
        <w:pStyle w:val="TextBody"/>
        <w:bidi w:val="0"/>
        <w:spacing w:before="0" w:after="0"/>
        <w:ind w:left="720" w:right="0" w:hanging="720"/>
        <w:jc w:val="both"/>
        <w:rPr>
          <w:rFonts w:ascii="Times New Roman;Times;Serif" w:hAnsi="Times New Roman;Times;Serif"/>
          <w:b w:val="false"/>
          <w:i w:val="false"/>
          <w:caps w:val="false"/>
          <w:smallCaps w:val="false"/>
          <w:color w:val="FF0000"/>
          <w:sz w:val="20"/>
        </w:rPr>
      </w:pPr>
      <w:r>
        <w:rPr>
          <w:rFonts w:ascii="Symbol" w:hAnsi="Symbol"/>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rPr>
        <w:t>Bluerock Credit Fund Advisor, LLC and its successors (“</w:t>
      </w:r>
      <w:r>
        <w:rPr>
          <w:rFonts w:ascii="Times New Roman;Times;Serif" w:hAnsi="Times New Roman;Times;Serif"/>
          <w:b/>
          <w:i/>
          <w:caps w:val="false"/>
          <w:smallCaps w:val="false"/>
          <w:strike/>
          <w:color w:val="FF0000"/>
          <w:sz w:val="20"/>
        </w:rPr>
        <w:t>CFA</w:t>
      </w:r>
      <w:r>
        <w:rPr>
          <w:rFonts w:ascii="Times New Roman;Times;Serif" w:hAnsi="Times New Roman;Times;Serif"/>
          <w:b w:val="false"/>
          <w:i w:val="false"/>
          <w:caps w:val="false"/>
          <w:smallCaps w:val="false"/>
          <w:strike/>
          <w:color w:val="FF0000"/>
          <w:sz w:val="20"/>
        </w:rPr>
        <w:t>” and, together with the Existing Regulated Funds and BFA, the “</w:t>
      </w:r>
      <w:r>
        <w:rPr>
          <w:rFonts w:ascii="Times New Roman;Times;Serif" w:hAnsi="Times New Roman;Times;Serif"/>
          <w:b/>
          <w:i/>
          <w:caps w:val="false"/>
          <w:smallCaps w:val="false"/>
          <w:strike/>
          <w:color w:val="FF0000"/>
          <w:sz w:val="20"/>
        </w:rPr>
        <w:t>Applicants</w:t>
      </w:r>
      <w:r>
        <w:rPr>
          <w:rFonts w:ascii="Times New Roman;Times;Serif" w:hAnsi="Times New Roman;Times;Serif"/>
          <w:b w:val="false"/>
          <w:i w:val="false"/>
          <w:caps w:val="false"/>
          <w:smallCaps w:val="false"/>
          <w:strike/>
          <w:color w:val="FF0000"/>
          <w:sz w:val="20"/>
        </w:rPr>
        <w:t>”), an indirect, majority-owned subsidiary of BAM and the investment adviser to HI.</w:t>
      </w:r>
      <w:r>
        <w:rPr>
          <w:rFonts w:ascii="Times New Roman;Times;Serif" w:hAnsi="Times New Roman;Times;Serif"/>
          <w:b w:val="false"/>
          <w:i w:val="false"/>
          <w:caps w:val="false"/>
          <w:smallCaps w:val="false"/>
          <w:strike/>
          <w:color w:val="FF0000"/>
          <w:position w:val="7"/>
          <w:sz w:val="16"/>
          <w:sz w:val="20"/>
        </w:rPr>
        <w:t>3</w:t>
      </w:r>
      <w:r>
        <w:rPr>
          <w:rFonts w:ascii="Times New Roman;Times;Serif" w:hAnsi="Times New Roman;Times;Serif"/>
          <w:b w:val="false"/>
          <w:i w:val="false"/>
          <w:caps w:val="false"/>
          <w:smallCaps w:val="false"/>
          <w:strike/>
          <w:color w:val="FF0000"/>
          <w:sz w:val="20"/>
        </w:rPr>
        <w:t>CFA is registered with the SEC as an investment adviser under the Advisers Act.</w:t>
      </w:r>
    </w:p>
    <w:p>
      <w:pPr>
        <w:pStyle w:val="TextBody"/>
        <w:bidi w:val="0"/>
        <w:spacing w:before="0" w:after="0"/>
        <w:ind w:left="720" w:right="0" w:hanging="72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i w:val="false"/>
                <w:caps w:val="false"/>
                <w:smallCaps w:val="false"/>
                <w:sz w:val="24"/>
              </w:rPr>
            </w:pPr>
            <w:r>
              <w:rPr>
                <w:rFonts w:ascii="Symbol" w:hAnsi="Symbol"/>
                <w:b w:val="false"/>
                <w:i w:val="false"/>
                <w:caps w:val="false"/>
                <w:smallCaps w:val="false"/>
                <w:sz w:val="24"/>
              </w:rPr>
              <w:t>·</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Neostellar Capital Corp. (the “</w:t>
            </w:r>
            <w:r>
              <w:rPr>
                <w:rFonts w:ascii="Times New Roman;Times;Serif" w:hAnsi="Times New Roman;Times;Serif"/>
                <w:b/>
                <w:i/>
                <w:caps w:val="false"/>
                <w:smallCaps w:val="false"/>
                <w:sz w:val="20"/>
                <w:u w:val="single"/>
              </w:rPr>
              <w:t>Existing Regulated Fund</w:t>
            </w:r>
            <w:r>
              <w:rPr>
                <w:rFonts w:ascii="Times New Roman;Times;Serif" w:hAnsi="Times New Roman;Times;Serif"/>
                <w:b w:val="false"/>
                <w:i w:val="false"/>
                <w:caps w:val="false"/>
                <w:smallCaps w:val="false"/>
                <w:sz w:val="20"/>
                <w:u w:val="single"/>
              </w:rPr>
              <w:t>”), a Maryland corporation that operates as an externally managed, closed-end non-diversified management investment company that has elected to be regulated as a business development company (“</w:t>
            </w:r>
            <w:r>
              <w:rPr>
                <w:rFonts w:ascii="Times New Roman;Times;Serif" w:hAnsi="Times New Roman;Times;Serif"/>
                <w:b/>
                <w:i/>
                <w:caps w:val="false"/>
                <w:smallCaps w:val="false"/>
                <w:sz w:val="20"/>
                <w:u w:val="single"/>
              </w:rPr>
              <w:t>BDC</w:t>
            </w:r>
            <w:r>
              <w:rPr>
                <w:rFonts w:ascii="Times New Roman;Times;Serif" w:hAnsi="Times New Roman;Times;Serif"/>
                <w:b w:val="false"/>
                <w:i w:val="false"/>
                <w:caps w:val="false"/>
                <w:smallCaps w:val="false"/>
                <w:sz w:val="20"/>
                <w:u w:val="single"/>
              </w:rPr>
              <w:t>”) under the 1940 Act;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i w:val="false"/>
                <w:caps w:val="false"/>
                <w:smallCaps w:val="false"/>
                <w:color w:val="0000FF"/>
                <w:sz w:val="24"/>
              </w:rPr>
            </w:pPr>
            <w:r>
              <w:rPr>
                <w:rFonts w:ascii="Symbol" w:hAnsi="Symbol"/>
                <w:b w:val="false"/>
                <w:i w:val="false"/>
                <w:caps w:val="false"/>
                <w:smallCaps w:val="false"/>
                <w:color w:val="0000FF"/>
                <w:sz w:val="24"/>
              </w:rPr>
              <w:t>·</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Neostellar Advisors LLC (the “</w:t>
            </w:r>
            <w:r>
              <w:rPr>
                <w:rFonts w:ascii="Times New Roman;Times;Serif" w:hAnsi="Times New Roman;Times;Serif"/>
                <w:b/>
                <w:i/>
                <w:caps w:val="false"/>
                <w:smallCaps w:val="false"/>
                <w:color w:val="0000FF"/>
                <w:sz w:val="20"/>
                <w:u w:val="single"/>
              </w:rPr>
              <w:t>BDC Adviser</w:t>
            </w:r>
            <w:r>
              <w:rPr>
                <w:rFonts w:ascii="Times New Roman;Times;Serif" w:hAnsi="Times New Roman;Times;Serif"/>
                <w:b w:val="false"/>
                <w:i w:val="false"/>
                <w:caps w:val="false"/>
                <w:smallCaps w:val="false"/>
                <w:color w:val="008000"/>
                <w:sz w:val="20"/>
                <w:u w:val="single"/>
              </w:rPr>
              <w:t xml:space="preserve">”), a Delaware limited liability company </w:t>
            </w:r>
            <w:r>
              <w:rPr>
                <w:rFonts w:ascii="Times New Roman;Times;Serif" w:hAnsi="Times New Roman;Times;Serif"/>
                <w:b w:val="false"/>
                <w:i w:val="false"/>
                <w:caps w:val="false"/>
                <w:smallCaps w:val="false"/>
                <w:color w:val="0000FF"/>
                <w:sz w:val="20"/>
                <w:u w:val="single"/>
              </w:rPr>
              <w:t xml:space="preserve">that is an investment adviser registered under the Investment Advisers </w:t>
            </w:r>
            <w:r>
              <w:rPr>
                <w:rFonts w:ascii="Times New Roman;Times;Serif" w:hAnsi="Times New Roman;Times;Serif"/>
                <w:b w:val="false"/>
                <w:i w:val="false"/>
                <w:caps w:val="false"/>
                <w:smallCaps w:val="false"/>
                <w:color w:val="008000"/>
                <w:sz w:val="20"/>
                <w:u w:val="single"/>
              </w:rPr>
              <w:t>Act of 1940, as amended (the “</w:t>
            </w:r>
            <w:r>
              <w:rPr>
                <w:rFonts w:ascii="Times New Roman;Times;Serif" w:hAnsi="Times New Roman;Times;Serif"/>
                <w:b/>
                <w:i/>
                <w:caps w:val="false"/>
                <w:smallCaps w:val="false"/>
                <w:color w:val="0000FF"/>
                <w:sz w:val="20"/>
                <w:u w:val="single"/>
              </w:rPr>
              <w:t>Advisers Act</w:t>
            </w:r>
            <w:r>
              <w:rPr>
                <w:rFonts w:ascii="Times New Roman;Times;Serif" w:hAnsi="Times New Roman;Times;Serif"/>
                <w:b w:val="false"/>
                <w:i w:val="false"/>
                <w:caps w:val="false"/>
                <w:smallCaps w:val="false"/>
                <w:color w:val="0000FF"/>
                <w:sz w:val="20"/>
                <w:u w:val="single"/>
              </w:rPr>
              <w:t>”), and that serves as the investment adviser to the Existing Regulated Fund, on behalf of itself and its successors;</w:t>
            </w:r>
            <w:r>
              <w:rPr>
                <w:rFonts w:ascii="Times New Roman;Times;Serif" w:hAnsi="Times New Roman;Times;Serif"/>
                <w:b w:val="false"/>
                <w:i w:val="false"/>
                <w:caps w:val="false"/>
                <w:smallCaps w:val="false"/>
                <w:color w:val="0000FF"/>
                <w:position w:val="7"/>
                <w:sz w:val="16"/>
                <w:sz w:val="20"/>
                <w:u w:val="single"/>
              </w:rPr>
              <w:t>2</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i w:val="false"/>
                <w:caps w:val="false"/>
                <w:smallCaps w:val="false"/>
                <w:sz w:val="24"/>
              </w:rPr>
            </w:pPr>
            <w:r>
              <w:rPr>
                <w:rFonts w:ascii="Symbol" w:hAnsi="Symbol"/>
                <w:b w:val="false"/>
                <w:i w:val="false"/>
                <w:caps w:val="false"/>
                <w:smallCaps w:val="false"/>
                <w:sz w:val="24"/>
              </w:rPr>
              <w:t>·</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Magnetar Financial LLC (“</w:t>
            </w:r>
            <w:r>
              <w:rPr>
                <w:rFonts w:ascii="Times New Roman;Times;Serif" w:hAnsi="Times New Roman;Times;Serif"/>
                <w:b/>
                <w:i/>
                <w:caps w:val="false"/>
                <w:smallCaps w:val="false"/>
                <w:sz w:val="20"/>
                <w:u w:val="single"/>
              </w:rPr>
              <w:t>Magnetar Financial</w:t>
            </w:r>
            <w:r>
              <w:rPr>
                <w:rFonts w:ascii="Times New Roman;Times;Serif" w:hAnsi="Times New Roman;Times;Serif"/>
                <w:b w:val="false"/>
                <w:i w:val="false"/>
                <w:caps w:val="false"/>
                <w:smallCaps w:val="false"/>
                <w:sz w:val="20"/>
                <w:u w:val="single"/>
              </w:rPr>
              <w:t>”), a Delaware limited liability company that is an investment adviser registered under the Advisers Act, and that serves as the investment adviser to certain Existing Affiliated Funds (as defined below);</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10043" w:type="dxa"/>
            <w:tcBorders/>
            <w:vAlign w:val="center"/>
          </w:tcPr>
          <w:p>
            <w:pPr>
              <w:pStyle w:val="TableContents"/>
              <w:bidi w:val="0"/>
              <w:spacing w:before="0" w:after="283"/>
              <w:jc w:val="both"/>
              <w:rPr>
                <w:u w:val="single"/>
              </w:rPr>
            </w:pPr>
            <w:r>
              <w:rPr>
                <w:u w:val="single"/>
              </w:rPr>
              <w:t>Magnetar Financial (UK) LLP (“</w:t>
            </w:r>
            <w:r>
              <w:rPr>
                <w:b/>
                <w:i/>
                <w:u w:val="single"/>
              </w:rPr>
              <w:t>Magnetar UK</w:t>
            </w:r>
            <w:r>
              <w:rPr>
                <w:u w:val="single"/>
              </w:rPr>
              <w:t>”), a United Kingdom limited liability partnership and the investment adviser to certain Existing Affiliated Funds;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10042" w:type="dxa"/>
            <w:tcBorders/>
            <w:vAlign w:val="center"/>
          </w:tcPr>
          <w:p>
            <w:pPr>
              <w:pStyle w:val="TableContents"/>
              <w:bidi w:val="0"/>
              <w:spacing w:before="0" w:after="283"/>
              <w:jc w:val="both"/>
              <w:rPr>
                <w:u w:val="single"/>
              </w:rPr>
            </w:pPr>
            <w:r>
              <w:rPr>
                <w:u w:val="single"/>
              </w:rPr>
              <w:t>Magnetar Asset Management LLC (“</w:t>
            </w:r>
            <w:r>
              <w:rPr>
                <w:b/>
                <w:i/>
                <w:u w:val="single"/>
              </w:rPr>
              <w:t>Magnetar Asset Management</w:t>
            </w:r>
            <w:r>
              <w:rPr>
                <w:u w:val="single"/>
              </w:rPr>
              <w:t>”), a Delaware limited liability company that is an investment adviser registered under the Advisers Act (and together with the BDC Adviser, Magnetar UK and Magnetar Financial, the “</w:t>
            </w:r>
            <w:r>
              <w:rPr>
                <w:b/>
                <w:i/>
                <w:u w:val="single"/>
              </w:rPr>
              <w:t>Existing Advisers</w:t>
            </w:r>
            <w:r>
              <w:rPr>
                <w:u w:val="single"/>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section and rule references herein are to the 1940 Act and rules promulgated thereunder.</w:t>
            </w:r>
          </w:p>
        </w:tc>
      </w:tr>
      <w:tr>
        <w:trPr/>
        <w:tc>
          <w:tcPr>
            <w:tcW w:w="125" w:type="dxa"/>
            <w:tcBorders/>
            <w:vAlign w:val="center"/>
          </w:tcPr>
          <w:p>
            <w:pPr>
              <w:pStyle w:val="TableContents"/>
              <w:bidi w:val="0"/>
              <w:spacing w:before="0" w:after="283"/>
              <w:jc w:val="both"/>
              <w:rPr>
                <w:rFonts w:ascii="Times New Roman;Times;Serif" w:hAnsi="Times New Roman;Times;Serif"/>
                <w:strike/>
                <w:color w:val="FF0000"/>
                <w:position w:val="7"/>
                <w:sz w:val="16"/>
                <w:sz w:val="20"/>
              </w:rPr>
            </w:pPr>
            <w:r>
              <w:rPr>
                <w:rFonts w:ascii="Times New Roman;Times;Serif" w:hAnsi="Times New Roman;Times;Serif"/>
                <w:strike/>
                <w:color w:val="FF0000"/>
                <w:position w:val="7"/>
                <w:sz w:val="16"/>
                <w:sz w:val="20"/>
              </w:rPr>
              <w:t>2</w:t>
            </w:r>
          </w:p>
        </w:tc>
        <w:tc>
          <w:tcPr>
            <w:tcW w:w="10080" w:type="dxa"/>
            <w:tcBorders/>
            <w:vAlign w:val="center"/>
          </w:tcPr>
          <w:p>
            <w:pPr>
              <w:pStyle w:val="TableContents"/>
              <w:bidi w:val="0"/>
              <w:spacing w:before="0" w:after="283"/>
              <w:jc w:val="both"/>
              <w:rPr/>
            </w:pPr>
            <w:r>
              <w:rPr>
                <w:rFonts w:ascii="Times New Roman;Times;Serif" w:hAnsi="Times New Roman;Times;Serif"/>
                <w:strike/>
                <w:color w:val="FF0000"/>
                <w:sz w:val="20"/>
              </w:rPr>
              <w:t xml:space="preserve">The term “successor,” as applied to each Adviser (as defined below), </w:t>
            </w:r>
            <w:r>
              <w:rPr>
                <w:rFonts w:ascii="Times New Roman;Times;Serif" w:hAnsi="Times New Roman;Times;Serif"/>
                <w:strike/>
                <w:color w:val="008000"/>
                <w:sz w:val="20"/>
              </w:rPr>
              <w:t>means an entity that results from a reorganization into another jurisdiction or change in the type of business organization.</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position w:val="7"/>
                <w:sz w:val="16"/>
                <w:sz w:val="20"/>
                <w:u w:val="single"/>
              </w:rPr>
            </w:pPr>
            <w:r>
              <w:rPr>
                <w:rFonts w:ascii="Times New Roman;Times;Serif" w:hAnsi="Times New Roman;Times;Serif"/>
                <w:b w:val="false"/>
                <w:i w:val="false"/>
                <w:caps w:val="false"/>
                <w:smallCaps w:val="false"/>
                <w:color w:val="0000FF"/>
                <w:position w:val="7"/>
                <w:sz w:val="16"/>
                <w:sz w:val="20"/>
                <w:u w:val="single"/>
              </w:rPr>
              <w:t>2</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The term “</w:t>
            </w:r>
            <w:r>
              <w:rPr>
                <w:rFonts w:ascii="Times New Roman;Times;Serif" w:hAnsi="Times New Roman;Times;Serif"/>
                <w:b/>
                <w:i/>
                <w:caps w:val="false"/>
                <w:smallCaps w:val="false"/>
                <w:color w:val="0000FF"/>
                <w:sz w:val="20"/>
                <w:u w:val="single"/>
              </w:rPr>
              <w:t>successor</w:t>
            </w:r>
            <w:r>
              <w:rPr>
                <w:rFonts w:ascii="Times New Roman;Times;Serif" w:hAnsi="Times New Roman;Times;Serif"/>
                <w:b w:val="false"/>
                <w:i w:val="false"/>
                <w:caps w:val="false"/>
                <w:smallCaps w:val="false"/>
                <w:color w:val="0000FF"/>
                <w:sz w:val="20"/>
                <w:u w:val="single"/>
              </w:rPr>
              <w:t xml:space="preserve">” </w:t>
            </w:r>
            <w:r>
              <w:rPr>
                <w:rFonts w:ascii="Times New Roman;Times;Serif" w:hAnsi="Times New Roman;Times;Serif"/>
                <w:b w:val="false"/>
                <w:i w:val="false"/>
                <w:caps w:val="false"/>
                <w:smallCaps w:val="false"/>
                <w:color w:val="008000"/>
                <w:sz w:val="20"/>
                <w:u w:val="single"/>
              </w:rPr>
              <w:t>means an entity that results from a reorganization into another jurisdiction or change in the type of business organization.</w:t>
            </w:r>
          </w:p>
        </w:tc>
      </w:tr>
      <w:tr>
        <w:trPr/>
        <w:tc>
          <w:tcPr>
            <w:tcW w:w="125" w:type="dxa"/>
            <w:tcBorders/>
            <w:vAlign w:val="center"/>
          </w:tcPr>
          <w:p>
            <w:pPr>
              <w:pStyle w:val="TableContents"/>
              <w:bidi w:val="0"/>
              <w:spacing w:before="0" w:after="283"/>
              <w:jc w:val="both"/>
              <w:rPr>
                <w:rFonts w:ascii="Times New Roman;Times;Serif" w:hAnsi="Times New Roman;Times;Serif"/>
                <w:strike/>
                <w:color w:val="FF0000"/>
                <w:position w:val="7"/>
                <w:sz w:val="16"/>
                <w:sz w:val="20"/>
              </w:rPr>
            </w:pPr>
            <w:r>
              <w:rPr>
                <w:rFonts w:ascii="Times New Roman;Times;Serif" w:hAnsi="Times New Roman;Times;Serif"/>
                <w:strike/>
                <w:color w:val="FF0000"/>
                <w:position w:val="7"/>
                <w:sz w:val="16"/>
                <w:sz w:val="20"/>
              </w:rPr>
              <w:t>3</w:t>
            </w:r>
          </w:p>
        </w:tc>
        <w:tc>
          <w:tcPr>
            <w:tcW w:w="10080" w:type="dxa"/>
            <w:tcBorders/>
            <w:vAlign w:val="center"/>
          </w:tcPr>
          <w:p>
            <w:pPr>
              <w:pStyle w:val="TableContents"/>
              <w:bidi w:val="0"/>
              <w:spacing w:before="0" w:after="283"/>
              <w:jc w:val="both"/>
              <w:rPr>
                <w:rFonts w:ascii="Times New Roman;Times;Serif" w:hAnsi="Times New Roman;Times;Serif"/>
                <w:strike/>
                <w:color w:val="008000"/>
                <w:sz w:val="20"/>
              </w:rPr>
            </w:pPr>
            <w:r>
              <w:rPr>
                <w:rFonts w:ascii="Times New Roman;Times;Serif" w:hAnsi="Times New Roman;Times;Serif"/>
                <w:strike/>
                <w:color w:val="008000"/>
                <w:sz w:val="20"/>
              </w:rPr>
              <w:t>All existing entities that currently intend to rely upon the requested Order have been named as Applicants. Any other existing or future entity that subsequently relies on the Order will comply with the terms and conditions of the Application.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Certain vehicles (as identified on Schedule A hereto) (the “</w:t>
            </w:r>
            <w:r>
              <w:rPr>
                <w:rFonts w:ascii="Times New Roman;Times;Serif" w:hAnsi="Times New Roman;Times;Serif"/>
                <w:b/>
                <w:i/>
                <w:caps w:val="false"/>
                <w:smallCaps w:val="false"/>
                <w:color w:val="0000FF"/>
                <w:sz w:val="20"/>
                <w:u w:val="single"/>
              </w:rPr>
              <w:t>Existing Wholly-Owned Subsidiaries</w:t>
            </w:r>
            <w:r>
              <w:rPr>
                <w:rFonts w:ascii="Times New Roman;Times;Serif" w:hAnsi="Times New Roman;Times;Serif"/>
                <w:b w:val="false"/>
                <w:i w:val="false"/>
                <w:caps w:val="false"/>
                <w:smallCaps w:val="false"/>
                <w:color w:val="0000FF"/>
                <w:sz w:val="20"/>
                <w:u w:val="single"/>
              </w:rPr>
              <w:t>”), each of which is a separate and distinct legal entity and each of which is a Wholly-Owned Investment Sub (as defined below) of the Existing Regulated Fund;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investment vehicles identified on Schedule B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color w:val="0000FF"/>
                <w:sz w:val="20"/>
                <w:u w:val="single"/>
              </w:rPr>
              <w:t>Existing Affiliated Funds</w:t>
            </w:r>
            <w:r>
              <w:rPr>
                <w:rFonts w:ascii="Times New Roman;Times;Serif" w:hAnsi="Times New Roman;Times;Serif"/>
                <w:b w:val="false"/>
                <w:i w:val="false"/>
                <w:caps w:val="false"/>
                <w:smallCaps w:val="false"/>
                <w:color w:val="0000FF"/>
                <w:sz w:val="20"/>
                <w:u w:val="single"/>
              </w:rPr>
              <w:t>” and, together with the Existing Regulated Fund, the Existing Advisers, and the Existing Wholly-Owned Subsidiaries, the “</w:t>
            </w:r>
            <w:r>
              <w:rPr>
                <w:rFonts w:ascii="Times New Roman;Times;Serif" w:hAnsi="Times New Roman;Times;Serif"/>
                <w:b/>
                <w:i/>
                <w:caps w:val="false"/>
                <w:smallCaps w:val="false"/>
                <w:color w:val="0000FF"/>
                <w:sz w:val="20"/>
                <w:u w:val="single"/>
              </w:rPr>
              <w:t>Applicants</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color w:val="0000FF"/>
                <w:position w:val="7"/>
                <w:sz w:val="16"/>
                <w:sz w:val="20"/>
                <w:u w:val="single"/>
              </w:rPr>
              <w:t>3</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“Application”) would allow a Regulated Fund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position w:val="7"/>
                <w:sz w:val="16"/>
                <w:sz w:val="20"/>
                <w:u w:val="single"/>
              </w:rPr>
            </w:pPr>
            <w:r>
              <w:rPr>
                <w:rFonts w:ascii="Times New Roman;Times;Serif" w:hAnsi="Times New Roman;Times;Serif"/>
                <w:b w:val="false"/>
                <w:i w:val="false"/>
                <w:caps w:val="false"/>
                <w:smallCaps w:val="false"/>
                <w:color w:val="0000FF"/>
                <w:position w:val="7"/>
                <w:sz w:val="16"/>
                <w:sz w:val="20"/>
                <w:u w:val="single"/>
              </w:rPr>
              <w:t>3</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8000"/>
                <w:sz w:val="20"/>
                <w:u w:val="single"/>
              </w:rPr>
            </w:pPr>
            <w:r>
              <w:rPr>
                <w:rFonts w:ascii="Times New Roman;Times;Serif" w:hAnsi="Times New Roman;Times;Serif"/>
                <w:b w:val="false"/>
                <w:i w:val="false"/>
                <w:caps w:val="false"/>
                <w:smallCaps w:val="false"/>
                <w:color w:val="008000"/>
                <w:sz w:val="20"/>
                <w:u w:val="single"/>
              </w:rPr>
              <w:t>All existing entities that currently intend to rely upon the requested Order have been named as Applicants. Any other existing or future entity that subsequently relies on the Order will comply with the terms and conditions of the Application.</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Regulated Fun</w:t>
            </w:r>
            <w:r>
              <w:rPr>
                <w:rFonts w:ascii="Times New Roman;Times;Serif" w:hAnsi="Times New Roman;Times;Serif"/>
                <w:b w:val="false"/>
                <w:i w:val="false"/>
                <w:caps w:val="false"/>
                <w:smallCaps w:val="false"/>
                <w:sz w:val="20"/>
              </w:rPr>
              <w:t xml:space="preserve">d” means the Existing Regulated </w:t>
            </w:r>
            <w:r>
              <w:rPr>
                <w:rFonts w:ascii="Times New Roman;Times;Serif" w:hAnsi="Times New Roman;Times;Serif"/>
                <w:b w:val="false"/>
                <w:i w:val="false"/>
                <w:caps w:val="false"/>
                <w:smallCaps w:val="false"/>
                <w:strike/>
                <w:color w:val="FF0000"/>
                <w:sz w:val="20"/>
              </w:rPr>
              <w:t>Funds</w:t>
            </w:r>
            <w:r>
              <w:rPr>
                <w:rFonts w:ascii="Times New Roman;Times;Serif" w:hAnsi="Times New Roman;Times;Serif"/>
                <w:b w:val="false"/>
                <w:i w:val="false"/>
                <w:caps w:val="false"/>
                <w:smallCaps w:val="false"/>
                <w:color w:val="0000FF"/>
                <w:sz w:val="20"/>
                <w:u w:val="single"/>
              </w:rPr>
              <w:t>Fund</w:t>
            </w:r>
            <w:r>
              <w:rPr>
                <w:rFonts w:ascii="Times New Roman;Times;Serif" w:hAnsi="Times New Roman;Times;Serif"/>
                <w:b w:val="false"/>
                <w:i w:val="false"/>
                <w:caps w:val="false"/>
                <w:smallCaps w:val="false"/>
                <w:sz w:val="20"/>
              </w:rPr>
              <w:t xml:space="preserve">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BFA, CFA</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and any other investment adviser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controlling, controlled by, or under common control with </w:t>
            </w:r>
            <w:r>
              <w:rPr>
                <w:rFonts w:ascii="Times New Roman;Times;Serif" w:hAnsi="Times New Roman;Times;Serif"/>
                <w:b w:val="false"/>
                <w:i w:val="false"/>
                <w:caps w:val="false"/>
                <w:smallCaps w:val="false"/>
                <w:strike/>
                <w:color w:val="FF0000"/>
                <w:sz w:val="20"/>
              </w:rPr>
              <w:t>BFA and/or CFA</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The term “Adviser” also includes any internally-managed Regulated Fund.</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85"/>
        <w:gridCol w:w="4115"/>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DESCRIPTION OF THE APPLICANTS</w:t>
            </w:r>
          </w:p>
        </w:tc>
      </w:tr>
    </w:tbl>
    <w:p>
      <w:pPr>
        <w:pStyle w:val="TextBody"/>
        <w:bidi w:val="0"/>
        <w:spacing w:before="0" w:after="283"/>
        <w:jc w:val="left"/>
        <w:rPr/>
      </w:pPr>
      <w:r>
        <w:rPr/>
        <w:t> </w:t>
      </w:r>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color w:val="0000FF"/>
          <w:sz w:val="20"/>
          <w:u w:val="single"/>
        </w:rPr>
        <w:t>Existing Regulated Fund Board</w:t>
      </w:r>
      <w:r>
        <w:rPr>
          <w:rFonts w:ascii="Times New Roman;Times;Serif" w:hAnsi="Times New Roman;Times;Serif"/>
          <w:b w:val="false"/>
          <w:i w:val="false"/>
          <w:caps w:val="false"/>
          <w:smallCaps w:val="false"/>
          <w:color w:val="0000FF"/>
          <w:sz w:val="20"/>
          <w:u w:val="single"/>
        </w:rPr>
        <w:t>” and together with any Future Regulated Fund's board of directors, the “</w:t>
      </w:r>
      <w:r>
        <w:rPr>
          <w:rFonts w:ascii="Times New Roman;Times;Serif" w:hAnsi="Times New Roman;Times;Serif"/>
          <w:b/>
          <w:i/>
          <w:caps w:val="false"/>
          <w:smallCaps w:val="false"/>
          <w:color w:val="0000FF"/>
          <w:sz w:val="20"/>
          <w:u w:val="single"/>
        </w:rPr>
        <w:t>Board</w:t>
      </w:r>
      <w:r>
        <w:rPr>
          <w:rFonts w:ascii="Times New Roman;Times;Serif" w:hAnsi="Times New Roman;Times;Serif"/>
          <w:b w:val="false"/>
          <w:i w:val="false"/>
          <w:caps w:val="false"/>
          <w:smallCaps w:val="false"/>
          <w:color w:val="0000FF"/>
          <w:sz w:val="20"/>
          <w:u w:val="single"/>
        </w:rPr>
        <w:t>”). The Existing Regulated Fund Board consists of seven members, of which five members are not “interested persons” of the Existing Regulated Fund within the meaning of Section 2(a)(19) of the 1940 Act.</w:t>
      </w:r>
      <w:r>
        <w:rPr>
          <w:rFonts w:ascii="Times New Roman;Times;Serif" w:hAnsi="Times New Roman;Times;Serif"/>
          <w:b w:val="false"/>
          <w:i w:val="false"/>
          <w:caps w:val="false"/>
          <w:smallCaps w:val="false"/>
          <w:color w:val="0000FF"/>
          <w:position w:val="7"/>
          <w:sz w:val="16"/>
          <w:sz w:val="20"/>
          <w:u w:val="single"/>
        </w:rPr>
        <w:t>9</w:t>
      </w:r>
    </w:p>
    <w:p>
      <w:pPr>
        <w:pStyle w:val="TextBody"/>
        <w:bidi w:val="0"/>
        <w:jc w:val="both"/>
        <w:rPr>
          <w:caps w:val="false"/>
          <w:smallCaps w:val="false"/>
          <w:color w:val="0000FF"/>
        </w:rPr>
      </w:pPr>
      <w:r>
        <w:rPr>
          <w:caps w:val="false"/>
          <w:smallCaps w:val="false"/>
          <w:color w:val="0000FF"/>
        </w:rPr>
        <w:t> </w:t>
      </w:r>
    </w:p>
    <w:tbl>
      <w:tblPr>
        <w:tblW w:w="2688" w:type="dxa"/>
        <w:jc w:val="left"/>
        <w:tblInd w:w="0" w:type="dxa"/>
        <w:tblLayout w:type="fixed"/>
        <w:tblCellMar>
          <w:top w:w="0" w:type="dxa"/>
          <w:left w:w="0" w:type="dxa"/>
          <w:bottom w:w="0" w:type="dxa"/>
          <w:right w:w="0" w:type="dxa"/>
        </w:tblCellMar>
      </w:tblPr>
      <w:tblGrid>
        <w:gridCol w:w="38"/>
        <w:gridCol w:w="20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Affiliated Funds</w:t>
            </w:r>
          </w:p>
        </w:tc>
      </w:tr>
    </w:tbl>
    <w:p>
      <w:pPr>
        <w:pStyle w:val="TextBody"/>
        <w:bidi w:val="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Affiliated Funds are investment funds, each of whose investment adviser is an Existing Adviser and each of which would be an investment company but for Sections 3(c)(1), 3(c)(5) or 3(c)(7) of the 1940 Act.</w:t>
      </w:r>
      <w:r>
        <w:rPr>
          <w:rFonts w:ascii="Times New Roman;Times;Serif" w:hAnsi="Times New Roman;Times;Serif"/>
          <w:b w:val="false"/>
          <w:i w:val="false"/>
          <w:caps w:val="false"/>
          <w:smallCaps w:val="false"/>
          <w:color w:val="0000FF"/>
          <w:position w:val="7"/>
          <w:sz w:val="16"/>
          <w:sz w:val="20"/>
          <w:u w:val="single"/>
        </w:rPr>
        <w:t>10</w:t>
      </w:r>
      <w:r>
        <w:rPr>
          <w:rFonts w:ascii="Times New Roman;Times;Serif" w:hAnsi="Times New Roman;Times;Serif"/>
          <w:b w:val="false"/>
          <w:i w:val="false"/>
          <w:caps w:val="false"/>
          <w:smallCaps w:val="false"/>
          <w:color w:val="0000FF"/>
          <w:sz w:val="20"/>
          <w:u w:val="single"/>
        </w:rPr>
        <w:t xml:space="preserve"> A list of the Existing Affiliated Funds and their respective investment adviser is included on Schedule B hereto. </w:t>
      </w:r>
    </w:p>
    <w:p>
      <w:pPr>
        <w:pStyle w:val="TextBody"/>
        <w:bidi w:val="0"/>
        <w:jc w:val="both"/>
        <w:rPr>
          <w:caps w:val="false"/>
          <w:smallCaps w:val="false"/>
          <w:color w:val="0000FF"/>
        </w:rPr>
      </w:pPr>
      <w:r>
        <w:rPr>
          <w:caps w:val="false"/>
          <w:smallCaps w:val="false"/>
          <w:color w:val="0000FF"/>
        </w:rPr>
        <w:t> </w:t>
      </w:r>
    </w:p>
    <w:tbl>
      <w:tblPr>
        <w:tblW w:w="2073" w:type="dxa"/>
        <w:jc w:val="left"/>
        <w:tblInd w:w="0" w:type="dxa"/>
        <w:tblLayout w:type="fixed"/>
        <w:tblCellMar>
          <w:top w:w="0" w:type="dxa"/>
          <w:left w:w="0" w:type="dxa"/>
          <w:bottom w:w="0" w:type="dxa"/>
          <w:right w:w="0" w:type="dxa"/>
        </w:tblCellMar>
      </w:tblPr>
      <w:tblGrid>
        <w:gridCol w:w="38"/>
        <w:gridCol w:w="20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Advisers</w:t>
            </w:r>
          </w:p>
        </w:tc>
      </w:tr>
    </w:tbl>
    <w:p>
      <w:pPr>
        <w:pStyle w:val="TextBody"/>
        <w:bidi w:val="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The BDC Adviser serves as the investment adviser of the Existing Regulated Fund and, as identified on Schedule B, an Existing Adviser serves as investment adviser to each of the Existing Affiliated Funds, and an Existing Adviser or another Adviser will serve as the investment adviser to any Future Regulated Fund. On the date of this Application, the clients of the Existing Advisers that intend to rely on this Application are the Existing Regulated Fund and the Existing Affiliated Funds identified on Schedule B hereto.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BDC Adviser is a Delaware limited liability company and is registered as an investment adviser with the Commission under the Advisers Act. 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color w:val="0000FF"/>
          <w:sz w:val="20"/>
          <w:u w:val="single"/>
        </w:rPr>
        <w:t>Administrator</w:t>
      </w:r>
      <w:r>
        <w:rPr>
          <w:rFonts w:ascii="Times New Roman;Times;Serif" w:hAnsi="Times New Roman;Times;Serif"/>
          <w:b w:val="false"/>
          <w:i w:val="false"/>
          <w:caps w:val="false"/>
          <w:smallCaps w:val="false"/>
          <w:color w:val="0000FF"/>
          <w:sz w:val="20"/>
          <w:u w:val="single"/>
        </w:rPr>
        <w:t>”), provides administrative services to the Existing Regulated Fund under an administrative services agreement. The BDC Adviser is jointly owned by Magnetar Holdings LLC (“</w:t>
      </w:r>
      <w:r>
        <w:rPr>
          <w:rFonts w:ascii="Times New Roman;Times;Serif" w:hAnsi="Times New Roman;Times;Serif"/>
          <w:b/>
          <w:i/>
          <w:caps w:val="false"/>
          <w:smallCaps w:val="false"/>
          <w:color w:val="0000FF"/>
          <w:sz w:val="20"/>
          <w:u w:val="single"/>
        </w:rPr>
        <w:t>Magnetar Holdings</w:t>
      </w:r>
      <w:r>
        <w:rPr>
          <w:rFonts w:ascii="Times New Roman;Times;Serif" w:hAnsi="Times New Roman;Times;Serif"/>
          <w:b w:val="false"/>
          <w:i w:val="false"/>
          <w:caps w:val="false"/>
          <w:smallCaps w:val="false"/>
          <w:color w:val="0000FF"/>
          <w:sz w:val="20"/>
          <w:u w:val="single"/>
        </w:rPr>
        <w:t xml:space="preserve">”) and by a vehicle that is in turn owned and controlled by certain officers of the Existing Regulated Fund. Magnetar Holdings is owned and controlled by Magnetar Capital Partners LP, which is in turn an affiliated entity of Magnetar Financial, Magnetar UK and Magnetar Asset Management.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position w:val="7"/>
                <w:sz w:val="16"/>
                <w:sz w:val="20"/>
                <w:u w:val="single"/>
              </w:rPr>
            </w:pPr>
            <w:r>
              <w:rPr>
                <w:rFonts w:ascii="Times New Roman;Times;Serif" w:hAnsi="Times New Roman;Times;Serif"/>
                <w:b w:val="false"/>
                <w:i w:val="false"/>
                <w:caps w:val="false"/>
                <w:smallCaps w:val="false"/>
                <w:color w:val="0000FF"/>
                <w:position w:val="7"/>
                <w:sz w:val="16"/>
                <w:sz w:val="20"/>
                <w:u w:val="single"/>
              </w:rPr>
              <w:t>9</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8000"/>
                <w:sz w:val="20"/>
                <w:u w:val="single"/>
              </w:rPr>
            </w:pPr>
            <w:r>
              <w:rPr>
                <w:rFonts w:ascii="Times New Roman;Times;Serif" w:hAnsi="Times New Roman;Times;Serif"/>
                <w:b w:val="false"/>
                <w:i w:val="false"/>
                <w:caps w:val="false"/>
                <w:smallCaps w:val="false"/>
                <w:color w:val="008000"/>
                <w:sz w:val="20"/>
                <w:u w:val="single"/>
              </w:rPr>
              <w:t>The Board of each Future Regulated Fund will consist of a majority of members who are not “interested persons” of such Future Regulated Fund within the meaning of Section 2(a)(19) of the 1940 Act.</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position w:val="7"/>
                <w:sz w:val="16"/>
                <w:sz w:val="20"/>
                <w:u w:val="single"/>
              </w:rPr>
            </w:pPr>
            <w:r>
              <w:rPr>
                <w:rFonts w:ascii="Times New Roman;Times;Serif" w:hAnsi="Times New Roman;Times;Serif"/>
                <w:b w:val="false"/>
                <w:i w:val="false"/>
                <w:caps w:val="false"/>
                <w:smallCaps w:val="false"/>
                <w:color w:val="0000FF"/>
                <w:position w:val="7"/>
                <w:sz w:val="16"/>
                <w:sz w:val="20"/>
                <w:u w:val="single"/>
              </w:rPr>
              <w:t>10</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the future, an Existing Affiliated Fund may register as an investment company under the Act and, if so registered, will be considered a Regulated Fund for purposes of this application.</w:t>
            </w:r>
          </w:p>
        </w:tc>
      </w:tr>
    </w:tbl>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Asset Management is a Delaware limited liability company and is registered as an investment adviser with the Commission under the Advisers Act. Magnetar Financial is a Delaware limited liability company and is registered as an investment adviser with the Commission under the Advisers Act. Magnetar UK is a United Kingdom limited liability partnership and is registered with the Financial Conduct Authority. The principal place of business of Magnetar Asset Management and Magnetar Financial is 1603 Orrington Avenue, 13th Floor, Evanston, IL 60201. The principal place of business of Magnetar UK is 25 Great Pulteney Street, 3rd Floor, London W1F 9LT, United Kingdom. Either Magnetar UK or Magnetar Financial serves as the investment adviser to each of the Existing Affiliated Funds.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The investment management business that Magnetar Financial, Magnetar UK and Magnetar Asset Management 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 </w:t>
      </w:r>
    </w:p>
    <w:p>
      <w:pPr>
        <w:pStyle w:val="TextBody"/>
        <w:bidi w:val="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Bluerock Asset Management, LLC (“BAM</w:t>
      </w:r>
      <w:r>
        <w:rPr>
          <w:rFonts w:ascii="Times New Roman;Times;Serif" w:hAnsi="Times New Roman;Times;Serif"/>
          <w:b w:val="false"/>
          <w:i w:val="false"/>
          <w:caps w:val="false"/>
          <w:smallCaps w:val="false"/>
          <w:strike/>
          <w:color w:val="008000"/>
          <w:sz w:val="20"/>
        </w:rPr>
        <w:t xml:space="preserve">”), a Delaware limited liability company </w:t>
      </w:r>
      <w:r>
        <w:rPr>
          <w:rFonts w:ascii="Times New Roman;Times;Serif" w:hAnsi="Times New Roman;Times;Serif"/>
          <w:b w:val="false"/>
          <w:i w:val="false"/>
          <w:caps w:val="false"/>
          <w:smallCaps w:val="false"/>
          <w:strike/>
          <w:color w:val="FF0000"/>
          <w:sz w:val="20"/>
        </w:rPr>
        <w:t>formed in 2022, and/or one or more of its affiliates (collectively with BAM, “Bluerock Control Entities”) have controlling interests in each of the Advisers, and thus may be deemed to indirectly control the Regulated Funds. However, the Bluerock Control Entities are holding companies; they do not currently offer investment advisory services to any person, are not expected to do so in the future, and will not be the source of any Co-Investment Transactions under the requested Order. Accordingly, none of the Bluerock Control Entities have been included as Applicants.</w:t>
      </w:r>
    </w:p>
    <w:p>
      <w:pPr>
        <w:pStyle w:val="TextBody"/>
        <w:bidi w:val="0"/>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215"/>
        <w:gridCol w:w="53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w:t>
            </w:r>
          </w:p>
        </w:tc>
      </w:tr>
    </w:tbl>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 (formerly, Bluerock Total Income+ Real Estate Fund) is a Delaware statutory trust formed on May 25, 2012. BPRE is registered under the 1940 Act as a closed-end management investment company. BPRE commenced operations on October 22, 2012. BPRE’s common shares commenced trading on the New York Stock Exchange on December 16, 2025. BPRE is currently treated as a regulated investment company under Sub-Chapter M of the Internal Revenue Code of 1986, as amended (the “</w:t>
      </w:r>
      <w:r>
        <w:rPr>
          <w:rFonts w:ascii="Times New Roman;Times;Serif" w:hAnsi="Times New Roman;Times;Serif"/>
          <w:b/>
          <w:i/>
          <w:caps w:val="false"/>
          <w:smallCaps w:val="false"/>
          <w:strike/>
          <w:color w:val="FF0000"/>
          <w:sz w:val="20"/>
        </w:rPr>
        <w:t>Code</w:t>
      </w:r>
      <w:r>
        <w:rPr>
          <w:rFonts w:ascii="Times New Roman;Times;Serif" w:hAnsi="Times New Roman;Times;Serif"/>
          <w:b w:val="false"/>
          <w:i w:val="false"/>
          <w:caps w:val="false"/>
          <w:smallCaps w:val="false"/>
          <w:strike/>
          <w:color w:val="FF0000"/>
          <w:sz w:val="20"/>
        </w:rPr>
        <w:t>”).</w:t>
      </w:r>
    </w:p>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BPRE’s primary investment objective is to generate current income while secondarily seeking long-term capital appreciation with low to moderate volatility and low correlation to the broader markets.</w:t>
      </w:r>
    </w:p>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BPRE has a six-member board of trustees (the “</w:t>
      </w:r>
      <w:r>
        <w:rPr>
          <w:rFonts w:ascii="Times New Roman;Times;Serif" w:hAnsi="Times New Roman;Times;Serif"/>
          <w:b/>
          <w:i/>
          <w:caps w:val="false"/>
          <w:smallCaps w:val="false"/>
          <w:strike/>
          <w:color w:val="FF0000"/>
          <w:sz w:val="20"/>
        </w:rPr>
        <w:t>BPRE Board</w:t>
      </w:r>
      <w:r>
        <w:rPr>
          <w:rFonts w:ascii="Times New Roman;Times;Serif" w:hAnsi="Times New Roman;Times;Serif"/>
          <w:b w:val="false"/>
          <w:i w:val="false"/>
          <w:caps w:val="false"/>
          <w:smallCaps w:val="false"/>
          <w:strike/>
          <w:color w:val="FF0000"/>
          <w:sz w:val="20"/>
        </w:rPr>
        <w:t>”), of which four members are not “interested” persons of BPRE within the meaning of Section 2(a)(19) of the 1940 Act.</w:t>
      </w:r>
      <w:r>
        <w:rPr>
          <w:rFonts w:ascii="Times New Roman;Times;Serif" w:hAnsi="Times New Roman;Times;Serif"/>
          <w:b w:val="false"/>
          <w:i w:val="false"/>
          <w:caps w:val="false"/>
          <w:smallCaps w:val="false"/>
          <w:strike/>
          <w:color w:val="FF0000"/>
          <w:position w:val="7"/>
          <w:sz w:val="16"/>
          <w:sz w:val="20"/>
        </w:rPr>
        <w:t>9</w:t>
      </w:r>
    </w:p>
    <w:p>
      <w:pPr>
        <w:pStyle w:val="TextBody"/>
        <w:bidi w:val="0"/>
        <w:jc w:val="both"/>
        <w:rPr>
          <w:caps w:val="false"/>
          <w:smallCaps w:val="false"/>
          <w:color w:val="FF0000"/>
        </w:rPr>
      </w:pPr>
      <w:r>
        <w:rPr>
          <w:caps w:val="false"/>
          <w:smallCaps w:val="false"/>
          <w:color w:val="FF0000"/>
        </w:rPr>
        <w:t> </w:t>
      </w:r>
    </w:p>
    <w:tbl>
      <w:tblPr>
        <w:tblW w:w="445" w:type="dxa"/>
        <w:jc w:val="left"/>
        <w:tblInd w:w="0" w:type="dxa"/>
        <w:tblLayout w:type="fixed"/>
        <w:tblCellMar>
          <w:top w:w="0" w:type="dxa"/>
          <w:left w:w="0" w:type="dxa"/>
          <w:bottom w:w="0" w:type="dxa"/>
          <w:right w:w="0" w:type="dxa"/>
        </w:tblCellMar>
      </w:tblPr>
      <w:tblGrid>
        <w:gridCol w:w="215"/>
        <w:gridCol w:w="23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w:t>
            </w:r>
          </w:p>
        </w:tc>
      </w:tr>
    </w:tbl>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 is a Delaware statutory trust formed on August 19, 2021. HI is registered under the 1940 Act as a closed-end management investment company that operates as an interval fund pursuant to Rule 23c-3 under the 1940 Act. HI commenced operations on June 21, 2022. HI is currently treated as a regulated investment company under Sub-Chapter M of the Code.</w:t>
      </w:r>
    </w:p>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HI’s primary investment objective is to generate high current income, while secondarily seeking attractive, long-term risk-adjusted returns, with low correlation to the broader markets.</w:t>
      </w:r>
    </w:p>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HI has a six-member board of trustees (the “</w:t>
      </w:r>
      <w:r>
        <w:rPr>
          <w:rFonts w:ascii="Times New Roman;Times;Serif" w:hAnsi="Times New Roman;Times;Serif"/>
          <w:b/>
          <w:i/>
          <w:caps w:val="false"/>
          <w:smallCaps w:val="false"/>
          <w:strike/>
          <w:color w:val="FF0000"/>
          <w:sz w:val="20"/>
        </w:rPr>
        <w:t>HI Board’’</w:t>
      </w:r>
      <w:r>
        <w:rPr>
          <w:rFonts w:ascii="Times New Roman;Times;Serif" w:hAnsi="Times New Roman;Times;Serif"/>
          <w:b w:val="false"/>
          <w:i w:val="false"/>
          <w:caps w:val="false"/>
          <w:smallCaps w:val="false"/>
          <w:strike/>
          <w:color w:val="FF0000"/>
          <w:sz w:val="20"/>
        </w:rPr>
        <w:t xml:space="preserve"> and, together with the BPRE Board, and any Future Regulated Fund’s board of directors, the “</w:t>
      </w:r>
      <w:r>
        <w:rPr>
          <w:rFonts w:ascii="Times New Roman;Times;Serif" w:hAnsi="Times New Roman;Times;Serif"/>
          <w:b/>
          <w:i/>
          <w:caps w:val="false"/>
          <w:smallCaps w:val="false"/>
          <w:strike/>
          <w:color w:val="FF0000"/>
          <w:sz w:val="20"/>
        </w:rPr>
        <w:t>Board</w:t>
      </w:r>
      <w:r>
        <w:rPr>
          <w:rFonts w:ascii="Times New Roman;Times;Serif" w:hAnsi="Times New Roman;Times;Serif"/>
          <w:b w:val="false"/>
          <w:i w:val="false"/>
          <w:caps w:val="false"/>
          <w:smallCaps w:val="false"/>
          <w:strike/>
          <w:color w:val="FF0000"/>
          <w:sz w:val="20"/>
        </w:rPr>
        <w:t>”), of which four members are not “interested” persons of HI within the meaning of Section 2(a)(19) of the 1940 Act.</w:t>
      </w:r>
    </w:p>
    <w:p>
      <w:pPr>
        <w:pStyle w:val="TextBody"/>
        <w:bidi w:val="0"/>
        <w:jc w:val="both"/>
        <w:rPr>
          <w:caps w:val="false"/>
          <w:smallCaps w:val="false"/>
          <w:color w:val="FF0000"/>
        </w:rPr>
      </w:pPr>
      <w:r>
        <w:rPr>
          <w:caps w:val="false"/>
          <w:smallCaps w:val="false"/>
          <w:color w:val="FF0000"/>
        </w:rPr>
        <w:t> </w:t>
      </w:r>
    </w:p>
    <w:tbl>
      <w:tblPr>
        <w:tblW w:w="1390" w:type="dxa"/>
        <w:jc w:val="left"/>
        <w:tblInd w:w="0" w:type="dxa"/>
        <w:tblLayout w:type="fixed"/>
        <w:tblCellMar>
          <w:top w:w="0" w:type="dxa"/>
          <w:left w:w="0" w:type="dxa"/>
          <w:bottom w:w="0" w:type="dxa"/>
          <w:right w:w="0" w:type="dxa"/>
        </w:tblCellMar>
      </w:tblPr>
      <w:tblGrid>
        <w:gridCol w:w="215"/>
        <w:gridCol w:w="1175"/>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BFA and CFA</w:t>
            </w:r>
          </w:p>
        </w:tc>
      </w:tr>
    </w:tbl>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BFA is a Delaware limited liability company formed on May 11, 2012. BFA is registered with the SEC as an investment adviser under the Advisers Act. BFA is an indirect, majority-owned subsidiary of BAM and serves as investment adviser to BPRE.</w:t>
      </w:r>
    </w:p>
    <w:p>
      <w:pPr>
        <w:pStyle w:val="TextBody"/>
        <w:bidi w:val="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CFA is a Delaware limited liability company formed on November 29, 2017. CFA is registered with the SEC as an investment adviser under the Advisers Act. CFA is an indirect, majority-owned subsidiary of BAM and serves as investment adviser to HI.</w:t>
      </w:r>
    </w:p>
    <w:p>
      <w:pPr>
        <w:pStyle w:val="TextBody"/>
        <w:bidi w:val="0"/>
        <w:jc w:val="both"/>
        <w:rPr>
          <w:caps w:val="false"/>
          <w:smallCaps w:val="false"/>
          <w:color w:val="FF0000"/>
        </w:rPr>
      </w:pPr>
      <w:r>
        <w:rPr>
          <w:caps w:val="false"/>
          <w:smallCaps w:val="false"/>
          <w:color w:val="FF0000"/>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an investment advisory agreement with </w:t>
      </w:r>
      <w:r>
        <w:rPr>
          <w:rFonts w:ascii="Times New Roman;Times;Serif" w:hAnsi="Times New Roman;Times;Serif"/>
          <w:b w:val="false"/>
          <w:i w:val="false"/>
          <w:caps w:val="false"/>
          <w:smallCaps w:val="false"/>
          <w:strike/>
          <w:color w:val="FF0000"/>
          <w:sz w:val="20"/>
        </w:rPr>
        <w:t>BPRE and HI, BFA and CFA, respectively,</w:t>
      </w:r>
      <w:r>
        <w:rPr>
          <w:rFonts w:ascii="Times New Roman;Times;Serif" w:hAnsi="Times New Roman;Times;Serif"/>
          <w:b w:val="false"/>
          <w:i w:val="false"/>
          <w:caps w:val="false"/>
          <w:smallCaps w:val="false"/>
          <w:color w:val="0000FF"/>
          <w:sz w:val="20"/>
          <w:u w:val="single"/>
        </w:rPr>
        <w:t>the Existing Regulated Fund and each Existing Affiliated Fund, as applicable, the Existing Advisers</w:t>
      </w:r>
      <w:r>
        <w:rPr>
          <w:rFonts w:ascii="Times New Roman;Times;Serif" w:hAnsi="Times New Roman;Times;Serif"/>
          <w:b w:val="false"/>
          <w:i w:val="false"/>
          <w:caps w:val="false"/>
          <w:smallCaps w:val="false"/>
          <w:sz w:val="20"/>
        </w:rPr>
        <w:t xml:space="preserve"> will, among other things, manage the investment portfolio, direct purchases and sales of portfolio securities and report thereon to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Existing Regulated Fund’s </w:t>
      </w:r>
      <w:r>
        <w:rPr>
          <w:rFonts w:ascii="Times New Roman;Times;Serif" w:hAnsi="Times New Roman;Times;Serif"/>
          <w:b w:val="false"/>
          <w:i w:val="false"/>
          <w:caps w:val="false"/>
          <w:smallCaps w:val="false"/>
          <w:color w:val="0000FF"/>
          <w:sz w:val="20"/>
          <w:u w:val="single"/>
        </w:rPr>
        <w:t xml:space="preserve">and each Existing Affiliated Fund’s </w:t>
      </w:r>
      <w:r>
        <w:rPr>
          <w:rFonts w:ascii="Times New Roman;Times;Serif" w:hAnsi="Times New Roman;Times;Serif"/>
          <w:b w:val="false"/>
          <w:i w:val="false"/>
          <w:caps w:val="false"/>
          <w:smallCaps w:val="false"/>
          <w:sz w:val="20"/>
        </w:rPr>
        <w:t>officers and directors</w:t>
      </w:r>
      <w:r>
        <w:rPr>
          <w:rFonts w:ascii="Times New Roman;Times;Serif" w:hAnsi="Times New Roman;Times;Serif"/>
          <w:b w:val="false"/>
          <w:i w:val="false"/>
          <w:caps w:val="false"/>
          <w:smallCaps w:val="false"/>
          <w:color w:val="0000FF"/>
          <w:sz w:val="20"/>
          <w:u w:val="single"/>
        </w:rPr>
        <w:t>/trustees/manager</w:t>
      </w:r>
      <w:r>
        <w:rPr>
          <w:rFonts w:ascii="Times New Roman;Times;Serif" w:hAnsi="Times New Roman;Times;Serif"/>
          <w:b w:val="false"/>
          <w:i w:val="false"/>
          <w:caps w:val="false"/>
          <w:smallCaps w:val="false"/>
          <w:sz w:val="20"/>
        </w:rPr>
        <w:t xml:space="preserve"> regularly.</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Times New Roman;Times;Serif" w:hAnsi="Times New Roman;Times;Serif"/>
                <w:strike/>
                <w:color w:val="FF0000"/>
                <w:position w:val="7"/>
                <w:sz w:val="16"/>
                <w:sz w:val="20"/>
              </w:rPr>
            </w:pPr>
            <w:r>
              <w:rPr>
                <w:rFonts w:ascii="Times New Roman;Times;Serif" w:hAnsi="Times New Roman;Times;Serif"/>
                <w:strike/>
                <w:color w:val="FF0000"/>
                <w:position w:val="7"/>
                <w:sz w:val="16"/>
                <w:sz w:val="20"/>
              </w:rPr>
              <w:t>9</w:t>
            </w:r>
          </w:p>
        </w:tc>
        <w:tc>
          <w:tcPr>
            <w:tcW w:w="10080" w:type="dxa"/>
            <w:tcBorders/>
            <w:vAlign w:val="center"/>
          </w:tcPr>
          <w:p>
            <w:pPr>
              <w:pStyle w:val="TableContents"/>
              <w:bidi w:val="0"/>
              <w:spacing w:before="0" w:after="283"/>
              <w:jc w:val="both"/>
              <w:rPr>
                <w:rFonts w:ascii="Times New Roman;Times;Serif" w:hAnsi="Times New Roman;Times;Serif"/>
                <w:strike/>
                <w:color w:val="008000"/>
                <w:sz w:val="20"/>
              </w:rPr>
            </w:pPr>
            <w:r>
              <w:rPr>
                <w:rFonts w:ascii="Times New Roman;Times;Serif" w:hAnsi="Times New Roman;Times;Serif"/>
                <w:strike/>
                <w:color w:val="008000"/>
                <w:sz w:val="20"/>
              </w:rPr>
              <w:t>The Board of each Future Regulated Fund will consist of a majority of members who are not “interested persons” of such Future Regulated Fund within the meaning of Section 2(a)(19) of the 1940 Act.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ORDER REQUESTED</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200"/>
        <w:gridCol w:w="13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A.</w:t>
            </w:r>
          </w:p>
        </w:tc>
        <w:tc>
          <w:tcPr>
            <w:tcW w:w="135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Applicable Law</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strike/>
          <w:color w:val="FF0000"/>
          <w:position w:val="7"/>
          <w:sz w:val="16"/>
          <w:sz w:val="20"/>
        </w:rPr>
        <w:t>10</w:t>
      </w:r>
      <w:r>
        <w:rPr>
          <w:rFonts w:ascii="Times New Roman;Times;Serif" w:hAnsi="Times New Roman;Times;Serif"/>
          <w:b w:val="false"/>
          <w:i w:val="false"/>
          <w:caps w:val="false"/>
          <w:smallCaps w:val="false"/>
          <w:color w:val="0000FF"/>
          <w:position w:val="7"/>
          <w:sz w:val="16"/>
          <w:sz w:val="20"/>
          <w:u w:val="single"/>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200"/>
        <w:gridCol w:w="12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B.</w:t>
            </w:r>
          </w:p>
        </w:tc>
        <w:tc>
          <w:tcPr>
            <w:tcW w:w="128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Need for Relief</w:t>
            </w:r>
          </w:p>
        </w:tc>
      </w:tr>
    </w:tbl>
    <w:p>
      <w:pPr>
        <w:pStyle w:val="TextBody"/>
        <w:bidi w:val="0"/>
        <w:ind w:left="187"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w:t>
      </w:r>
      <w:r>
        <w:rPr>
          <w:rFonts w:ascii="Times New Roman;Times;Serif" w:hAnsi="Times New Roman;Times;Serif"/>
          <w:b w:val="false"/>
          <w:i w:val="false"/>
          <w:caps w:val="false"/>
          <w:smallCaps w:val="false"/>
          <w:color w:val="0000FF"/>
          <w:sz w:val="20"/>
          <w:u w:val="single"/>
        </w:rPr>
        <w:t xml:space="preserve">fund </w:t>
      </w:r>
      <w:r>
        <w:rPr>
          <w:rFonts w:ascii="Times New Roman;Times;Serif" w:hAnsi="Times New Roman;Times;Serif"/>
          <w:b w:val="false"/>
          <w:i w:val="false"/>
          <w:caps w:val="false"/>
          <w:smallCaps w:val="false"/>
          <w:sz w:val="20"/>
        </w:rPr>
        <w:t>or closed-end fund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or a business development company, respectively, including a sub-adviser. Thus, an Adviser and any Affiliated Entities that it advises could be deemed to be persons related to Regulated Funds in a manner described by Sections 17(d) and 57(b). </w:t>
      </w:r>
      <w:r>
        <w:rPr>
          <w:rFonts w:ascii="Times New Roman;Times;Serif" w:hAnsi="Times New Roman;Times;Serif"/>
          <w:b w:val="false"/>
          <w:i w:val="false"/>
          <w:caps w:val="false"/>
          <w:smallCaps w:val="false"/>
          <w:strike/>
          <w:color w:val="FF0000"/>
          <w:sz w:val="20"/>
        </w:rPr>
        <w:t>BFA and CFA are each majority-owned by BAM,</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xml:space="preserve"> are under common control, and are thus affiliated persons of each other.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with respect to </w:t>
      </w:r>
      <w:r>
        <w:rPr>
          <w:rFonts w:ascii="Times New Roman;Times;Serif" w:hAnsi="Times New Roman;Times;Serif"/>
          <w:b w:val="false"/>
          <w:i w:val="false"/>
          <w:caps w:val="false"/>
          <w:smallCaps w:val="false"/>
          <w:strike/>
          <w:color w:val="FF0000"/>
          <w:sz w:val="20"/>
        </w:rPr>
        <w:t>BFA and CFA</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Times;Serif" w:hAnsi="Times New Roman;Times;Serif"/>
          <w:b w:val="false"/>
          <w:i w:val="false"/>
          <w:caps w:val="false"/>
          <w:smallCaps w:val="false"/>
          <w:strike/>
          <w:color w:val="FF0000"/>
          <w:sz w:val="20"/>
        </w:rPr>
        <w:t>BFA, CFA,</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10</w:t>
            </w:r>
            <w:r>
              <w:rPr>
                <w:color w:val="0000FF"/>
                <w:position w:val="8"/>
                <w:sz w:val="19"/>
                <w:u w:val="single"/>
              </w:rPr>
              <w:t xml:space="preserve"> </w:t>
            </w:r>
            <w:r>
              <w:rPr>
                <w:rFonts w:ascii="Times New Roman;Times;Serif" w:hAnsi="Times New Roman;Times;Serif"/>
                <w:color w:val="0000FF"/>
                <w:position w:val="7"/>
                <w:sz w:val="16"/>
                <w:sz w:val="20"/>
                <w:u w:val="single"/>
              </w:rPr>
              <w:t>11</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tc>
      </w:tr>
    </w:tbl>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C.</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Conditions</w:t>
            </w:r>
          </w:p>
        </w:tc>
      </w:tr>
    </w:tbl>
    <w:p>
      <w:pPr>
        <w:pStyle w:val="TextBody"/>
        <w:bidi w:val="0"/>
        <w:ind w:left="187"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00"/>
        <w:gridCol w:w="9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b/>
                <w:i/>
                <w:color w:val="0000FF"/>
                <w:sz w:val="20"/>
                <w:u w:val="single"/>
              </w:rPr>
            </w:pPr>
            <w:r>
              <w:rPr>
                <w:rFonts w:ascii="Times New Roman;Times;Serif" w:hAnsi="Times New Roman;Times;Serif"/>
                <w:b/>
                <w:i/>
                <w:color w:val="0000FF"/>
                <w:sz w:val="20"/>
                <w:u w:val="single"/>
              </w:rPr>
              <w:t>C.</w:t>
            </w:r>
          </w:p>
        </w:tc>
        <w:tc>
          <w:tcPr>
            <w:tcW w:w="950" w:type="dxa"/>
            <w:tcBorders/>
            <w:vAlign w:val="center"/>
          </w:tcPr>
          <w:p>
            <w:pPr>
              <w:pStyle w:val="TableContents"/>
              <w:bidi w:val="0"/>
              <w:spacing w:before="0" w:after="283"/>
              <w:jc w:val="both"/>
              <w:rPr>
                <w:rFonts w:ascii="Times New Roman;Times;Serif" w:hAnsi="Times New Roman;Times;Serif"/>
                <w:b/>
                <w:i/>
                <w:color w:val="0000FF"/>
                <w:sz w:val="20"/>
                <w:u w:val="single"/>
              </w:rPr>
            </w:pPr>
            <w:r>
              <w:rPr>
                <w:rFonts w:ascii="Times New Roman;Times;Serif" w:hAnsi="Times New Roman;Times;Serif"/>
                <w:b/>
                <w:i/>
                <w:color w:val="0000FF"/>
                <w:sz w:val="20"/>
                <w:u w:val="single"/>
              </w:rPr>
              <w:t>Conditions</w:t>
            </w:r>
          </w:p>
        </w:tc>
      </w:tr>
    </w:tbl>
    <w:p>
      <w:pPr>
        <w:pStyle w:val="TextBody"/>
        <w:bidi w:val="0"/>
        <w:ind w:left="187"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strike/>
          <w:color w:val="FF0000"/>
          <w:position w:val="7"/>
          <w:sz w:val="16"/>
          <w:sz w:val="20"/>
        </w:rPr>
        <w:t>11</w:t>
      </w:r>
      <w:r>
        <w:rPr>
          <w:rFonts w:ascii="Times New Roman;Times;Serif" w:hAnsi="Times New Roman;Times;Serif"/>
          <w:b w:val="false"/>
          <w:i w:val="false"/>
          <w:caps w:val="false"/>
          <w:smallCaps w:val="false"/>
          <w:color w:val="0000FF"/>
          <w:position w:val="7"/>
          <w:sz w:val="16"/>
          <w:sz w:val="20"/>
          <w:u w:val="single"/>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strike/>
          <w:color w:val="FF0000"/>
          <w:position w:val="7"/>
          <w:sz w:val="16"/>
          <w:sz w:val="20"/>
        </w:rPr>
        <w:t>12</w:t>
      </w:r>
      <w:r>
        <w:rPr>
          <w:rFonts w:ascii="Times New Roman;Times;Serif" w:hAnsi="Times New Roman;Times;Serif"/>
          <w:b w:val="false"/>
          <w:i w:val="false"/>
          <w:caps w:val="false"/>
          <w:smallCaps w:val="false"/>
          <w:color w:val="0000FF"/>
          <w:position w:val="7"/>
          <w:sz w:val="16"/>
          <w:sz w:val="20"/>
          <w:u w:val="single"/>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strike/>
          <w:color w:val="FF0000"/>
          <w:position w:val="7"/>
          <w:sz w:val="16"/>
          <w:sz w:val="20"/>
        </w:rPr>
        <w:t>13</w:t>
      </w:r>
      <w:r>
        <w:rPr>
          <w:rFonts w:ascii="Times New Roman;Times;Serif" w:hAnsi="Times New Roman;Times;Serif"/>
          <w:b w:val="false"/>
          <w:i w:val="false"/>
          <w:caps w:val="false"/>
          <w:smallCaps w:val="false"/>
          <w:color w:val="0000FF"/>
          <w:position w:val="7"/>
          <w:sz w:val="16"/>
          <w:sz w:val="20"/>
          <w:u w:val="single"/>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strike/>
          <w:color w:val="FF0000"/>
          <w:position w:val="7"/>
          <w:sz w:val="16"/>
          <w:sz w:val="20"/>
        </w:rPr>
        <w:t>14</w:t>
      </w:r>
      <w:r>
        <w:rPr>
          <w:rFonts w:ascii="Times New Roman;Times;Serif" w:hAnsi="Times New Roman;Times;Serif"/>
          <w:b w:val="false"/>
          <w:i w:val="false"/>
          <w:caps w:val="false"/>
          <w:smallCaps w:val="false"/>
          <w:color w:val="0000FF"/>
          <w:position w:val="7"/>
          <w:sz w:val="16"/>
          <w:sz w:val="20"/>
          <w:u w:val="single"/>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strike/>
          <w:color w:val="FF0000"/>
          <w:position w:val="7"/>
          <w:sz w:val="16"/>
          <w:sz w:val="20"/>
        </w:rPr>
        <w:t>15</w:t>
      </w:r>
      <w:r>
        <w:rPr>
          <w:rFonts w:ascii="Times New Roman;Times;Serif" w:hAnsi="Times New Roman;Times;Serif"/>
          <w:b w:val="false"/>
          <w:i w:val="false"/>
          <w:caps w:val="false"/>
          <w:smallCaps w:val="false"/>
          <w:color w:val="0000FF"/>
          <w:position w:val="7"/>
          <w:sz w:val="16"/>
          <w:sz w:val="20"/>
          <w:u w:val="single"/>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strike/>
          <w:color w:val="FF0000"/>
          <w:position w:val="7"/>
          <w:sz w:val="16"/>
          <w:sz w:val="20"/>
        </w:rPr>
        <w:t>16</w:t>
      </w:r>
      <w:r>
        <w:rPr>
          <w:rFonts w:ascii="Times New Roman;Times;Serif" w:hAnsi="Times New Roman;Times;Serif"/>
          <w:b w:val="false"/>
          <w:i w:val="false"/>
          <w:caps w:val="false"/>
          <w:smallCaps w:val="false"/>
          <w:color w:val="0000FF"/>
          <w:position w:val="7"/>
          <w:sz w:val="16"/>
          <w:sz w:val="20"/>
          <w:u w:val="single"/>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11</w:t>
            </w:r>
            <w:r>
              <w:rPr>
                <w:color w:val="0000FF"/>
                <w:position w:val="8"/>
                <w:sz w:val="19"/>
                <w:u w:val="single"/>
              </w:rPr>
              <w:t xml:space="preserve"> </w:t>
            </w:r>
            <w:r>
              <w:rPr>
                <w:rFonts w:ascii="Times New Roman;Times;Serif" w:hAnsi="Times New Roman;Times;Serif"/>
                <w:color w:val="0000FF"/>
                <w:position w:val="7"/>
                <w:sz w:val="16"/>
                <w:sz w:val="20"/>
                <w:u w:val="single"/>
              </w:rPr>
              <w:t>12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a Board can also, consistent with applicable fund documents, facilitate this opportunity by delegating the authority to veto the selection of such person to a committee of the Board.</w:t>
            </w:r>
          </w:p>
        </w:tc>
      </w:tr>
      <w:tr>
        <w:trPr/>
        <w:tc>
          <w:tcPr>
            <w:tcW w:w="231"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 xml:space="preserve">12 </w:t>
            </w:r>
            <w:r>
              <w:rPr>
                <w:rFonts w:ascii="Times New Roman;Times;Serif" w:hAnsi="Times New Roman;Times;Serif"/>
                <w:color w:val="0000FF"/>
                <w:position w:val="7"/>
                <w:sz w:val="16"/>
                <w:sz w:val="20"/>
                <w:u w:val="single"/>
              </w:rPr>
              <w:t>13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tc>
      </w:tr>
      <w:tr>
        <w:trPr/>
        <w:tc>
          <w:tcPr>
            <w:tcW w:w="231"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13</w:t>
            </w:r>
            <w:r>
              <w:rPr>
                <w:color w:val="0000FF"/>
                <w:position w:val="8"/>
                <w:sz w:val="19"/>
                <w:u w:val="single"/>
              </w:rPr>
              <w:t xml:space="preserve"> </w:t>
            </w:r>
            <w:r>
              <w:rPr>
                <w:rFonts w:ascii="Times New Roman;Times;Serif" w:hAnsi="Times New Roman;Times;Serif"/>
                <w:color w:val="0000FF"/>
                <w:position w:val="7"/>
                <w:sz w:val="16"/>
                <w:sz w:val="20"/>
                <w:u w:val="single"/>
              </w:rPr>
              <w:t>14</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tc>
      </w:tr>
      <w:tr>
        <w:trPr/>
        <w:tc>
          <w:tcPr>
            <w:tcW w:w="231"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 xml:space="preserve">14 </w:t>
            </w:r>
            <w:r>
              <w:rPr>
                <w:rFonts w:ascii="Times New Roman;Times;Serif" w:hAnsi="Times New Roman;Times;Serif"/>
                <w:color w:val="0000FF"/>
                <w:position w:val="7"/>
                <w:sz w:val="16"/>
                <w:sz w:val="20"/>
                <w:u w:val="single"/>
              </w:rPr>
              <w:t>15</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of an individual Participant that are incurred solely by the Participant due to its unique circumstances (such as legal and compliance expenses) will be borne by such Participant.</w:t>
            </w:r>
          </w:p>
        </w:tc>
      </w:tr>
      <w:tr>
        <w:trPr/>
        <w:tc>
          <w:tcPr>
            <w:tcW w:w="231"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 xml:space="preserve">15 </w:t>
            </w:r>
            <w:r>
              <w:rPr>
                <w:rFonts w:ascii="Times New Roman;Times;Serif" w:hAnsi="Times New Roman;Times;Serif"/>
                <w:color w:val="0000FF"/>
                <w:position w:val="7"/>
                <w:sz w:val="16"/>
                <w:sz w:val="20"/>
                <w:u w:val="single"/>
              </w:rPr>
              <w:t>16</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Applicants are not requesting and the Commission is not providing any relief for transaction fees received in connection with any Co-Investment Transaction.</w:t>
            </w:r>
          </w:p>
        </w:tc>
      </w:tr>
      <w:tr>
        <w:trPr/>
        <w:tc>
          <w:tcPr>
            <w:tcW w:w="231"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16</w:t>
            </w:r>
            <w:r>
              <w:rPr>
                <w:color w:val="0000FF"/>
                <w:position w:val="8"/>
                <w:sz w:val="19"/>
                <w:u w:val="single"/>
              </w:rPr>
              <w:t xml:space="preserve"> </w:t>
            </w:r>
            <w:r>
              <w:rPr>
                <w:rFonts w:ascii="Times New Roman;Times;Serif" w:hAnsi="Times New Roman;Times;Serif"/>
                <w:color w:val="0000FF"/>
                <w:position w:val="7"/>
                <w:sz w:val="16"/>
                <w:sz w:val="20"/>
                <w:u w:val="single"/>
              </w:rPr>
              <w:t>17</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Affiliated Entities may adopt shared Co-Investment Policies.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strike/>
                <w:color w:val="FF0000"/>
                <w:position w:val="7"/>
                <w:sz w:val="16"/>
                <w:sz w:val="20"/>
              </w:rPr>
              <w:t>17</w:t>
            </w:r>
            <w:r>
              <w:rPr>
                <w:rFonts w:ascii="Times New Roman;Times;Serif" w:hAnsi="Times New Roman;Times;Serif"/>
                <w:b w:val="false"/>
                <w:i w:val="false"/>
                <w:caps w:val="false"/>
                <w:smallCaps w:val="false"/>
                <w:color w:val="0000FF"/>
                <w:position w:val="7"/>
                <w:sz w:val="16"/>
                <w:sz w:val="20"/>
                <w:u w:val="single"/>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strike/>
                <w:color w:val="FF0000"/>
                <w:position w:val="7"/>
                <w:sz w:val="16"/>
                <w:sz w:val="20"/>
              </w:rPr>
              <w:t>18</w:t>
            </w:r>
            <w:r>
              <w:rPr>
                <w:rFonts w:ascii="Times New Roman;Times;Serif" w:hAnsi="Times New Roman;Times;Serif"/>
                <w:b w:val="false"/>
                <w:i w:val="false"/>
                <w:caps w:val="false"/>
                <w:smallCaps w:val="false"/>
                <w:color w:val="0000FF"/>
                <w:position w:val="7"/>
                <w:sz w:val="16"/>
                <w:sz w:val="20"/>
                <w:u w:val="single"/>
              </w:rPr>
              <w:t>19</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Board Oversight</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283"/>
        <w:jc w:val="left"/>
        <w:rPr/>
      </w:pPr>
      <w:r>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strike/>
          <w:color w:val="FF0000"/>
          <w:position w:val="7"/>
          <w:sz w:val="16"/>
          <w:sz w:val="20"/>
        </w:rPr>
        <w:t>19</w:t>
      </w:r>
      <w:r>
        <w:rPr>
          <w:rFonts w:ascii="Times New Roman;Times;Serif" w:hAnsi="Times New Roman;Times;Serif"/>
          <w:b w:val="false"/>
          <w:i w:val="false"/>
          <w:caps w:val="false"/>
          <w:smallCaps w:val="false"/>
          <w:color w:val="0000FF"/>
          <w:position w:val="7"/>
          <w:sz w:val="16"/>
          <w:sz w:val="20"/>
          <w:u w:val="single"/>
        </w:rPr>
        <w:t>20</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17</w:t>
            </w:r>
            <w:r>
              <w:rPr>
                <w:color w:val="0000FF"/>
                <w:position w:val="8"/>
                <w:sz w:val="19"/>
                <w:u w:val="single"/>
              </w:rPr>
              <w:t xml:space="preserve"> </w:t>
            </w:r>
            <w:r>
              <w:rPr>
                <w:rFonts w:ascii="Times New Roman;Times;Serif" w:hAnsi="Times New Roman;Times;Serif"/>
                <w:color w:val="0000FF"/>
                <w:position w:val="7"/>
                <w:sz w:val="16"/>
                <w:sz w:val="20"/>
                <w:u w:val="single"/>
              </w:rPr>
              <w:t>18</w:t>
            </w:r>
          </w:p>
        </w:tc>
        <w:tc>
          <w:tcPr>
            <w:tcW w:w="9943" w:type="dxa"/>
            <w:tcBorders/>
            <w:vAlign w:val="center"/>
          </w:tcPr>
          <w:p>
            <w:pPr>
              <w:pStyle w:val="TableContents"/>
              <w:bidi w:val="0"/>
              <w:spacing w:before="0" w:after="283"/>
              <w:jc w:val="both"/>
              <w:rPr/>
            </w:pPr>
            <w:r>
              <w:rPr/>
              <w:t>“</w:t>
            </w:r>
            <w:r>
              <w:rPr>
                <w:rFonts w:ascii="Times New Roman;Times;Serif" w:hAnsi="Times New Roman;Times;Serif"/>
                <w:b/>
                <w:i/>
                <w:sz w:val="20"/>
              </w:rPr>
              <w:t>Disposition</w:t>
            </w:r>
            <w:r>
              <w:rPr>
                <w:rFonts w:ascii="Times New Roman;Times;Serif" w:hAnsi="Times New Roman;Times;Serif"/>
                <w:sz w:val="20"/>
              </w:rPr>
              <w:t>” means the sale, exchange, transfer or other disposition of an interest in a security of an issuer.</w:t>
            </w:r>
          </w:p>
        </w:tc>
      </w:tr>
      <w:tr>
        <w:trPr/>
        <w:tc>
          <w:tcPr>
            <w:tcW w:w="262"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18</w:t>
            </w:r>
            <w:r>
              <w:rPr>
                <w:color w:val="0000FF"/>
                <w:position w:val="8"/>
                <w:sz w:val="19"/>
                <w:u w:val="single"/>
              </w:rPr>
              <w:t xml:space="preserve"> </w:t>
            </w:r>
            <w:r>
              <w:rPr>
                <w:rFonts w:ascii="Times New Roman;Times;Serif" w:hAnsi="Times New Roman;Times;Serif"/>
                <w:color w:val="0000FF"/>
                <w:position w:val="7"/>
                <w:sz w:val="16"/>
                <w:sz w:val="20"/>
                <w:u w:val="single"/>
              </w:rPr>
              <w:t>19</w:t>
            </w:r>
          </w:p>
        </w:tc>
        <w:tc>
          <w:tcPr>
            <w:tcW w:w="9943" w:type="dxa"/>
            <w:tcBorders/>
            <w:vAlign w:val="center"/>
          </w:tcPr>
          <w:p>
            <w:pPr>
              <w:pStyle w:val="TableContents"/>
              <w:bidi w:val="0"/>
              <w:spacing w:before="0" w:after="283"/>
              <w:jc w:val="both"/>
              <w:rPr/>
            </w:pPr>
            <w:r>
              <w:rPr/>
              <w:t>“</w:t>
            </w:r>
            <w:r>
              <w:rPr>
                <w:rFonts w:ascii="Times New Roman;Times;Serif" w:hAnsi="Times New Roman;Times;Serif"/>
                <w:b/>
                <w:i/>
                <w:sz w:val="20"/>
              </w:rPr>
              <w:t>Tradable Security</w:t>
            </w:r>
            <w:r>
              <w:rPr>
                <w:rFonts w:ascii="Times New Roman;Times;Serif" w:hAnsi="Times New Roman;Times;Serif"/>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tc>
      </w:tr>
      <w:tr>
        <w:trPr/>
        <w:tc>
          <w:tcPr>
            <w:tcW w:w="262"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19</w:t>
            </w:r>
            <w:r>
              <w:rPr>
                <w:color w:val="0000FF"/>
                <w:position w:val="8"/>
                <w:sz w:val="19"/>
                <w:u w:val="single"/>
              </w:rPr>
              <w:t xml:space="preserve"> </w:t>
            </w:r>
            <w:r>
              <w:rPr>
                <w:rFonts w:ascii="Times New Roman;Times;Serif" w:hAnsi="Times New Roman;Times;Serif"/>
                <w:color w:val="0000FF"/>
                <w:position w:val="7"/>
                <w:sz w:val="16"/>
                <w:sz w:val="20"/>
                <w:u w:val="single"/>
              </w:rPr>
              <w:t>20</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tc>
      </w:tr>
    </w:tbl>
    <w:p>
      <w:pPr>
        <w:pStyle w:val="TextBody"/>
        <w:bidi w:val="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STATEMENT IN SUPPORT OF RELIEF REQUESTED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ind w:left="0" w:right="0" w:firstLine="360"/>
        <w:jc w:val="both"/>
        <w:rPr>
          <w:caps w:val="false"/>
          <w:smallCaps w:val="false"/>
        </w:rPr>
      </w:pPr>
      <w:r>
        <w:rPr>
          <w:caps w:val="false"/>
          <w:smallCaps w:val="false"/>
        </w:rPr>
        <w:t> </w:t>
      </w:r>
    </w:p>
    <w:p>
      <w:pPr>
        <w:pStyle w:val="TextBody"/>
        <w:bidi w:val="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Benefits to the Regulated Funds and their Shareholders</w:t>
      </w:r>
    </w:p>
    <w:p>
      <w:pPr>
        <w:pStyle w:val="TextBody"/>
        <w:bidi w:val="0"/>
        <w:ind w:left="187"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ind w:left="0" w:right="0" w:firstLine="360"/>
        <w:jc w:val="both"/>
        <w:rPr>
          <w:caps w:val="false"/>
          <w:smallCaps w:val="false"/>
        </w:rPr>
      </w:pPr>
      <w:r>
        <w:rPr>
          <w:caps w:val="false"/>
          <w:smallCaps w:val="false"/>
        </w:rPr>
        <w:t> </w:t>
      </w:r>
    </w:p>
    <w:p>
      <w:pPr>
        <w:pStyle w:val="TextBody"/>
        <w:bidi w:val="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Shareholder Protections</w:t>
      </w:r>
    </w:p>
    <w:p>
      <w:pPr>
        <w:pStyle w:val="TextBody"/>
        <w:bidi w:val="0"/>
        <w:ind w:left="187"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Co-Investment Transaction would be subject to the terms and conditions of this Application. The Conditions are designed to address the concerns underlying Sections 17(d) and 57(a)(4) and Rule </w:t>
      </w:r>
      <w:r>
        <w:rPr>
          <w:rFonts w:ascii="Times New Roman;Times;Serif" w:hAnsi="Times New Roman;Times;Serif"/>
          <w:b w:val="false"/>
          <w:i w:val="false"/>
          <w:caps w:val="false"/>
          <w:smallCaps w:val="false"/>
          <w:strike/>
          <w:color w:val="FF0000"/>
          <w:sz w:val="20"/>
        </w:rPr>
        <w:t>17d-1</w:t>
      </w:r>
      <w:r>
        <w:rPr>
          <w:rFonts w:ascii="Times New Roman;Times;Serif" w:hAnsi="Times New Roman;Times;Serif"/>
          <w:b w:val="false"/>
          <w:i w:val="false"/>
          <w:caps w:val="false"/>
          <w:smallCaps w:val="false"/>
          <w:color w:val="0000FF"/>
          <w:sz w:val="20"/>
          <w:u w:val="single"/>
        </w:rPr>
        <w:t>17d-l</w:t>
      </w:r>
      <w:r>
        <w:rPr>
          <w:rFonts w:ascii="Times New Roman;Times;Serif" w:hAnsi="Times New Roman;Times;Serif"/>
          <w:b w:val="false"/>
          <w:i w:val="false"/>
          <w:caps w:val="false"/>
          <w:smallCaps w:val="false"/>
          <w:sz w:val="20"/>
        </w:rPr>
        <w:t xml:space="preserve">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w:t>
      </w:r>
      <w:r>
        <w:rPr>
          <w:rFonts w:ascii="Times New Roman;Times;Serif" w:hAnsi="Times New Roman;Times;Serif"/>
          <w:b w:val="false"/>
          <w:i w:val="false"/>
          <w:caps w:val="false"/>
          <w:smallCaps w:val="false"/>
          <w:strike/>
          <w:color w:val="FF0000"/>
          <w:sz w:val="20"/>
        </w:rPr>
        <w:t>Co Investment</w:t>
      </w:r>
      <w:r>
        <w:rPr>
          <w:rFonts w:ascii="Times New Roman;Times;Serif" w:hAnsi="Times New Roman;Times;Serif"/>
          <w:b w:val="false"/>
          <w:i w:val="false"/>
          <w:caps w:val="false"/>
          <w:smallCaps w:val="false"/>
          <w:color w:val="0000FF"/>
          <w:sz w:val="20"/>
          <w:u w:val="single"/>
        </w:rPr>
        <w:t>Co-Investment</w:t>
      </w:r>
      <w:r>
        <w:rPr>
          <w:rFonts w:ascii="Times New Roman;Times;Serif" w:hAnsi="Times New Roman;Times;Serif"/>
          <w:b w:val="false"/>
          <w:i w:val="false"/>
          <w:caps w:val="false"/>
          <w:smallCaps w:val="false"/>
          <w:sz w:val="20"/>
        </w:rPr>
        <w:t xml:space="preserve">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sz w:val="20"/>
        </w:rPr>
      </w:pPr>
      <w:r>
        <w:rPr>
          <w:rFonts w:ascii="Times New Roman;Times;Serif" w:hAnsi="Times New Roman;Times;Serif"/>
          <w:b w:val="false"/>
          <w:i w:val="false"/>
          <w:caps/>
          <w:strike/>
          <w:color w:val="FF0000"/>
          <w:sz w:val="20"/>
        </w:rPr>
        <w:t>V.</w:t>
      </w:r>
      <w:r>
        <w:rPr>
          <w:rFonts w:ascii="Times New Roman;Times;Serif" w:hAnsi="Times New Roman;Times;Serif"/>
          <w:b w:val="false"/>
          <w:i w:val="false"/>
          <w:caps/>
          <w:sz w:val="20"/>
        </w:rPr>
        <w:t xml:space="preserve"> </w:t>
      </w:r>
      <w:r>
        <w:rPr>
          <w:rFonts w:ascii="Times New Roman;Times;Serif" w:hAnsi="Times New Roman;Times;Serif"/>
          <w:b w:val="false"/>
          <w:i w:val="false"/>
          <w:caps/>
          <w:strike/>
          <w:color w:val="FF0000"/>
          <w:sz w:val="20"/>
        </w:rPr>
        <w:t>PRECEDENTS</w:t>
      </w:r>
    </w:p>
    <w:p>
      <w:pPr>
        <w:pStyle w:val="TextBody"/>
        <w:bidi w:val="0"/>
        <w:spacing w:before="0" w:after="283"/>
        <w:jc w:val="left"/>
        <w:rPr/>
      </w:pPr>
      <w:r>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000FF"/>
          <w:sz w:val="20"/>
          <w:u w:val="single"/>
        </w:rPr>
        <w:t>V.</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color w:val="0000FF"/>
          <w:sz w:val="20"/>
          <w:u w:val="single"/>
        </w:rPr>
        <w:t>PRECEDENTS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position w:val="7"/>
          <w:sz w:val="16"/>
          <w:sz w:val="20"/>
        </w:rPr>
        <w:t>20</w:t>
      </w:r>
      <w:r>
        <w:rPr>
          <w:rFonts w:ascii="Times New Roman;Times;Serif" w:hAnsi="Times New Roman;Times;Serif"/>
          <w:b w:val="false"/>
          <w:i w:val="false"/>
          <w:caps w:val="false"/>
          <w:smallCaps w:val="false"/>
          <w:color w:val="0000FF"/>
          <w:position w:val="7"/>
          <w:sz w:val="16"/>
          <w:sz w:val="20"/>
          <w:u w:val="single"/>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pPr>
            <w:r>
              <w:rPr>
                <w:rFonts w:ascii="Times New Roman;Times;Serif" w:hAnsi="Times New Roman;Times;Serif"/>
                <w:strike/>
                <w:color w:val="FF0000"/>
                <w:position w:val="7"/>
                <w:sz w:val="16"/>
                <w:sz w:val="20"/>
              </w:rPr>
              <w:t>20</w:t>
            </w:r>
            <w:r>
              <w:rPr>
                <w:color w:val="0000FF"/>
                <w:position w:val="8"/>
                <w:sz w:val="19"/>
                <w:u w:val="single"/>
              </w:rPr>
              <w:t xml:space="preserve"> </w:t>
            </w:r>
            <w:r>
              <w:rPr>
                <w:rFonts w:ascii="Times New Roman;Times;Serif" w:hAnsi="Times New Roman;Times;Serif"/>
                <w:color w:val="0000FF"/>
                <w:position w:val="7"/>
                <w:sz w:val="16"/>
                <w:sz w:val="20"/>
                <w:u w:val="single"/>
              </w:rPr>
              <w:t>21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See, e.g</w:t>
            </w:r>
            <w:r>
              <w:rPr>
                <w:rFonts w:ascii="Times New Roman;Times;Serif" w:hAnsi="Times New Roman;Times;Serif"/>
                <w:sz w:val="20"/>
              </w:rPr>
              <w:t xml:space="preserve">., FS Credit Opportunities Corp., </w:t>
            </w:r>
            <w:r>
              <w:rPr>
                <w:rFonts w:ascii="Times New Roman;Times;Serif" w:hAnsi="Times New Roman;Times;Serif"/>
                <w:i/>
                <w:sz w:val="20"/>
              </w:rPr>
              <w:t>et al.</w:t>
            </w:r>
            <w:r>
              <w:rPr>
                <w:rFonts w:ascii="Times New Roman;Times;Serif" w:hAnsi="Times New Roman;Times;Serif"/>
                <w:sz w:val="20"/>
              </w:rPr>
              <w:t xml:space="preserve"> (File No. 812-15706), Release No. IC-35520 (April 3, 2025) (notice), Release No. IC-35561 (April 29, 2025) (order); Sixth Street Specialty Lending, Inc. </w:t>
            </w:r>
            <w:r>
              <w:rPr>
                <w:rFonts w:ascii="Times New Roman;Times;Serif" w:hAnsi="Times New Roman;Times;Serif"/>
                <w:i/>
                <w:sz w:val="20"/>
              </w:rPr>
              <w:t>et al.</w:t>
            </w:r>
            <w:r>
              <w:rPr>
                <w:rFonts w:ascii="Times New Roman;Times;Serif" w:hAnsi="Times New Roman;Times;Serif"/>
                <w:sz w:val="20"/>
              </w:rPr>
              <w:t xml:space="preserve"> (File No. 812-15729), Release No. IC-35531 (April 10, 2025) (notice), Release No. IC-35570 (May 6, 2025) (order); Blue Owl Capital Corporation, </w:t>
            </w:r>
            <w:r>
              <w:rPr>
                <w:rFonts w:ascii="Times New Roman;Times;Serif" w:hAnsi="Times New Roman;Times;Serif"/>
                <w:i/>
                <w:sz w:val="20"/>
              </w:rPr>
              <w:t>et al.</w:t>
            </w:r>
            <w:r>
              <w:rPr>
                <w:rFonts w:ascii="Times New Roman;Times;Serif" w:hAnsi="Times New Roman;Times;Serif"/>
                <w:sz w:val="20"/>
              </w:rPr>
              <w:t xml:space="preserve"> (File No. 812-15715), Release No. IC-35530 (April 9, 2025) (notice), Release No. IC-35573 (May 6, 2025) (order);  BlackRock Growth Equity Fund LP, </w:t>
            </w:r>
            <w:r>
              <w:rPr>
                <w:rFonts w:ascii="Times New Roman;Times;Serif" w:hAnsi="Times New Roman;Times;Serif"/>
                <w:i/>
                <w:sz w:val="20"/>
              </w:rPr>
              <w:t>et al.</w:t>
            </w:r>
            <w:r>
              <w:rPr>
                <w:rFonts w:ascii="Times New Roman;Times;Serif" w:hAnsi="Times New Roman;Times;Serif"/>
                <w:sz w:val="20"/>
              </w:rPr>
              <w:t> (File No. 812-15712), Release No. IC-35525 (April 8, 2025) (notice), Release No. IC-35572 (May 6, 2025) (order).</w:t>
            </w:r>
          </w:p>
        </w:tc>
      </w:tr>
    </w:tbl>
    <w:p>
      <w:pPr>
        <w:pStyle w:val="TextBody"/>
        <w:bidi w:val="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PROCEDURAL MATTERS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Communications</w:t>
      </w:r>
    </w:p>
    <w:p>
      <w:pPr>
        <w:pStyle w:val="TextBody"/>
        <w:bidi w:val="0"/>
        <w:ind w:left="187"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color w:val="0000FF"/>
          <w:sz w:val="20"/>
          <w:u w:val="single"/>
        </w:rPr>
        <w:t>A.</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color w:val="0000FF"/>
          <w:sz w:val="20"/>
          <w:u w:val="single"/>
        </w:rPr>
        <w:t>Communications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Jason Emala, Esq.</w:t>
        <w:br/>
        <w:t>Bluerock Asset Management, LLC</w:t>
        <w:br/>
        <w:t>919 Third Avenue, 40th Floor</w:t>
        <w:br/>
        <w:t>New York, NY 10022</w:t>
        <w:br/>
        <w:t>Telephone: (212) 843-1601</w:t>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Allison Green</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agreen@neostellaradvisors.com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mklein@neostellaradvisors.com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Michael L. Butler,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karl.wachter@magnetar.com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mike.butler@magnetar.com</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Nicole Simon</w:t>
        <w:br/>
        <w:t>Stradley Ronon Stevens &amp; Young, LLP</w:t>
        <w:br/>
        <w:t>100 Park Avenue, Suite 2000</w:t>
        <w:br/>
        <w:t>New York, NY 10017</w:t>
        <w:br/>
        <w:t>Telephone: (212) 812-4137</w:t>
      </w:r>
    </w:p>
    <w:p>
      <w:pPr>
        <w:pStyle w:val="TextBody"/>
        <w:bidi w:val="0"/>
        <w:jc w:val="center"/>
        <w:rPr>
          <w:caps w:val="false"/>
          <w:smallCaps w:val="false"/>
          <w:color w:val="FF0000"/>
        </w:rPr>
      </w:pPr>
      <w:r>
        <w:rPr>
          <w:caps w:val="false"/>
          <w:smallCaps w:val="false"/>
          <w:color w:val="FF0000"/>
        </w:rPr>
        <w:t> </w:t>
      </w:r>
    </w:p>
    <w:tbl>
      <w:tblPr>
        <w:tblW w:w="1533" w:type="dxa"/>
        <w:jc w:val="left"/>
        <w:tblInd w:w="0" w:type="dxa"/>
        <w:tblLayout w:type="fixed"/>
        <w:tblCellMar>
          <w:top w:w="0" w:type="dxa"/>
          <w:left w:w="0" w:type="dxa"/>
          <w:bottom w:w="0" w:type="dxa"/>
          <w:right w:w="0" w:type="dxa"/>
        </w:tblCellMar>
      </w:tblPr>
      <w:tblGrid>
        <w:gridCol w:w="38"/>
        <w:gridCol w:w="20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Authorizations</w:t>
            </w:r>
          </w:p>
        </w:tc>
      </w:tr>
    </w:tbl>
    <w:p>
      <w:pPr>
        <w:pStyle w:val="TextBody"/>
        <w:bidi w:val="0"/>
        <w:jc w:val="center"/>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 Siadatpour,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Eversheds Sutherland (US) LLP</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700 Sixth Street, NW, Suite 700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Washington, DC 20001</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anne.oberndorf@eversheds-sutherland.com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payam.siadatpour@eversheds-sutherland.com</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Telephone (202) 383-0100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Clifford R. Cone, Esq.</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Sidley Austin LLP</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787 Seventh Avenue</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839-5300</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cliff.cone@sidley.com</w:t>
      </w:r>
    </w:p>
    <w:p>
      <w:pPr>
        <w:pStyle w:val="TextBody"/>
        <w:bidi w:val="0"/>
        <w:jc w:val="center"/>
        <w:rPr>
          <w:caps w:val="false"/>
          <w:smallCaps w:val="false"/>
        </w:rPr>
      </w:pPr>
      <w:r>
        <w:rPr>
          <w:caps w:val="false"/>
          <w:smallCaps w:val="false"/>
        </w:rPr>
        <w:t> </w:t>
      </w:r>
    </w:p>
    <w:p>
      <w:pPr>
        <w:pStyle w:val="TextBody"/>
        <w:bidi w:val="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color w:val="0000FF"/>
          <w:sz w:val="20"/>
          <w:u w:val="single"/>
        </w:rPr>
        <w:t>B.</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color w:val="0000FF"/>
          <w:sz w:val="20"/>
          <w:u w:val="single"/>
        </w:rPr>
        <w:t>Authorizations</w:t>
      </w:r>
    </w:p>
    <w:p>
      <w:pPr>
        <w:pStyle w:val="TextBody"/>
        <w:bidi w:val="0"/>
        <w:ind w:left="187"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filing of this Application for the Order sought hereby and the taking of all acts reasonably necessary to obtain the relief requested herein was authorized by the Board of </w:t>
      </w:r>
      <w:r>
        <w:rPr>
          <w:rFonts w:ascii="Times New Roman;Times;Serif" w:hAnsi="Times New Roman;Times;Serif"/>
          <w:b w:val="false"/>
          <w:i w:val="false"/>
          <w:caps w:val="false"/>
          <w:smallCaps w:val="false"/>
          <w:strike/>
          <w:color w:val="FF0000"/>
          <w:sz w:val="20"/>
        </w:rPr>
        <w:t>each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Existing Regulated Fund pursuant to resolutions duly adopted by the Board. Copies of the resolutions are provided below.</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0-2(c), Applicants hereby state that each Applicant has authorized to cause to be prepared and to execute and file with the Commission this Application and any amendment thereto for an order pursuant to </w:t>
      </w:r>
      <w:r>
        <w:rPr>
          <w:rFonts w:ascii="Times New Roman;Times;Serif" w:hAnsi="Times New Roman;Times;Serif"/>
          <w:b w:val="false"/>
          <w:i w:val="false"/>
          <w:caps w:val="false"/>
          <w:smallCaps w:val="false"/>
          <w:strike/>
          <w:color w:val="FF0000"/>
          <w:sz w:val="20"/>
        </w:rPr>
        <w:t>Sections 17(d) and</w:t>
      </w:r>
      <w:r>
        <w:rPr>
          <w:rFonts w:ascii="Times New Roman;Times;Serif" w:hAnsi="Times New Roman;Times;Serif"/>
          <w:b w:val="false"/>
          <w:i w:val="false"/>
          <w:caps w:val="false"/>
          <w:smallCaps w:val="false"/>
          <w:color w:val="0000FF"/>
          <w:sz w:val="20"/>
          <w:u w:val="single"/>
        </w:rPr>
        <w:t>Section</w:t>
      </w:r>
      <w:r>
        <w:rPr>
          <w:rFonts w:ascii="Times New Roman;Times;Serif" w:hAnsi="Times New Roman;Times;Serif"/>
          <w:b w:val="false"/>
          <w:i w:val="false"/>
          <w:caps w:val="false"/>
          <w:smallCaps w:val="false"/>
          <w:sz w:val="20"/>
        </w:rPr>
        <w:t xml:space="preserve">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accordance with the requirements for a request for expedited review of this Application, marked copies of two recent applications seeking the same relief as Applicants that are substantially identical as required by Rule 0-5(e) of the 1940 Act are attached as Exhibit C.</w:t>
      </w:r>
    </w:p>
    <w:p>
      <w:pPr>
        <w:pStyle w:val="TextBody"/>
        <w:bidi w:val="0"/>
        <w:ind w:left="0" w:right="0" w:firstLine="36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Applicants have caused this </w:t>
      </w:r>
      <w:r>
        <w:rPr>
          <w:rFonts w:ascii="Times New Roman;Times;Serif" w:hAnsi="Times New Roman;Times;Serif"/>
          <w:b w:val="false"/>
          <w:i w:val="false"/>
          <w:caps w:val="false"/>
          <w:smallCaps w:val="false"/>
          <w:strike/>
          <w:color w:val="FF0000"/>
          <w:sz w:val="20"/>
        </w:rPr>
        <w:t xml:space="preserve">Amendment No. 4 to the </w:t>
      </w:r>
      <w:r>
        <w:rPr>
          <w:rFonts w:ascii="Times New Roman;Times;Serif" w:hAnsi="Times New Roman;Times;Serif"/>
          <w:b w:val="false"/>
          <w:i w:val="false"/>
          <w:caps w:val="false"/>
          <w:smallCaps w:val="false"/>
          <w:sz w:val="20"/>
        </w:rPr>
        <w:t xml:space="preserve">Application to be duly signed on their behalf on the </w:t>
      </w:r>
      <w:r>
        <w:rPr>
          <w:rFonts w:ascii="Times New Roman;Times;Serif" w:hAnsi="Times New Roman;Times;Serif"/>
          <w:b w:val="false"/>
          <w:i w:val="false"/>
          <w:caps w:val="false"/>
          <w:smallCaps w:val="false"/>
          <w:strike/>
          <w:color w:val="FF0000"/>
          <w:sz w:val="20"/>
        </w:rPr>
        <w:t>8th</w:t>
      </w:r>
      <w:r>
        <w:rPr>
          <w:rFonts w:ascii="Times New Roman;Times;Serif" w:hAnsi="Times New Roman;Times;Serif"/>
          <w:b w:val="false"/>
          <w:i w:val="false"/>
          <w:caps w:val="false"/>
          <w:smallCaps w:val="false"/>
          <w:color w:val="0000FF"/>
          <w:sz w:val="20"/>
          <w:u w:val="single"/>
        </w:rPr>
        <w:t>3rd</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trike/>
          <w:color w:val="FF0000"/>
          <w:sz w:val="20"/>
        </w:rPr>
        <w:t>June</w:t>
      </w:r>
      <w:r>
        <w:rPr>
          <w:rFonts w:ascii="Times New Roman;Times;Serif" w:hAnsi="Times New Roman;Times;Serif"/>
          <w:b w:val="false"/>
          <w:i w:val="false"/>
          <w:caps w:val="false"/>
          <w:smallCaps w:val="false"/>
          <w:color w:val="0000FF"/>
          <w:sz w:val="20"/>
          <w:u w:val="single"/>
        </w:rPr>
        <w:t>August</w:t>
      </w:r>
      <w:r>
        <w:rPr>
          <w:rFonts w:ascii="Times New Roman;Times;Serif" w:hAnsi="Times New Roman;Times;Serif"/>
          <w:b w:val="false"/>
          <w:i w:val="false"/>
          <w:caps w:val="false"/>
          <w:smallCaps w:val="false"/>
          <w:sz w:val="20"/>
        </w:rPr>
        <w:t>, 2026.</w:t>
      </w:r>
    </w:p>
    <w:p>
      <w:pPr>
        <w:pStyle w:val="TextBody"/>
        <w:bidi w:val="0"/>
        <w:ind w:left="0" w:right="0" w:firstLine="36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335"/>
        <w:gridCol w:w="545"/>
        <w:gridCol w:w="3980"/>
      </w:tblGrid>
      <w:tr>
        <w:trPr/>
        <w:tc>
          <w:tcPr>
            <w:tcW w:w="486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tc>
      </w:tr>
      <w:tr>
        <w:trPr/>
        <w:tc>
          <w:tcPr>
            <w:tcW w:w="4860"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r>
    </w:tbl>
    <w:p>
      <w:pPr>
        <w:pStyle w:val="TextBody"/>
        <w:bidi w:val="0"/>
        <w:jc w:val="both"/>
        <w:rPr>
          <w:caps w:val="false"/>
          <w:smallCaps w:val="false"/>
        </w:rPr>
      </w:pPr>
      <w:r>
        <w:rPr>
          <w:caps w:val="false"/>
          <w:smallCaps w:val="false"/>
        </w:rPr>
        <w:t> </w:t>
      </w:r>
    </w:p>
    <w:tbl>
      <w:tblPr>
        <w:tblW w:w="7884" w:type="dxa"/>
        <w:jc w:val="left"/>
        <w:tblInd w:w="0" w:type="dxa"/>
        <w:tblLayout w:type="fixed"/>
        <w:tblCellMar>
          <w:top w:w="0" w:type="dxa"/>
          <w:left w:w="0" w:type="dxa"/>
          <w:bottom w:w="0" w:type="dxa"/>
          <w:right w:w="0" w:type="dxa"/>
        </w:tblCellMar>
      </w:tblPr>
      <w:tblGrid>
        <w:gridCol w:w="335"/>
        <w:gridCol w:w="3951"/>
        <w:gridCol w:w="3598"/>
      </w:tblGrid>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754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Private Real Estate Fund (formerly, Bluerock Total Income+ Real Estate Fund)</w:t>
            </w:r>
          </w:p>
        </w:tc>
      </w:tr>
      <w:tr>
        <w:trPr/>
        <w:tc>
          <w:tcPr>
            <w:tcW w:w="4286"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tc>
        <w:tc>
          <w:tcPr>
            <w:tcW w:w="35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3951"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Allison Green</w:t>
            </w:r>
          </w:p>
        </w:tc>
        <w:tc>
          <w:tcPr>
            <w:tcW w:w="35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Allison Green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395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59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3165" w:type="dxa"/>
        <w:jc w:val="left"/>
        <w:tblInd w:w="0" w:type="dxa"/>
        <w:tblLayout w:type="fixed"/>
        <w:tblCellMar>
          <w:top w:w="0" w:type="dxa"/>
          <w:left w:w="0" w:type="dxa"/>
          <w:bottom w:w="0" w:type="dxa"/>
          <w:right w:w="0" w:type="dxa"/>
        </w:tblCellMar>
      </w:tblPr>
      <w:tblGrid>
        <w:gridCol w:w="335"/>
        <w:gridCol w:w="545"/>
        <w:gridCol w:w="2285"/>
      </w:tblGrid>
      <w:tr>
        <w:trPr/>
        <w:tc>
          <w:tcPr>
            <w:tcW w:w="3165"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tc>
      </w:tr>
      <w:tr>
        <w:trPr/>
        <w:tc>
          <w:tcPr>
            <w:tcW w:w="316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8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5"/>
        <w:gridCol w:w="627"/>
        <w:gridCol w:w="1766"/>
      </w:tblGrid>
      <w:tr>
        <w:trPr/>
        <w:tc>
          <w:tcPr>
            <w:tcW w:w="2778" w:type="dxa"/>
            <w:gridSpan w:val="3"/>
            <w:tcBorders/>
            <w:vAlign w:val="center"/>
          </w:tcPr>
          <w:p>
            <w:pPr>
              <w:pStyle w:val="TableContents"/>
              <w:bidi w:val="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ableContents"/>
              <w:bidi w:val="0"/>
              <w:spacing w:before="0" w:after="283"/>
              <w:jc w:val="both"/>
              <w:rPr>
                <w:caps w:val="false"/>
                <w:smallCaps w:val="false"/>
                <w:color w:val="0000FF"/>
              </w:rPr>
            </w:pPr>
            <w:r>
              <w:rPr>
                <w:caps w:val="false"/>
                <w:smallCaps w:val="false"/>
                <w:color w:val="0000FF"/>
              </w:rPr>
              <w:t> </w:t>
            </w:r>
          </w:p>
        </w:tc>
      </w:tr>
      <w:tr>
        <w:trPr/>
        <w:tc>
          <w:tcPr>
            <w:tcW w:w="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93"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2415"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tc>
      </w:tr>
      <w:tr>
        <w:trPr/>
        <w:tc>
          <w:tcPr>
            <w:tcW w:w="241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344"/>
        <w:gridCol w:w="559"/>
        <w:gridCol w:w="1576"/>
      </w:tblGrid>
      <w:tr>
        <w:trPr/>
        <w:tc>
          <w:tcPr>
            <w:tcW w:w="2479"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tc>
      </w:tr>
      <w:tr>
        <w:trPr/>
        <w:tc>
          <w:tcPr>
            <w:tcW w:w="2479"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68"/>
        <w:gridCol w:w="600"/>
        <w:gridCol w:w="1690"/>
      </w:tblGrid>
      <w:tr>
        <w:trPr/>
        <w:tc>
          <w:tcPr>
            <w:tcW w:w="265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tc>
      </w:tr>
      <w:tr>
        <w:trPr/>
        <w:tc>
          <w:tcPr>
            <w:tcW w:w="265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6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29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asset management llc</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both"/>
        <w:rPr>
          <w:caps/>
        </w:rPr>
      </w:pPr>
      <w:r>
        <w:rPr>
          <w:caps/>
        </w:rPr>
        <w:t> </w:t>
      </w:r>
    </w:p>
    <w:tbl>
      <w:tblPr>
        <w:tblW w:w="4434" w:type="dxa"/>
        <w:jc w:val="left"/>
        <w:tblInd w:w="0" w:type="dxa"/>
        <w:tblLayout w:type="fixed"/>
        <w:tblCellMar>
          <w:top w:w="0" w:type="dxa"/>
          <w:left w:w="0" w:type="dxa"/>
          <w:bottom w:w="0" w:type="dxa"/>
          <w:right w:w="0" w:type="dxa"/>
        </w:tblCellMar>
      </w:tblPr>
      <w:tblGrid>
        <w:gridCol w:w="335"/>
        <w:gridCol w:w="1157"/>
        <w:gridCol w:w="2942"/>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099" w:type="dxa"/>
            <w:gridSpan w:val="2"/>
            <w:tcBorders>
              <w:bottom w:val="single" w:sz="8" w:space="0" w:color="000000"/>
            </w:tcBorders>
            <w:tcMar>
              <w:bottom w:w="28" w:type="dxa"/>
            </w:tcMar>
            <w:vAlign w:val="center"/>
          </w:tcPr>
          <w:p>
            <w:pPr>
              <w:pStyle w:val="TableContents"/>
              <w:bidi w:val="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High Income Institutional Credit Fund</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11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11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5040" w:type="dxa"/>
        <w:jc w:val="left"/>
        <w:tblInd w:w="0" w:type="dxa"/>
        <w:tblLayout w:type="fixed"/>
        <w:tblCellMar>
          <w:top w:w="0" w:type="dxa"/>
          <w:left w:w="0" w:type="dxa"/>
          <w:bottom w:w="0" w:type="dxa"/>
          <w:right w:w="0" w:type="dxa"/>
        </w:tblCellMar>
      </w:tblPr>
      <w:tblGrid>
        <w:gridCol w:w="335"/>
        <w:gridCol w:w="2465"/>
        <w:gridCol w:w="224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65"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844" w:type="dxa"/>
        <w:jc w:val="left"/>
        <w:tblInd w:w="0" w:type="dxa"/>
        <w:tblLayout w:type="fixed"/>
        <w:tblCellMar>
          <w:top w:w="0" w:type="dxa"/>
          <w:left w:w="0" w:type="dxa"/>
          <w:bottom w:w="0" w:type="dxa"/>
          <w:right w:w="0" w:type="dxa"/>
        </w:tblCellMar>
      </w:tblPr>
      <w:tblGrid>
        <w:gridCol w:w="335"/>
        <w:gridCol w:w="585"/>
        <w:gridCol w:w="1924"/>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509" w:type="dxa"/>
            <w:gridSpan w:val="2"/>
            <w:tcBorders>
              <w:bottom w:val="single" w:sz="8" w:space="0" w:color="000000"/>
            </w:tcBorders>
            <w:tcMar>
              <w:bottom w:w="28" w:type="dxa"/>
            </w:tcMar>
            <w:vAlign w:val="center"/>
          </w:tcPr>
          <w:p>
            <w:pPr>
              <w:pStyle w:val="TableContents"/>
              <w:bidi w:val="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Fund Advisor,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5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92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92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5340" w:type="dxa"/>
        <w:jc w:val="left"/>
        <w:tblInd w:w="0" w:type="dxa"/>
        <w:tblLayout w:type="fixed"/>
        <w:tblCellMar>
          <w:top w:w="0" w:type="dxa"/>
          <w:left w:w="0" w:type="dxa"/>
          <w:bottom w:w="0" w:type="dxa"/>
          <w:right w:w="0" w:type="dxa"/>
        </w:tblCellMar>
      </w:tblPr>
      <w:tblGrid>
        <w:gridCol w:w="335"/>
        <w:gridCol w:w="2465"/>
        <w:gridCol w:w="254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6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c>
          <w:tcPr>
            <w:tcW w:w="25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Credit Fund Advisor, LLC</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Partners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supernova management llc, its general partner</w:t>
      </w:r>
    </w:p>
    <w:p>
      <w:pPr>
        <w:pStyle w:val="TextBody"/>
        <w:bidi w:val="0"/>
        <w:jc w:val="both"/>
        <w:rPr>
          <w:caps/>
        </w:rPr>
      </w:pPr>
      <w:r>
        <w:rPr>
          <w:caps/>
        </w:rPr>
        <w:t> </w:t>
      </w:r>
    </w:p>
    <w:tbl>
      <w:tblPr>
        <w:tblW w:w="2895" w:type="dxa"/>
        <w:jc w:val="left"/>
        <w:tblInd w:w="0" w:type="dxa"/>
        <w:tblLayout w:type="fixed"/>
        <w:tblCellMar>
          <w:top w:w="0" w:type="dxa"/>
          <w:left w:w="0" w:type="dxa"/>
          <w:bottom w:w="0" w:type="dxa"/>
          <w:right w:w="0" w:type="dxa"/>
        </w:tblCellMar>
      </w:tblPr>
      <w:tblGrid>
        <w:gridCol w:w="335"/>
        <w:gridCol w:w="545"/>
        <w:gridCol w:w="20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5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David J. Snyderman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David J. Snyderman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Administrative Manager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jc w:val="both"/>
        <w:rPr>
          <w:caps/>
        </w:rPr>
      </w:pPr>
      <w:r>
        <w:rPr>
          <w:caps/>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magnertar longhorn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5430" w:type="dxa"/>
        <w:jc w:val="left"/>
        <w:tblInd w:w="0" w:type="dxa"/>
        <w:tblLayout w:type="fixed"/>
        <w:tblCellMar>
          <w:top w:w="0" w:type="dxa"/>
          <w:left w:w="0" w:type="dxa"/>
          <w:bottom w:w="0" w:type="dxa"/>
          <w:right w:w="0" w:type="dxa"/>
        </w:tblCellMar>
      </w:tblPr>
      <w:tblGrid>
        <w:gridCol w:w="335"/>
        <w:gridCol w:w="2660"/>
        <w:gridCol w:w="243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660"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4"/>
              </w:rPr>
              <w:t>Jordan Ruddy</w:t>
            </w:r>
            <w:r>
              <w:rPr>
                <w:rFonts w:ascii="Times New Roman;Times;Serif" w:hAnsi="Times New Roman;Times;Serif"/>
                <w:b w:val="false"/>
                <w:i w:val="false"/>
                <w:caps w:val="false"/>
                <w:smallCaps w:val="false"/>
                <w:color w:val="0000FF"/>
                <w:sz w:val="20"/>
                <w:u w:val="single"/>
              </w:rPr>
              <w:t>Karl Wachter</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4"/>
              </w:rPr>
              <w:t>Jordan Ruddy</w:t>
            </w: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4"/>
              </w:rPr>
              <w:t>President</w:t>
            </w: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val="false"/>
          <w:smallCaps w:val="false"/>
        </w:rPr>
      </w:pPr>
      <w:r>
        <w:rPr>
          <w:caps/>
        </w:rPr>
        <w:t> </w:t>
      </w:r>
      <w:r>
        <w:rPr>
          <w:caps w:val="false"/>
          <w:smallCaps w:val="false"/>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VERIFICATION</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undersigned states that he has duly executed the foregoing Application for and on behalf of Bluerock Private Real Estate Fund (formerly, Bluerock Total Income+ Real Estate Fund)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opportuniyt 7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jc w:val="both"/>
        <w:rPr>
          <w:caps/>
        </w:rPr>
      </w:pPr>
      <w:r>
        <w:rPr>
          <w:caps/>
        </w:rPr>
        <w:t> </w:t>
      </w:r>
    </w:p>
    <w:tbl>
      <w:tblPr>
        <w:tblW w:w="9204" w:type="dxa"/>
        <w:jc w:val="left"/>
        <w:tblInd w:w="0" w:type="dxa"/>
        <w:tblLayout w:type="fixed"/>
        <w:tblCellMar>
          <w:top w:w="0" w:type="dxa"/>
          <w:left w:w="0" w:type="dxa"/>
          <w:bottom w:w="0" w:type="dxa"/>
          <w:right w:w="0" w:type="dxa"/>
        </w:tblCellMar>
      </w:tblPr>
      <w:tblGrid>
        <w:gridCol w:w="335"/>
        <w:gridCol w:w="2912"/>
        <w:gridCol w:w="5957"/>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886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Bluerock Private Real Estate Fund (formerly, Bluerock Total Income+ Real Estate Fund)</w:t>
            </w: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59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291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59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jc w:val="both"/>
        <w:rPr>
          <w:caps/>
        </w:rPr>
      </w:pPr>
      <w:r>
        <w:rPr>
          <w:caps/>
        </w:rPr>
        <w:t> </w:t>
      </w:r>
    </w:p>
    <w:tbl>
      <w:tblPr>
        <w:tblW w:w="5340" w:type="dxa"/>
        <w:jc w:val="left"/>
        <w:tblInd w:w="0" w:type="dxa"/>
        <w:tblLayout w:type="fixed"/>
        <w:tblCellMar>
          <w:top w:w="0" w:type="dxa"/>
          <w:left w:w="0" w:type="dxa"/>
          <w:bottom w:w="0" w:type="dxa"/>
          <w:right w:w="0" w:type="dxa"/>
        </w:tblCellMar>
      </w:tblPr>
      <w:tblGrid>
        <w:gridCol w:w="335"/>
        <w:gridCol w:w="2465"/>
        <w:gridCol w:w="254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6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c>
          <w:tcPr>
            <w:tcW w:w="25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val="false"/>
          <w:smallCaps w:val="false"/>
        </w:rPr>
      </w:pPr>
      <w:r>
        <w:rPr>
          <w:caps/>
        </w:rPr>
        <w:t> </w:t>
      </w: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VERIFICATION</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jc w:val="both"/>
        <w:rPr>
          <w:caps/>
        </w:rPr>
      </w:pPr>
      <w:r>
        <w:rPr>
          <w:caps/>
        </w:rPr>
        <w:t> </w:t>
      </w:r>
    </w:p>
    <w:tbl>
      <w:tblPr>
        <w:tblW w:w="2280" w:type="dxa"/>
        <w:jc w:val="left"/>
        <w:tblInd w:w="0" w:type="dxa"/>
        <w:tblLayout w:type="fixed"/>
        <w:tblCellMar>
          <w:top w:w="0" w:type="dxa"/>
          <w:left w:w="0" w:type="dxa"/>
          <w:bottom w:w="0" w:type="dxa"/>
          <w:right w:w="0" w:type="dxa"/>
        </w:tblCellMar>
      </w:tblPr>
      <w:tblGrid>
        <w:gridCol w:w="335"/>
        <w:gridCol w:w="545"/>
        <w:gridCol w:w="140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4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Bronwyn Wright</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Bronwyn Wright</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firstLine="36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A — Existing Wholly-Owned Subsidiaries</w:t>
      </w:r>
    </w:p>
    <w:p>
      <w:pPr>
        <w:pStyle w:val="TextBody"/>
        <w:bidi w:val="0"/>
        <w:spacing w:before="0" w:after="0"/>
        <w:ind w:left="0" w:right="0" w:firstLine="360"/>
        <w:jc w:val="center"/>
        <w:rPr>
          <w:caps w:val="false"/>
          <w:smallCaps w:val="false"/>
          <w:color w:val="0000FF"/>
        </w:rPr>
      </w:pPr>
      <w:r>
        <w:rPr>
          <w:caps w:val="false"/>
          <w:smallCaps w:val="false"/>
          <w:color w:val="0000FF"/>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Wholly-owned subsidiaries (each, 100% owned) of Neostellar Capital Corp.:</w:t>
      </w:r>
    </w:p>
    <w:p>
      <w:pPr>
        <w:pStyle w:val="TextBody"/>
        <w:bidi w:val="0"/>
        <w:spacing w:before="0" w:after="0"/>
        <w:ind w:left="360" w:right="0" w:hanging="0"/>
        <w:jc w:val="both"/>
        <w:rPr>
          <w:caps w:val="false"/>
          <w:smallCaps w:val="false"/>
          <w:color w:val="0000FF"/>
        </w:rPr>
      </w:pPr>
      <w:r>
        <w:rPr>
          <w:caps w:val="false"/>
          <w:smallCaps w:val="false"/>
          <w:color w:val="0000FF"/>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1.</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 Capital Lending, LLC (Delaware, formed April 13,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2.</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SuRo Capital Sports, LLC (Delaware, formed March 19,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3.</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SRCI Advisors, LLC (Delaware, formed September 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4.</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AE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5.</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AV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6.</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SW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7.</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SVDS Holdings, Inc. — Taxable Subsidiary (Delaware, formed August 13, 2013)</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B —Existing Affiliated Funds</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 Existing Affiliated Funds are advised by an Adviser as set forth below:</w:t>
      </w:r>
    </w:p>
    <w:p>
      <w:pPr>
        <w:pStyle w:val="TextBody"/>
        <w:bidi w:val="0"/>
        <w:ind w:left="0" w:right="0" w:hanging="0"/>
        <w:jc w:val="both"/>
        <w:rPr>
          <w:caps w:val="false"/>
          <w:smallCaps w:val="false"/>
          <w:color w:val="0000FF"/>
        </w:rPr>
      </w:pPr>
      <w:r>
        <w:rPr>
          <w:caps w:val="false"/>
          <w:smallCaps w:val="false"/>
          <w:color w:val="0000FF"/>
        </w:rPr>
        <w:t> </w:t>
      </w:r>
    </w:p>
    <w:tbl>
      <w:tblPr>
        <w:tblW w:w="5373" w:type="dxa"/>
        <w:jc w:val="left"/>
        <w:tblInd w:w="0" w:type="dxa"/>
        <w:tblLayout w:type="fixed"/>
        <w:tblCellMar>
          <w:top w:w="0" w:type="dxa"/>
          <w:left w:w="0" w:type="dxa"/>
          <w:bottom w:w="0" w:type="dxa"/>
          <w:right w:w="0" w:type="dxa"/>
        </w:tblCellMar>
      </w:tblPr>
      <w:tblGrid>
        <w:gridCol w:w="38"/>
        <w:gridCol w:w="20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Existing Affiliated Funds advised by Magnetar Financial LLC:</w:t>
            </w:r>
          </w:p>
        </w:tc>
      </w:tr>
    </w:tbl>
    <w:p>
      <w:pPr>
        <w:pStyle w:val="TextBody"/>
        <w:bidi w:val="0"/>
        <w:spacing w:before="0" w:after="283"/>
        <w:jc w:val="left"/>
        <w:rPr/>
      </w:pPr>
      <w:r>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Capital Fund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Capital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Constellation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Constellation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Investment APPK LP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Lake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Longhorn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Opportunity 8 LP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A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2025-2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2025-3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2025-4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Opportunity 5 LP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Opportunity 6 LP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Opportunity 7 LP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Special Situations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Special Situations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Structured Credit Fund, LP DBA Constellation Onshore Fund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Waterfront Alternative Credit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Waterfront Series A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Magnetar Waterfront Series C LLC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Xing He Fund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Xing He Master Fund Ltd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Mustang Opportunities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Purpose Alternative Credit Fund – F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Purpose Alternative Credit Fund – T LLC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1,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2, A Series of Astrum Partners II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2026-1, a Series of Magnetar Investment Opportunity Series Fund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2026-2, a Series of Magnetar Investment Opportunity Series Fund LP</w:t>
            </w:r>
          </w:p>
        </w:tc>
      </w:tr>
    </w:tbl>
    <w:p>
      <w:pPr>
        <w:pStyle w:val="TextBody"/>
        <w:bidi w:val="0"/>
        <w:ind w:left="1440" w:right="0" w:hanging="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20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Existing Affilated Funds Advised by Magnetar Financial (UK) LLP:</w:t>
            </w:r>
          </w:p>
        </w:tc>
      </w:tr>
    </w:tbl>
    <w:p>
      <w:pPr>
        <w:pStyle w:val="TextBody"/>
        <w:bidi w:val="0"/>
        <w:spacing w:before="0" w:after="283"/>
        <w:jc w:val="left"/>
        <w:rPr/>
      </w:pPr>
      <w:r>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Realta Investments Ireland Designated Activity Company </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A</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VERIFICATION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has duly executed the </w:t>
      </w:r>
      <w:r>
        <w:rPr>
          <w:rFonts w:ascii="Times New Roman;Times;Serif" w:hAnsi="Times New Roman;Times;Serif"/>
          <w:b w:val="false"/>
          <w:i w:val="false"/>
          <w:caps w:val="false"/>
          <w:smallCaps w:val="false"/>
          <w:strike/>
          <w:color w:val="FF0000"/>
          <w:sz w:val="20"/>
        </w:rPr>
        <w:t>foregoing</w:t>
      </w:r>
      <w:r>
        <w:rPr>
          <w:rFonts w:ascii="Times New Roman;Times;Serif" w:hAnsi="Times New Roman;Times;Serif"/>
          <w:b w:val="false"/>
          <w:i w:val="false"/>
          <w:caps w:val="false"/>
          <w:smallCaps w:val="false"/>
          <w:color w:val="0000FF"/>
          <w:sz w:val="20"/>
          <w:u w:val="single"/>
        </w:rPr>
        <w:t>attached</w:t>
      </w:r>
      <w:r>
        <w:rPr>
          <w:rFonts w:ascii="Times New Roman;Times;Serif" w:hAnsi="Times New Roman;Times;Serif"/>
          <w:b w:val="false"/>
          <w:i w:val="false"/>
          <w:caps w:val="false"/>
          <w:smallCaps w:val="false"/>
          <w:sz w:val="20"/>
        </w:rPr>
        <w:t xml:space="preserve"> Application </w:t>
      </w:r>
      <w:r>
        <w:rPr>
          <w:rFonts w:ascii="Times New Roman;Times;Serif" w:hAnsi="Times New Roman;Times;Serif"/>
          <w:b w:val="false"/>
          <w:i w:val="false"/>
          <w:caps w:val="false"/>
          <w:smallCaps w:val="false"/>
          <w:color w:val="0000FF"/>
          <w:sz w:val="20"/>
          <w:u w:val="single"/>
        </w:rPr>
        <w:t xml:space="preserve">dated August 3, 2026 </w:t>
      </w:r>
      <w:r>
        <w:rPr>
          <w:rFonts w:ascii="Times New Roman;Times;Serif" w:hAnsi="Times New Roman;Times;Serif"/>
          <w:b w:val="false"/>
          <w:i w:val="false"/>
          <w:caps w:val="false"/>
          <w:smallCaps w:val="false"/>
          <w:sz w:val="20"/>
        </w:rPr>
        <w:t xml:space="preserve">for and on behalf of </w:t>
      </w:r>
      <w:r>
        <w:rPr>
          <w:rFonts w:ascii="Times New Roman;Times;Serif" w:hAnsi="Times New Roman;Times;Serif"/>
          <w:b w:val="false"/>
          <w:i w:val="false"/>
          <w:caps w:val="false"/>
          <w:smallCaps w:val="false"/>
          <w:strike/>
          <w:color w:val="FF0000"/>
          <w:sz w:val="20"/>
        </w:rPr>
        <w:t>Bluerock High Income Institutional Credit Fund</w:t>
      </w:r>
      <w:r>
        <w:rPr>
          <w:rFonts w:ascii="Times New Roman;Times;Serif" w:hAnsi="Times New Roman;Times;Serif"/>
          <w:b w:val="false"/>
          <w:i w:val="false"/>
          <w:caps w:val="false"/>
          <w:smallCaps w:val="false"/>
          <w:color w:val="0000FF"/>
          <w:sz w:val="20"/>
          <w:u w:val="single"/>
        </w:rPr>
        <w:t>the Applicants, as the case may be,</w:t>
      </w:r>
      <w:r>
        <w:rPr>
          <w:rFonts w:ascii="Times New Roman;Times;Serif" w:hAnsi="Times New Roman;Times;Serif"/>
          <w:b w:val="false"/>
          <w:i w:val="false"/>
          <w:caps w:val="false"/>
          <w:smallCaps w:val="false"/>
          <w:sz w:val="20"/>
        </w:rPr>
        <w:t xml:space="preserve"> that he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val="false"/>
          <w:i w:val="false"/>
          <w:caps w:val="false"/>
          <w:smallCaps w:val="false"/>
          <w:color w:val="0000FF"/>
          <w:sz w:val="20"/>
          <w:u w:val="single"/>
        </w:rPr>
        <w:t>or she holds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President of</w:t>
      </w:r>
      <w:r>
        <w:rPr>
          <w:rFonts w:ascii="Times New Roman;Times;Serif" w:hAnsi="Times New Roman;Times;Serif"/>
          <w:b w:val="false"/>
          <w:i w:val="false"/>
          <w:caps w:val="false"/>
          <w:smallCaps w:val="false"/>
          <w:color w:val="0000FF"/>
          <w:sz w:val="20"/>
          <w:u w:val="single"/>
        </w:rPr>
        <w:t>office with each</w:t>
      </w:r>
      <w:r>
        <w:rPr>
          <w:rFonts w:ascii="Times New Roman;Times;Serif" w:hAnsi="Times New Roman;Times;Serif"/>
          <w:b w:val="false"/>
          <w:i w:val="false"/>
          <w:caps w:val="false"/>
          <w:smallCaps w:val="false"/>
          <w:sz w:val="20"/>
        </w:rPr>
        <w:t xml:space="preserve"> such entity </w:t>
      </w:r>
      <w:r>
        <w:rPr>
          <w:rFonts w:ascii="Times New Roman;Times;Serif" w:hAnsi="Times New Roman;Times;Serif"/>
          <w:b w:val="false"/>
          <w:i w:val="false"/>
          <w:caps w:val="false"/>
          <w:smallCaps w:val="false"/>
          <w:color w:val="0000FF"/>
          <w:sz w:val="20"/>
          <w:u w:val="single"/>
        </w:rPr>
        <w:t xml:space="preserve">as indicated below </w:t>
      </w:r>
      <w:r>
        <w:rPr>
          <w:rFonts w:ascii="Times New Roman;Times;Serif" w:hAnsi="Times New Roman;Times;Serif"/>
          <w:b w:val="false"/>
          <w:i w:val="false"/>
          <w:caps w:val="false"/>
          <w:smallCaps w:val="false"/>
          <w:sz w:val="20"/>
        </w:rPr>
        <w:t xml:space="preserve">and that all </w:t>
      </w:r>
      <w:r>
        <w:rPr>
          <w:rFonts w:ascii="Times New Roman;Times;Serif" w:hAnsi="Times New Roman;Times;Serif"/>
          <w:b w:val="false"/>
          <w:i w:val="false"/>
          <w:caps w:val="false"/>
          <w:smallCaps w:val="false"/>
          <w:strike/>
          <w:color w:val="FF0000"/>
          <w:sz w:val="20"/>
        </w:rPr>
        <w:t>action by</w:t>
      </w:r>
      <w:r>
        <w:rPr>
          <w:rFonts w:ascii="Times New Roman;Times;Serif" w:hAnsi="Times New Roman;Times;Serif"/>
          <w:b w:val="false"/>
          <w:i w:val="false"/>
          <w:caps w:val="false"/>
          <w:smallCaps w:val="false"/>
          <w:color w:val="0000FF"/>
          <w:sz w:val="20"/>
          <w:u w:val="single"/>
        </w:rPr>
        <w:t>actions by stockholders,</w:t>
      </w:r>
      <w:r>
        <w:rPr>
          <w:rFonts w:ascii="Times New Roman;Times;Serif" w:hAnsi="Times New Roman;Times;Serif"/>
          <w:b w:val="false"/>
          <w:i w:val="false"/>
          <w:caps w:val="false"/>
          <w:smallCaps w:val="false"/>
          <w:sz w:val="20"/>
        </w:rPr>
        <w:t xml:space="preserve"> officers, directors, and other bodies necessary to authorize </w:t>
      </w:r>
      <w:r>
        <w:rPr>
          <w:rFonts w:ascii="Times New Roman;Times;Serif" w:hAnsi="Times New Roman;Times;Serif"/>
          <w:b w:val="false"/>
          <w:i w:val="false"/>
          <w:caps w:val="false"/>
          <w:smallCaps w:val="false"/>
          <w:strike/>
          <w:color w:val="FF0000"/>
          <w:sz w:val="20"/>
        </w:rPr>
        <w:t>deponent</w:t>
      </w:r>
      <w:r>
        <w:rPr>
          <w:rFonts w:ascii="Times New Roman;Times;Serif" w:hAnsi="Times New Roman;Times;Serif"/>
          <w:b w:val="false"/>
          <w:i w:val="false"/>
          <w:caps w:val="false"/>
          <w:smallCaps w:val="false"/>
          <w:color w:val="0000FF"/>
          <w:sz w:val="20"/>
          <w:u w:val="single"/>
        </w:rPr>
        <w:t>the undersigned</w:t>
      </w:r>
      <w:r>
        <w:rPr>
          <w:rFonts w:ascii="Times New Roman;Times;Serif" w:hAnsi="Times New Roman;Times;Serif"/>
          <w:b w:val="false"/>
          <w:i w:val="false"/>
          <w:caps w:val="false"/>
          <w:smallCaps w:val="false"/>
          <w:sz w:val="20"/>
        </w:rPr>
        <w:t xml:space="preserve"> to execute and file such </w:t>
      </w:r>
      <w:r>
        <w:rPr>
          <w:rFonts w:ascii="Times New Roman;Times;Serif" w:hAnsi="Times New Roman;Times;Serif"/>
          <w:b w:val="false"/>
          <w:i w:val="false"/>
          <w:caps w:val="false"/>
          <w:smallCaps w:val="false"/>
          <w:strike/>
          <w:color w:val="FF0000"/>
          <w:sz w:val="20"/>
        </w:rPr>
        <w:t>instrument has</w:t>
      </w:r>
      <w:r>
        <w:rPr>
          <w:rFonts w:ascii="Times New Roman;Times;Serif" w:hAnsi="Times New Roman;Times;Serif"/>
          <w:b w:val="false"/>
          <w:i w:val="false"/>
          <w:caps w:val="false"/>
          <w:smallCaps w:val="false"/>
          <w:color w:val="0000FF"/>
          <w:sz w:val="20"/>
          <w:u w:val="single"/>
        </w:rPr>
        <w:t>Application have</w:t>
      </w:r>
      <w:r>
        <w:rPr>
          <w:rFonts w:ascii="Times New Roman;Times;Serif" w:hAnsi="Times New Roman;Times;Serif"/>
          <w:b w:val="false"/>
          <w:i w:val="false"/>
          <w:caps w:val="false"/>
          <w:smallCaps w:val="false"/>
          <w:sz w:val="20"/>
        </w:rPr>
        <w:t xml:space="preserve"> been taken. The undersigned further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is familiar with </w:t>
      </w:r>
      <w:r>
        <w:rPr>
          <w:rFonts w:ascii="Times New Roman;Times;Serif" w:hAnsi="Times New Roman;Times;Serif"/>
          <w:b w:val="false"/>
          <w:i w:val="false"/>
          <w:caps w:val="false"/>
          <w:smallCaps w:val="false"/>
          <w:strike/>
          <w:color w:val="FF0000"/>
          <w:sz w:val="20"/>
        </w:rPr>
        <w:t>such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instrument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and the contents thereof, and that the facts </w:t>
      </w:r>
      <w:r>
        <w:rPr>
          <w:rFonts w:ascii="Times New Roman;Times;Serif" w:hAnsi="Times New Roman;Times;Serif"/>
          <w:b w:val="false"/>
          <w:i w:val="false"/>
          <w:caps w:val="false"/>
          <w:smallCaps w:val="false"/>
          <w:strike/>
          <w:color w:val="FF0000"/>
          <w:sz w:val="20"/>
        </w:rPr>
        <w:t xml:space="preserve">therein </w:t>
      </w:r>
      <w:r>
        <w:rPr>
          <w:rFonts w:ascii="Times New Roman;Times;Serif" w:hAnsi="Times New Roman;Times;Serif"/>
          <w:b w:val="false"/>
          <w:i w:val="false"/>
          <w:caps w:val="false"/>
          <w:smallCaps w:val="false"/>
          <w:sz w:val="20"/>
        </w:rPr>
        <w:t xml:space="preserve">set forth </w:t>
      </w:r>
      <w:r>
        <w:rPr>
          <w:rFonts w:ascii="Times New Roman;Times;Serif" w:hAnsi="Times New Roman;Times;Serif"/>
          <w:b w:val="false"/>
          <w:i w:val="false"/>
          <w:caps w:val="false"/>
          <w:smallCaps w:val="false"/>
          <w:color w:val="0000FF"/>
          <w:sz w:val="20"/>
          <w:u w:val="single"/>
        </w:rPr>
        <w:t xml:space="preserve">therein </w:t>
      </w:r>
      <w:r>
        <w:rPr>
          <w:rFonts w:ascii="Times New Roman;Times;Serif" w:hAnsi="Times New Roman;Times;Serif"/>
          <w:b w:val="false"/>
          <w:i w:val="false"/>
          <w:caps w:val="false"/>
          <w:smallCaps w:val="false"/>
          <w:sz w:val="20"/>
        </w:rPr>
        <w:t xml:space="preserve">are true to the best of his </w:t>
      </w:r>
      <w:r>
        <w:rPr>
          <w:rFonts w:ascii="Times New Roman;Times;Serif" w:hAnsi="Times New Roman;Times;Serif"/>
          <w:b w:val="false"/>
          <w:i w:val="false"/>
          <w:caps w:val="false"/>
          <w:smallCaps w:val="false"/>
          <w:color w:val="0000FF"/>
          <w:sz w:val="20"/>
          <w:u w:val="single"/>
        </w:rPr>
        <w:t xml:space="preserve">or her </w:t>
      </w:r>
      <w:r>
        <w:rPr>
          <w:rFonts w:ascii="Times New Roman;Times;Serif" w:hAnsi="Times New Roman;Times;Serif"/>
          <w:b w:val="false"/>
          <w:i w:val="false"/>
          <w:caps w:val="false"/>
          <w:smallCaps w:val="false"/>
          <w:sz w:val="20"/>
        </w:rPr>
        <w:t>knowledge, information</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belief.</w:t>
      </w:r>
    </w:p>
    <w:p>
      <w:pPr>
        <w:pStyle w:val="TextBody"/>
        <w:bidi w:val="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335"/>
        <w:gridCol w:w="545"/>
        <w:gridCol w:w="3980"/>
      </w:tblGrid>
      <w:tr>
        <w:trPr/>
        <w:tc>
          <w:tcPr>
            <w:tcW w:w="486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tc>
      </w:tr>
      <w:tr>
        <w:trPr/>
        <w:tc>
          <w:tcPr>
            <w:tcW w:w="4860"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r>
    </w:tbl>
    <w:p>
      <w:pPr>
        <w:pStyle w:val="TextBody"/>
        <w:bidi w:val="0"/>
        <w:jc w:val="both"/>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396"/>
        <w:gridCol w:w="644"/>
        <w:gridCol w:w="1814"/>
      </w:tblGrid>
      <w:tr>
        <w:trPr/>
        <w:tc>
          <w:tcPr>
            <w:tcW w:w="2854"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tc>
      </w:tr>
      <w:tr>
        <w:trPr/>
        <w:tc>
          <w:tcPr>
            <w:tcW w:w="2854"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9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5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Allison Green</w:t>
            </w:r>
          </w:p>
        </w:tc>
      </w:tr>
      <w:tr>
        <w:trPr/>
        <w:tc>
          <w:tcPr>
            <w:tcW w:w="396"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81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Allison Green</w:t>
            </w:r>
          </w:p>
        </w:tc>
      </w:tr>
      <w:tr>
        <w:trPr/>
        <w:tc>
          <w:tcPr>
            <w:tcW w:w="396"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81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7"/>
        <w:gridCol w:w="630"/>
        <w:gridCol w:w="1776"/>
      </w:tblGrid>
      <w:tr>
        <w:trPr/>
        <w:tc>
          <w:tcPr>
            <w:tcW w:w="2793"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tc>
      </w:tr>
      <w:tr>
        <w:trPr/>
        <w:tc>
          <w:tcPr>
            <w:tcW w:w="2793"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0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87"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7"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5"/>
        <w:gridCol w:w="627"/>
        <w:gridCol w:w="1766"/>
      </w:tblGrid>
      <w:tr>
        <w:trPr/>
        <w:tc>
          <w:tcPr>
            <w:tcW w:w="2778" w:type="dxa"/>
            <w:gridSpan w:val="3"/>
            <w:tcBorders/>
            <w:vAlign w:val="center"/>
          </w:tcPr>
          <w:p>
            <w:pPr>
              <w:pStyle w:val="TableContents"/>
              <w:bidi w:val="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ableContents"/>
              <w:bidi w:val="0"/>
              <w:spacing w:before="0" w:after="283"/>
              <w:jc w:val="both"/>
              <w:rPr>
                <w:caps w:val="false"/>
                <w:smallCaps w:val="false"/>
                <w:color w:val="0000FF"/>
              </w:rPr>
            </w:pPr>
            <w:r>
              <w:rPr>
                <w:caps w:val="false"/>
                <w:smallCaps w:val="false"/>
                <w:color w:val="0000FF"/>
              </w:rPr>
              <w:t> </w:t>
            </w:r>
          </w:p>
        </w:tc>
      </w:tr>
      <w:tr>
        <w:trPr/>
        <w:tc>
          <w:tcPr>
            <w:tcW w:w="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93"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2415"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tc>
      </w:tr>
      <w:tr>
        <w:trPr/>
        <w:tc>
          <w:tcPr>
            <w:tcW w:w="241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344"/>
        <w:gridCol w:w="559"/>
        <w:gridCol w:w="1576"/>
      </w:tblGrid>
      <w:tr>
        <w:trPr/>
        <w:tc>
          <w:tcPr>
            <w:tcW w:w="2479"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tc>
      </w:tr>
      <w:tr>
        <w:trPr/>
        <w:tc>
          <w:tcPr>
            <w:tcW w:w="2479"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68"/>
        <w:gridCol w:w="600"/>
        <w:gridCol w:w="1690"/>
      </w:tblGrid>
      <w:tr>
        <w:trPr/>
        <w:tc>
          <w:tcPr>
            <w:tcW w:w="265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tc>
      </w:tr>
      <w:tr>
        <w:trPr/>
        <w:tc>
          <w:tcPr>
            <w:tcW w:w="265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6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29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asset management llc</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both"/>
        <w:rPr>
          <w:caps/>
        </w:rPr>
      </w:pPr>
      <w:r>
        <w:rPr>
          <w:caps/>
        </w:rPr>
        <w:t> </w:t>
      </w:r>
    </w:p>
    <w:tbl>
      <w:tblPr>
        <w:tblW w:w="4434" w:type="dxa"/>
        <w:jc w:val="left"/>
        <w:tblInd w:w="0" w:type="dxa"/>
        <w:tblLayout w:type="fixed"/>
        <w:tblCellMar>
          <w:top w:w="0" w:type="dxa"/>
          <w:left w:w="0" w:type="dxa"/>
          <w:bottom w:w="0" w:type="dxa"/>
          <w:right w:w="0" w:type="dxa"/>
        </w:tblCellMar>
      </w:tblPr>
      <w:tblGrid>
        <w:gridCol w:w="335"/>
        <w:gridCol w:w="1157"/>
        <w:gridCol w:w="2942"/>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099" w:type="dxa"/>
            <w:gridSpan w:val="2"/>
            <w:tcBorders>
              <w:bottom w:val="single" w:sz="8" w:space="0" w:color="000000"/>
            </w:tcBorders>
            <w:tcMar>
              <w:bottom w:w="28" w:type="dxa"/>
            </w:tcMar>
            <w:vAlign w:val="center"/>
          </w:tcPr>
          <w:p>
            <w:pPr>
              <w:pStyle w:val="TableContents"/>
              <w:bidi w:val="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High Income Institutional Credit Fund</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11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11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5040" w:type="dxa"/>
        <w:jc w:val="left"/>
        <w:tblInd w:w="0" w:type="dxa"/>
        <w:tblLayout w:type="fixed"/>
        <w:tblCellMar>
          <w:top w:w="0" w:type="dxa"/>
          <w:left w:w="0" w:type="dxa"/>
          <w:bottom w:w="0" w:type="dxa"/>
          <w:right w:w="0" w:type="dxa"/>
        </w:tblCellMar>
      </w:tblPr>
      <w:tblGrid>
        <w:gridCol w:w="335"/>
        <w:gridCol w:w="2465"/>
        <w:gridCol w:w="224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6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val="false"/>
          <w:smallCaps w:val="false"/>
        </w:rPr>
      </w:pPr>
      <w:r>
        <w:rPr>
          <w:caps/>
        </w:rPr>
        <w:t> </w:t>
      </w: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VERIFICATION</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undersigned states that he has duly executed the foregoing Application for and on behalf of Bluerock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Partners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supernova management llc, its general partner</w:t>
      </w:r>
    </w:p>
    <w:p>
      <w:pPr>
        <w:pStyle w:val="TextBody"/>
        <w:bidi w:val="0"/>
        <w:jc w:val="both"/>
        <w:rPr>
          <w:caps/>
        </w:rPr>
      </w:pPr>
      <w:r>
        <w:rPr>
          <w:caps/>
        </w:rPr>
        <w:t> </w:t>
      </w:r>
    </w:p>
    <w:tbl>
      <w:tblPr>
        <w:tblW w:w="2895" w:type="dxa"/>
        <w:jc w:val="left"/>
        <w:tblInd w:w="0" w:type="dxa"/>
        <w:tblLayout w:type="fixed"/>
        <w:tblCellMar>
          <w:top w:w="0" w:type="dxa"/>
          <w:left w:w="0" w:type="dxa"/>
          <w:bottom w:w="0" w:type="dxa"/>
          <w:right w:w="0" w:type="dxa"/>
        </w:tblCellMar>
      </w:tblPr>
      <w:tblGrid>
        <w:gridCol w:w="335"/>
        <w:gridCol w:w="545"/>
        <w:gridCol w:w="20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5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David J. Snyderman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David J. Snyderman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Administrative Manager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jc w:val="both"/>
        <w:rPr>
          <w:caps/>
        </w:rPr>
      </w:pPr>
      <w:r>
        <w:rPr>
          <w:caps/>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844" w:type="dxa"/>
        <w:jc w:val="left"/>
        <w:tblInd w:w="0" w:type="dxa"/>
        <w:tblLayout w:type="fixed"/>
        <w:tblCellMar>
          <w:top w:w="0" w:type="dxa"/>
          <w:left w:w="0" w:type="dxa"/>
          <w:bottom w:w="0" w:type="dxa"/>
          <w:right w:w="0" w:type="dxa"/>
        </w:tblCellMar>
      </w:tblPr>
      <w:tblGrid>
        <w:gridCol w:w="335"/>
        <w:gridCol w:w="585"/>
        <w:gridCol w:w="1924"/>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509" w:type="dxa"/>
            <w:gridSpan w:val="2"/>
            <w:tcBorders>
              <w:bottom w:val="single" w:sz="8" w:space="0" w:color="000000"/>
            </w:tcBorders>
            <w:tcMar>
              <w:bottom w:w="28" w:type="dxa"/>
            </w:tcMar>
            <w:vAlign w:val="center"/>
          </w:tcPr>
          <w:p>
            <w:pPr>
              <w:pStyle w:val="TableContents"/>
              <w:bidi w:val="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Bluerock Fund Advisor, LLC</w:t>
            </w:r>
          </w:p>
          <w:p>
            <w:pPr>
              <w:pStyle w:val="TableContents"/>
              <w:bidi w:val="0"/>
              <w:jc w:val="both"/>
              <w:rPr>
                <w:caps w:val="false"/>
                <w:smallCaps w:val="false"/>
              </w:rPr>
            </w:pPr>
            <w:r>
              <w:rPr>
                <w:caps w:val="false"/>
                <w:smallCaps w:val="false"/>
              </w:rPr>
              <w:t> </w:t>
            </w:r>
          </w:p>
          <w:p>
            <w:pPr>
              <w:pStyle w:val="TableContents"/>
              <w:bidi w:val="0"/>
              <w:spacing w:before="0" w:after="283"/>
              <w:jc w:val="both"/>
              <w:rPr>
                <w:caps w:val="false"/>
                <w:smallCaps w:val="false"/>
              </w:rPr>
            </w:pPr>
            <w:r>
              <w:rPr>
                <w:caps w:val="false"/>
                <w:smallCaps w:val="false"/>
                <w:strike/>
                <w:color w:val="FF0000"/>
              </w:rPr>
              <w:t> </w:t>
            </w: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5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92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92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5340" w:type="dxa"/>
        <w:jc w:val="left"/>
        <w:tblInd w:w="0" w:type="dxa"/>
        <w:tblLayout w:type="fixed"/>
        <w:tblCellMar>
          <w:top w:w="0" w:type="dxa"/>
          <w:left w:w="0" w:type="dxa"/>
          <w:bottom w:w="0" w:type="dxa"/>
          <w:right w:w="0" w:type="dxa"/>
        </w:tblCellMar>
      </w:tblPr>
      <w:tblGrid>
        <w:gridCol w:w="335"/>
        <w:gridCol w:w="2465"/>
        <w:gridCol w:w="254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65"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c>
          <w:tcPr>
            <w:tcW w:w="25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val="false"/>
          <w:smallCaps w:val="false"/>
        </w:rPr>
      </w:pPr>
      <w:r>
        <w:rPr>
          <w:caps/>
        </w:rPr>
        <w:t> </w:t>
      </w: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VERIFICATION</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The undersigned states that he has duly executed the foregoing Application for and on behalf of Bluerock Credit Fund Advisor, LLC that he is the President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magnertar longhorn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opportuniyt 7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4734" w:type="dxa"/>
        <w:jc w:val="left"/>
        <w:tblInd w:w="0" w:type="dxa"/>
        <w:tblLayout w:type="fixed"/>
        <w:tblCellMar>
          <w:top w:w="0" w:type="dxa"/>
          <w:left w:w="0" w:type="dxa"/>
          <w:bottom w:w="0" w:type="dxa"/>
          <w:right w:w="0" w:type="dxa"/>
        </w:tblCellMar>
      </w:tblPr>
      <w:tblGrid>
        <w:gridCol w:w="335"/>
        <w:gridCol w:w="1026"/>
        <w:gridCol w:w="3373"/>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39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Bluerock Credit Fund Advisor, LLC</w:t>
            </w: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102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37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102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37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jc w:val="both"/>
        <w:rPr>
          <w:caps/>
        </w:rPr>
      </w:pPr>
      <w:r>
        <w:rPr>
          <w:caps/>
        </w:rPr>
        <w:t> </w:t>
      </w:r>
    </w:p>
    <w:tbl>
      <w:tblPr>
        <w:tblW w:w="5640" w:type="dxa"/>
        <w:jc w:val="left"/>
        <w:tblInd w:w="0" w:type="dxa"/>
        <w:tblLayout w:type="fixed"/>
        <w:tblCellMar>
          <w:top w:w="0" w:type="dxa"/>
          <w:left w:w="0" w:type="dxa"/>
          <w:bottom w:w="0" w:type="dxa"/>
          <w:right w:w="0" w:type="dxa"/>
        </w:tblCellMar>
      </w:tblPr>
      <w:tblGrid>
        <w:gridCol w:w="335"/>
        <w:gridCol w:w="2765"/>
        <w:gridCol w:w="254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765" w:type="dxa"/>
            <w:tcBorders>
              <w:bottom w:val="single" w:sz="8" w:space="0" w:color="000000"/>
            </w:tcBorders>
            <w:tcMar>
              <w:bottom w:w="28" w:type="dxa"/>
            </w:tcMar>
            <w:vAlign w:val="center"/>
          </w:tcPr>
          <w:p>
            <w:pPr>
              <w:pStyle w:val="TableContents"/>
              <w:bidi w:val="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By:</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Bronwyn Wright</w:t>
            </w:r>
          </w:p>
        </w:tc>
        <w:tc>
          <w:tcPr>
            <w:tcW w:w="25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Jordan Ruddy</w:t>
            </w:r>
            <w:r>
              <w:rPr>
                <w:rFonts w:ascii="Times New Roman;Times;Serif" w:hAnsi="Times New Roman;Times;Serif"/>
                <w:b w:val="false"/>
                <w:i w:val="false"/>
                <w:caps w:val="false"/>
                <w:smallCaps w:val="false"/>
                <w:color w:val="0000FF"/>
                <w:sz w:val="20"/>
                <w:u w:val="single"/>
              </w:rPr>
              <w:t>Bronwyn Wright</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President</w:t>
            </w:r>
            <w:r>
              <w:rPr>
                <w:rFonts w:ascii="Times New Roman;Times;Serif" w:hAnsi="Times New Roman;Times;Serif"/>
                <w:b w:val="false"/>
                <w:i w:val="false"/>
                <w:caps w:val="false"/>
                <w:smallCaps w:val="false"/>
                <w:color w:val="0000FF"/>
                <w:sz w:val="20"/>
                <w:u w:val="single"/>
              </w:rPr>
              <w:t>Director</w:t>
            </w:r>
          </w:p>
        </w:tc>
      </w:tr>
    </w:tbl>
    <w:p>
      <w:pPr>
        <w:pStyle w:val="TextBody"/>
        <w:bidi w:val="0"/>
        <w:jc w:val="both"/>
        <w:rPr>
          <w:caps w:val="false"/>
          <w:smallCaps w:val="false"/>
        </w:rPr>
      </w:pPr>
      <w:r>
        <w:rPr>
          <w:caps/>
        </w:rPr>
        <w:t> </w:t>
      </w:r>
      <w:r>
        <w:rPr>
          <w:caps w:val="false"/>
          <w:smallCaps w:val="false"/>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rPr>
      </w:pPr>
      <w:r>
        <w:rPr>
          <w:caps/>
        </w:rPr>
        <w:t> </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color w:val="0000FF"/>
                <w:sz w:val="20"/>
                <w:u w:val="single"/>
              </w:rPr>
            </w:pPr>
            <w:r>
              <w:rPr>
                <w:rFonts w:ascii="Times New Roman;Times;Serif" w:hAnsi="Times New Roman;Times;Serif"/>
                <w:b w:val="false"/>
                <w:i/>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color w:val="0000FF"/>
        </w:rPr>
      </w:pPr>
      <w:r>
        <w:rPr>
          <w:caps w:val="false"/>
          <w:smallCaps w:val="false"/>
          <w:color w:val="0000FF"/>
        </w:rPr>
        <w:t> </w:t>
      </w:r>
    </w:p>
    <w:p>
      <w:pPr>
        <w:pStyle w:val="TextBody"/>
        <w:bidi w:val="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jc w:val="right"/>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B</w:t>
      </w:r>
    </w:p>
    <w:p>
      <w:pPr>
        <w:pStyle w:val="TextBody"/>
        <w:bidi w:val="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 xml:space="preserve">EXHIBIT A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Resolutions of </w:t>
      </w:r>
      <w:r>
        <w:rPr>
          <w:rFonts w:ascii="Times New Roman;Times;Serif" w:hAnsi="Times New Roman;Times;Serif"/>
          <w:b/>
          <w:i w:val="false"/>
          <w:caps w:val="false"/>
          <w:smallCaps w:val="false"/>
          <w:color w:val="0000FF"/>
          <w:sz w:val="20"/>
          <w:u w:val="single"/>
        </w:rPr>
        <w:t xml:space="preserve">the </w:t>
      </w:r>
      <w:r>
        <w:rPr>
          <w:rFonts w:ascii="Times New Roman;Times;Serif" w:hAnsi="Times New Roman;Times;Serif"/>
          <w:b/>
          <w:i w:val="false"/>
          <w:caps w:val="false"/>
          <w:smallCaps w:val="false"/>
          <w:sz w:val="20"/>
        </w:rPr>
        <w:t xml:space="preserve">Board of Directors of </w:t>
      </w:r>
      <w:r>
        <w:rPr>
          <w:rFonts w:ascii="Times New Roman;Times;Serif" w:hAnsi="Times New Roman;Times;Serif"/>
          <w:b/>
          <w:i w:val="false"/>
          <w:caps w:val="false"/>
          <w:smallCaps w:val="false"/>
          <w:strike/>
          <w:color w:val="FF0000"/>
          <w:sz w:val="20"/>
          <w:u w:val="single"/>
        </w:rPr>
        <w:t>Bluerock Private Real Estate Fund (formerly, Bluerock Total Income+ Real Estate Fund</w:t>
      </w:r>
      <w:r>
        <w:rPr>
          <w:rFonts w:ascii="Times New Roman;Times;Serif" w:hAnsi="Times New Roman;Times;Serif"/>
          <w:b/>
          <w:i w:val="false"/>
          <w:caps w:val="false"/>
          <w:smallCaps w:val="false"/>
          <w:color w:val="0000FF"/>
          <w:sz w:val="20"/>
          <w:u w:val="single"/>
        </w:rPr>
        <w:t>Neostellar Capital Corp. (the “Fund”</w:t>
      </w:r>
      <w:r>
        <w:rPr>
          <w:rFonts w:ascii="Times New Roman;Times;Serif" w:hAnsi="Times New Roman;Times;Serif"/>
          <w:b/>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Approval of Filing Section 17(d) Application for Co-Investment Relief</w:t>
      </w:r>
    </w:p>
    <w:p>
      <w:pPr>
        <w:pStyle w:val="TextBody"/>
        <w:bidi w:val="0"/>
        <w:jc w:val="left"/>
        <w:rPr>
          <w:caps w:val="false"/>
          <w:smallCaps w:val="false"/>
          <w:color w:val="FF0000"/>
        </w:rPr>
      </w:pPr>
      <w:r>
        <w:rPr>
          <w:caps w:val="false"/>
          <w:smallCaps w:val="false"/>
          <w:color w:val="FF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deems 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now therefore be it</w:t>
      </w:r>
    </w:p>
    <w:p>
      <w:pPr>
        <w:pStyle w:val="TextBody"/>
        <w:shd w:fill="FFFFFF" w:val="clear"/>
        <w:bidi w:val="0"/>
        <w:ind w:left="0" w:right="0" w:firstLine="49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NOW, THEREFORE, BE IT </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w:t>
      </w:r>
      <w:r>
        <w:rPr>
          <w:rFonts w:ascii="Times New Roman;Times;Serif" w:hAnsi="Times New Roman;Times;Serif"/>
          <w:b w:val="false"/>
          <w:i w:val="false"/>
          <w:caps w:val="false"/>
          <w:smallCaps w:val="false"/>
          <w:strike/>
          <w:color w:val="FF0000"/>
          <w:sz w:val="20"/>
        </w:rPr>
        <w:t xml:space="preserve">Bluerock Fund Advisor, LLC and </w:t>
      </w:r>
      <w:r>
        <w:rPr>
          <w:rFonts w:ascii="Times New Roman;Times;Serif" w:hAnsi="Times New Roman;Times;Serif"/>
          <w:b w:val="false"/>
          <w:i w:val="false"/>
          <w:caps w:val="false"/>
          <w:smallCaps w:val="false"/>
          <w:sz w:val="20"/>
        </w:rPr>
        <w:t xml:space="preserve">the Fund be, and each of them hereby is, authorized and directed on behalf of the Fund and in its name </w:t>
      </w:r>
      <w:r>
        <w:rPr>
          <w:rFonts w:ascii="Times New Roman;Times;Serif" w:hAnsi="Times New Roman;Times;Serif"/>
          <w:b w:val="false"/>
          <w:i w:val="false"/>
          <w:caps w:val="false"/>
          <w:smallCaps w:val="false"/>
          <w:strike/>
          <w:color w:val="FF0000"/>
          <w:sz w:val="20"/>
        </w:rPr>
        <w:t xml:space="preserve">and on behalf of the Fund, </w:t>
      </w:r>
      <w:r>
        <w:rPr>
          <w:rFonts w:ascii="Times New Roman;Times;Serif" w:hAnsi="Times New Roman;Times;Serif"/>
          <w:b w:val="false"/>
          <w:i w:val="false"/>
          <w:caps w:val="false"/>
          <w:smallCaps w:val="false"/>
          <w:sz w:val="20"/>
        </w:rPr>
        <w:t xml:space="preserve">to prepare, execute, and cause to be filed with the Commission an Application for an </w:t>
      </w:r>
      <w:r>
        <w:rPr>
          <w:rFonts w:ascii="Times New Roman;Times;Serif" w:hAnsi="Times New Roman;Times;Serif"/>
          <w:b w:val="false"/>
          <w:i w:val="false"/>
          <w:caps w:val="false"/>
          <w:smallCaps w:val="false"/>
          <w:strike/>
          <w:color w:val="FF0000"/>
          <w:sz w:val="20"/>
        </w:rPr>
        <w:t>Order</w:t>
      </w:r>
      <w:r>
        <w:rPr>
          <w:rFonts w:ascii="Times New Roman;Times;Serif" w:hAnsi="Times New Roman;Times;Serif"/>
          <w:b w:val="false"/>
          <w:i w:val="false"/>
          <w:caps w:val="false"/>
          <w:smallCaps w:val="false"/>
          <w:color w:val="0000FF"/>
          <w:sz w:val="20"/>
          <w:u w:val="single"/>
        </w:rPr>
        <w:t>order</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trike/>
          <w:color w:val="FF0000"/>
          <w:sz w:val="20"/>
        </w:rPr>
        <w:t>Exemption</w:t>
      </w:r>
      <w:r>
        <w:rPr>
          <w:rFonts w:ascii="Times New Roman;Times;Serif" w:hAnsi="Times New Roman;Times;Serif"/>
          <w:b w:val="false"/>
          <w:i w:val="false"/>
          <w:caps w:val="false"/>
          <w:smallCaps w:val="false"/>
          <w:color w:val="0000FF"/>
          <w:sz w:val="20"/>
          <w:u w:val="single"/>
        </w:rPr>
        <w:t>exemption</w:t>
      </w:r>
      <w:r>
        <w:rPr>
          <w:rFonts w:ascii="Times New Roman;Times;Serif" w:hAnsi="Times New Roman;Times;Serif"/>
          <w:b w:val="false"/>
          <w:i w:val="false"/>
          <w:caps w:val="false"/>
          <w:smallCaps w:val="false"/>
          <w:sz w:val="20"/>
        </w:rPr>
        <w:t>, substantially in the form attached hereto as Exhibit A, and any amendments thereto, pursuant to Section 17(d) of the 1940 Act</w:t>
      </w:r>
      <w:r>
        <w:rPr>
          <w:rFonts w:ascii="Times New Roman;Times;Serif" w:hAnsi="Times New Roman;Times;Serif"/>
          <w:b w:val="false"/>
          <w:i w:val="false"/>
          <w:caps w:val="false"/>
          <w:smallCaps w:val="false"/>
          <w:strike/>
          <w:color w:val="FF0000"/>
          <w:sz w:val="20"/>
        </w:rPr>
        <w:t>, and Rule 17d-1 promulgated under the 1940 Act, authorizing certain joint transactions that otherwise may be prohibited by Section 17(d) of the 1940 Act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shd w:fill="FFFFFF" w:val="clear"/>
        <w:bidi w:val="0"/>
        <w:ind w:left="0" w:right="0" w:firstLine="49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the Fund be, and each of them hereby is, authorized and directed to take such further action and execute such other documents as such officer or officers shall deem necessary or advisable in order to effectuate the intent of the foregoing resolution;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shd w:fill="FFFFFF" w:val="clear"/>
        <w:bidi w:val="0"/>
        <w:ind w:left="0" w:right="0" w:firstLine="49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shd w:fill="FFFFFF" w:val="clear"/>
        <w:bidi w:val="0"/>
        <w:ind w:left="0" w:right="0" w:firstLine="49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trike/>
          <w:color w:val="FF0000"/>
          <w:sz w:val="20"/>
          <w:u w:val="single"/>
        </w:rPr>
      </w:pPr>
      <w:r>
        <w:rPr>
          <w:rFonts w:ascii="Times New Roman;Times;Serif" w:hAnsi="Times New Roman;Times;Serif"/>
          <w:b w:val="false"/>
          <w:i w:val="false"/>
          <w:caps w:val="false"/>
          <w:smallCaps w:val="false"/>
          <w:strike/>
          <w:color w:val="FF0000"/>
          <w:sz w:val="20"/>
          <w:u w:val="single"/>
        </w:rPr>
        <w:t>Resolutions of the Board of Trustees of Bluerock High Income Institutional Credit Fund</w:t>
      </w:r>
    </w:p>
    <w:p>
      <w:pPr>
        <w:pStyle w:val="TextBody"/>
        <w:bidi w:val="0"/>
        <w:jc w:val="both"/>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Approval of Filing Section 17(d) Application for Co-Investment Relief</w:t>
      </w:r>
    </w:p>
    <w:p>
      <w:pPr>
        <w:pStyle w:val="TextBody"/>
        <w:bidi w:val="0"/>
        <w:jc w:val="left"/>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WHEREAS, </w:t>
      </w:r>
      <w:r>
        <w:rPr>
          <w:rFonts w:ascii="Times New Roman;Times;Serif" w:hAnsi="Times New Roman;Times;Serif"/>
          <w:b w:val="false"/>
          <w:i w:val="false"/>
          <w:caps w:val="false"/>
          <w:smallCaps w:val="false"/>
          <w:strike/>
          <w:color w:val="FF0000"/>
          <w:sz w:val="20"/>
        </w:rPr>
        <w:t xml:space="preserve">the Board deems it is advisable and in the best interest of the Fund to file with the U.S. Securities and Exchange Commission (the “Commission”) an application for an order pursuant to Sections 17(d) and 57(i) of the Investment Company </w:t>
      </w:r>
      <w:r>
        <w:rPr>
          <w:rFonts w:ascii="Times New Roman;Times;Serif" w:hAnsi="Times New Roman;Times;Serif"/>
          <w:b w:val="false"/>
          <w:i w:val="false"/>
          <w:caps w:val="false"/>
          <w:smallCaps w:val="false"/>
          <w:strike/>
          <w:color w:val="008000"/>
          <w:sz w:val="20"/>
        </w:rPr>
        <w:t>Act of 1940, as amended (the “</w:t>
      </w:r>
      <w:r>
        <w:rPr>
          <w:rFonts w:ascii="Times New Roman;Times;Serif" w:hAnsi="Times New Roman;Times;Serif"/>
          <w:b w:val="false"/>
          <w:i w:val="false"/>
          <w:caps w:val="false"/>
          <w:smallCaps w:val="false"/>
          <w:strike/>
          <w:color w:val="FF0000"/>
          <w:sz w:val="20"/>
        </w:rPr>
        <w:t>1940 Act”), and Rule 17d-1 promulgated thereunder (the “Application”), to authorize the entering into of certain joint transactions that otherwise may be prohibited by Sections 17(d) and 57(a)(4) of the 1940 Act and Rule 17d-1 promulgated thereunder.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NOW, THEREFORE, BE IT RESOLVED, </w:t>
      </w:r>
      <w:r>
        <w:rPr>
          <w:rFonts w:ascii="Times New Roman;Times;Serif" w:hAnsi="Times New Roman;Times;Serif"/>
          <w:b w:val="false"/>
          <w:i w:val="false"/>
          <w:caps w:val="false"/>
          <w:smallCaps w:val="false"/>
          <w:strike/>
          <w:color w:val="FF0000"/>
          <w:sz w:val="20"/>
        </w:rPr>
        <w:t>that the officers of Bluerock Credit Fund Advisor, LLC and the Fund be, and each of them hereby is, authorized and directed on behalf of the Fund and in its name and on behalf of the Fund, to prepare, execute, and cause to be filed with the Commission an Application for an Order of Exemption, substantially in the form attached hereto as Exhibit A, and any amendments thereto, pursuant to Section 17(d) of the 1940 Act, and Rule 17d-1 promulgated under the 1940 Act, authorizing certain joint transactions that otherwise may be prohibited by Section 17(d) of the 1940 Act; and it is further</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RESOLVED, </w:t>
      </w:r>
      <w:r>
        <w:rPr>
          <w:rFonts w:ascii="Times New Roman;Times;Serif" w:hAnsi="Times New Roman;Times;Serif"/>
          <w:b w:val="false"/>
          <w:i w:val="false"/>
          <w:caps w:val="false"/>
          <w:smallCaps w:val="false"/>
          <w:strike/>
          <w:color w:val="FF0000"/>
          <w:sz w:val="20"/>
        </w:rPr>
        <w:t>that the officers of the Fund be, and each of them hereby is, authorized and directed to take such further action and execute such other documents as such officer or officers shall deem necessary or advisable in order to effectuate the intent of the foregoing resolution; and it is further</w:t>
      </w:r>
    </w:p>
    <w:p>
      <w:pPr>
        <w:pStyle w:val="TextBody"/>
        <w:bidi w:val="0"/>
        <w:jc w:val="both"/>
        <w:rPr>
          <w:caps w:val="false"/>
          <w:smallCaps w:val="false"/>
          <w:color w:val="FF0000"/>
        </w:rPr>
      </w:pPr>
      <w:r>
        <w:rPr>
          <w:caps w:val="false"/>
          <w:smallCaps w:val="false"/>
          <w:color w:val="FF0000"/>
        </w:rPr>
        <w:t> </w:t>
      </w:r>
    </w:p>
    <w:p>
      <w:pPr>
        <w:pStyle w:val="TextBody"/>
        <w:bidi w:val="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RESOLVED, </w:t>
      </w:r>
      <w:r>
        <w:rPr>
          <w:rFonts w:ascii="Times New Roman;Times;Serif" w:hAnsi="Times New Roman;Times;Serif"/>
          <w:b w:val="false"/>
          <w:i w:val="false"/>
          <w:caps w:val="false"/>
          <w:smallCaps w:val="false"/>
          <w:strike/>
          <w:color w:val="FF0000"/>
          <w:sz w:val="20"/>
        </w:rPr>
        <w:t>that any and all actions previously taken by the Fund or any of its directors or officers in connection with the actions contemplated by the foregoing resolutions be, and each of them hereby is, ratified, confirmed, approved and adopted in all respects as and for the acts and deeds of the Fund.</w:t>
      </w:r>
    </w:p>
    <w:p>
      <w:pPr>
        <w:pStyle w:val="TextBody"/>
        <w:bidi w:val="0"/>
        <w:ind w:left="0" w:right="0" w:firstLine="3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Adopted July 15, 2026</w:t>
      </w:r>
    </w:p>
    <w:p>
      <w:pPr>
        <w:pStyle w:val="TextBody"/>
        <w:bidi w:val="0"/>
        <w:ind w:left="0" w:right="0" w:hanging="0"/>
        <w:jc w:val="both"/>
        <w:rPr>
          <w:caps w:val="false"/>
          <w:smallCaps w:val="false"/>
          <w:color w:val="0000FF"/>
        </w:rPr>
      </w:pPr>
      <w:r>
        <w:rPr>
          <w:caps w:val="false"/>
          <w:smallCaps w:val="false"/>
          <w:color w:val="0000FF"/>
        </w:rPr>
        <w:t> </w:t>
      </w:r>
    </w:p>
    <w:p>
      <w:pPr>
        <w:pStyle w:val="TextBody"/>
        <w:bidi w:val="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[Link-to-previous setting changed from on in original to off in modified.].</w:t>
      </w:r>
    </w:p>
    <w:p>
      <w:pPr>
        <w:pStyle w:val="TextBody"/>
        <w:bidi w:val="0"/>
        <w:ind w:left="0" w:right="0" w:hanging="0"/>
        <w:jc w:val="both"/>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color w:val="0000FF"/>
        </w:rPr>
      </w:pPr>
      <w:r>
        <w:rPr>
          <w:caps w:val="false"/>
          <w:smallCaps w:val="false"/>
          <w:color w:val="0000FF"/>
        </w:rPr>
        <w:t> </w:t>
      </w:r>
    </w:p>
    <w:p>
      <w:pPr>
        <w:pStyle w:val="TextBody"/>
        <w:bidi w:val="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jc w:val="both"/>
        <w:rPr>
          <w:caps w:val="false"/>
          <w:smallCaps w:val="false"/>
          <w:color w:val="0000FF"/>
        </w:rPr>
      </w:pPr>
      <w:r>
        <w:rPr>
          <w:caps w:val="false"/>
          <w:smallCaps w:val="false"/>
          <w:color w:val="0000FF"/>
        </w:rPr>
        <w:t> </w:t>
      </w:r>
    </w:p>
    <w:p>
      <w:pPr>
        <w:pStyle w:val="TextBody"/>
        <w:bidi w:val="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C</w:t>
      </w:r>
    </w:p>
    <w:p>
      <w:pPr>
        <w:pStyle w:val="TextBody"/>
        <w:bidi w:val="0"/>
        <w:jc w:val="right"/>
        <w:rPr>
          <w:caps w:val="false"/>
          <w:smallCaps w:val="false"/>
          <w:color w:val="0000FF"/>
        </w:rPr>
      </w:pPr>
      <w:r>
        <w:rPr>
          <w:caps w:val="false"/>
          <w:smallCaps w:val="false"/>
          <w:color w:val="0000FF"/>
        </w:rPr>
        <w:t> </w:t>
      </w:r>
    </w:p>
    <w:p>
      <w:pPr>
        <w:pStyle w:val="TextBody"/>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Copies of the Application Showing Changes from the Final Versions of the Two Applications Identified as Substantially Identical Under Rule 0-5(e)(3)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[Link-to-previous setting changed from on in original to off in modified.].</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 No. </w:t>
      </w:r>
      <w:r>
        <w:rPr>
          <w:rFonts w:ascii="Times New Roman;Times;Serif" w:hAnsi="Times New Roman;Times;Serif"/>
          <w:b w:val="false"/>
          <w:i w:val="false"/>
          <w:caps w:val="false"/>
          <w:smallCaps w:val="false"/>
          <w:strike/>
          <w:color w:val="FF0000"/>
          <w:sz w:val="20"/>
        </w:rPr>
        <w:t>812-15960</w:t>
      </w:r>
      <w:r>
        <w:rPr>
          <w:rFonts w:ascii="Times New Roman;Times;Serif" w:hAnsi="Times New Roman;Times;Serif"/>
          <w:b w:val="false"/>
          <w:i w:val="false"/>
          <w:caps w:val="false"/>
          <w:smallCaps w:val="false"/>
          <w:color w:val="0000FF"/>
          <w:sz w:val="20"/>
          <w:u w:val="single"/>
        </w:rPr>
        <w:t>812-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EXPEDITED REVIEW REQUESTED UNDER 17 CFR 270.0-5(d)</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 Keystone National Group, LLC, Keystone Private Market</w:t>
        <w:br/>
        <w:t>Opportunities IX (Q), LP, Keystone Private Market Opportunities IX, LP, Keystone Real Estate Lending Fund, LLC, Keystone Real Estate Investment Trust, LLC</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extBody"/>
        <w:bidi w:val="0"/>
        <w:spacing w:before="0" w:after="0"/>
        <w:ind w:left="1" w:right="0" w:hanging="9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60 E. South Temple, Suite 2100</w:t>
        <w:br/>
        <w:t>Salt Lake City, Utah 84111</w:t>
      </w:r>
    </w:p>
    <w:p>
      <w:pPr>
        <w:pStyle w:val="TextBody"/>
        <w:bidi w:val="0"/>
        <w:spacing w:before="0" w:after="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spacing w:before="0" w:after="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spacing w:before="0" w:after="0"/>
        <w:ind w:left="1" w:right="0" w:hanging="90"/>
        <w:jc w:val="center"/>
        <w:rPr>
          <w:caps w:val="false"/>
          <w:smallCaps w:val="false"/>
        </w:rPr>
      </w:pPr>
      <w:r>
        <w:rPr>
          <w:caps w:val="false"/>
          <w:smallCaps w:val="false"/>
        </w:rPr>
        <w:t> </w:t>
      </w:r>
    </w:p>
    <w:p>
      <w:pPr>
        <w:pStyle w:val="TextBody"/>
        <w:bidi w:val="0"/>
        <w:spacing w:before="0" w:after="0"/>
        <w:ind w:left="1" w:right="0" w:hanging="90"/>
        <w:jc w:val="center"/>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 magnetar asset management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Magnetar Capital Fund II LP, Magnetar Capital Master Fund, Ltd, Magnetar Capital Partners LP,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extBody"/>
        <w:bidi w:val="0"/>
        <w:spacing w:before="0" w:after="0"/>
        <w:ind w:left="1" w:right="0" w:hanging="90"/>
        <w:jc w:val="center"/>
        <w:rPr>
          <w:caps w:val="false"/>
          <w:smallCaps w:val="false"/>
        </w:rPr>
      </w:pPr>
      <w:r>
        <w:rPr>
          <w:caps w:val="false"/>
          <w:smallCaps w:val="false"/>
        </w:rPr>
        <w:t> </w:t>
      </w:r>
    </w:p>
    <w:p>
      <w:pPr>
        <w:pStyle w:val="TextBody"/>
        <w:bidi w:val="0"/>
        <w:spacing w:before="0" w:after="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spacing w:before="0" w:after="0"/>
        <w:ind w:left="1" w:right="0" w:hanging="9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AMENDMENT NO. 2 TO THE </w:t>
      </w:r>
      <w:r>
        <w:rPr>
          <w:rFonts w:ascii="Times New Roman;Times;Serif" w:hAnsi="Times New Roman;Times;Serif"/>
          <w:b w:val="false"/>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J. Troy Beatty</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General Counsel</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60 E. South Temple, Suite 2100</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Salt Lake City, Utah 84111</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(925) 480-6050</w:t>
      </w:r>
    </w:p>
    <w:p>
      <w:pPr>
        <w:pStyle w:val="TextBody"/>
        <w:bidi w:val="0"/>
        <w:spacing w:before="0" w:after="0"/>
        <w:ind w:left="0" w:right="0" w:hanging="0"/>
        <w:jc w:val="center"/>
        <w:rPr>
          <w:rFonts w:ascii="Times New Roman;Times;Serif" w:hAnsi="Times New Roman;Times;Serif"/>
          <w:b w:val="false"/>
          <w:i w:val="false"/>
          <w:caps w:val="false"/>
          <w:smallCaps w:val="false"/>
          <w:strike/>
          <w:color w:val="FF0000"/>
          <w:sz w:val="20"/>
          <w:u w:val="single"/>
        </w:rPr>
      </w:pPr>
      <w:r>
        <w:rPr>
          <w:rFonts w:ascii="Times New Roman;Times;Serif" w:hAnsi="Times New Roman;Times;Serif"/>
          <w:b w:val="false"/>
          <w:i w:val="false"/>
          <w:caps w:val="false"/>
          <w:smallCaps w:val="false"/>
          <w:strike/>
          <w:color w:val="FF0000"/>
          <w:sz w:val="20"/>
          <w:u w:val="single"/>
        </w:rPr>
        <w:t>troy@keystonenational.com</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Allison Green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mklein@neostellaradvisors.com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mike.butler@magnetar.com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James E. Anderson</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Haofei Liu</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Willkie Farr &amp; Gallagher LLP</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1875 K St NW</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Washington, DC 20006</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(202) 303-1000</w:t>
      </w:r>
    </w:p>
    <w:p>
      <w:pPr>
        <w:pStyle w:val="TextBody"/>
        <w:bidi w:val="0"/>
        <w:spacing w:before="0" w:after="0"/>
        <w:ind w:left="0" w:right="0" w:hanging="0"/>
        <w:jc w:val="center"/>
        <w:rPr>
          <w:rFonts w:ascii="Times New Roman;Times;Serif" w:hAnsi="Times New Roman;Times;Serif"/>
          <w:b w:val="false"/>
          <w:i w:val="false"/>
          <w:caps w:val="false"/>
          <w:smallCaps w:val="false"/>
          <w:strike/>
          <w:color w:val="FF0000"/>
          <w:sz w:val="20"/>
          <w:u w:val="single"/>
        </w:rPr>
      </w:pPr>
      <w:r>
        <w:rPr>
          <w:rFonts w:ascii="Times New Roman;Times;Serif" w:hAnsi="Times New Roman;Times;Serif"/>
          <w:b w:val="false"/>
          <w:i w:val="false"/>
          <w:caps w:val="false"/>
          <w:smallCaps w:val="false"/>
          <w:strike/>
          <w:color w:val="FF0000"/>
          <w:sz w:val="20"/>
          <w:u w:val="single"/>
        </w:rPr>
        <w:t>JAnderson@willkie.com</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Washington, D.C. 20001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(202) 383-0100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payam.siadatpour@eversheds-sutherland.com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Clifford R. Cone,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Sidley Austin LLP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787 Seventh Avenue</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839-5300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cliff.cone@sidley.com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May 8</w:t>
      </w:r>
      <w:r>
        <w:rPr>
          <w:rFonts w:ascii="Times New Roman;Times;Serif" w:hAnsi="Times New Roman;Times;Serif"/>
          <w:b w:val="false"/>
          <w:i w:val="false"/>
          <w:caps w:val="false"/>
          <w:smallCaps w:val="false"/>
          <w:color w:val="0000FF"/>
          <w:sz w:val="20"/>
          <w:u w:val="single"/>
        </w:rPr>
        <w:t>August 3</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OF AMERICA</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BEFORE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p>
    <w:tbl>
      <w:tblPr>
        <w:tblW w:w="10205" w:type="dxa"/>
        <w:jc w:val="left"/>
        <w:tblInd w:w="0" w:type="dxa"/>
        <w:tblLayout w:type="fixed"/>
        <w:tblCellMar>
          <w:top w:w="28" w:type="dxa"/>
          <w:left w:w="0" w:type="dxa"/>
          <w:bottom w:w="0" w:type="dxa"/>
          <w:right w:w="0" w:type="dxa"/>
        </w:tblCellMar>
      </w:tblPr>
      <w:tblGrid>
        <w:gridCol w:w="7617"/>
        <w:gridCol w:w="80"/>
        <w:gridCol w:w="2508"/>
      </w:tblGrid>
      <w:tr>
        <w:trPr/>
        <w:tc>
          <w:tcPr>
            <w:tcW w:w="7617" w:type="dxa"/>
            <w:tcBorders>
              <w:top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MATTER OF</w:t>
            </w:r>
          </w:p>
          <w:p>
            <w:pPr>
              <w:pStyle w:val="TableContents"/>
              <w:bidi w:val="0"/>
              <w:spacing w:before="0" w:after="0"/>
              <w:ind w:left="0" w:right="0" w:hanging="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 KEYSTONE NATIONAL GROUP, LLC, KEYSTONE PRIVATE MARKET OPPORTUNITIES IX (Q), LP, KEYSTONE PRIVATE MARKET OPPORTUNITIES IX, LP, KEYSTONE REAL ESTATE LENDING FUND, LLC, KEYSTONE REAL ESTATE INVESTMENT TRUST, LLC</w:t>
            </w:r>
          </w:p>
          <w:p>
            <w:pPr>
              <w:pStyle w:val="TableContents"/>
              <w:bidi w:val="0"/>
              <w:spacing w:before="0" w:after="0"/>
              <w:ind w:left="0" w:right="0" w:hanging="0"/>
              <w:jc w:val="both"/>
              <w:rPr>
                <w:caps w:val="false"/>
                <w:smallCaps w:val="false"/>
                <w:color w:val="FF0000"/>
              </w:rPr>
            </w:pPr>
            <w:r>
              <w:rPr>
                <w:caps w:val="false"/>
                <w:smallCaps w:val="false"/>
                <w:color w:val="FF0000"/>
              </w:rPr>
              <w:t> </w:t>
            </w:r>
          </w:p>
          <w:p>
            <w:pPr>
              <w:pStyle w:val="TableContents"/>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 NEOSTELLAR ADVISORS LLC, GSV CAPITAL LENDING, LLC, SURO CAPITAL SPORTS, LLC, SRCI ADVISORS, LLC, GSVC AE HOLDINGS, INC., GSVC AV HOLDINGS, INC., GSVC SW HOLDINGS, INC., GSVC SVDS HOLDINGS, INC.</w:t>
            </w:r>
          </w:p>
          <w:p>
            <w:pPr>
              <w:pStyle w:val="TableContents"/>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br/>
              <w:t>NEW YORK, NY 10019</w:t>
            </w:r>
          </w:p>
          <w:p>
            <w:pPr>
              <w:pStyle w:val="TableContents"/>
              <w:bidi w:val="0"/>
              <w:spacing w:before="0" w:after="0"/>
              <w:ind w:left="0" w:right="0" w:hanging="0"/>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60 E. South Temple, Suite 2100</w:t>
              <w:br/>
              <w:t>Salt Lake City, Utah 84111</w:t>
            </w:r>
          </w:p>
          <w:p>
            <w:pPr>
              <w:pStyle w:val="TableContents"/>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 MAGNETAR ASSET MANAGEMENT LLC, ASTRUM PARTNERS II LP, SERIES I, A SERIES OF ASTRUM PARTNERS LLC, SERIES VII, A SERIES OF ASTRUM PARTNERS LLC, SERIES XI, A SERIES OF ASTRUM PARTNERS LLC, ASTRUM PARTNERS LLC, SERIES XV, ASTRUM PARTNERS LLC, SERIES XVIII, CW CREDIT OPPORTUNITY 2 LP, CW OPPORTUNITY 2 LP, CW OPPORTUNITY LLC, LONGHORN SPECIAL OPPORTUNITIES FUND LP, MAGNETAR ACFI STRATEGIC VENTURES 2 LLC, MAGNETAR ACFI STRATEGIC VENTURES LLC, MAGNETAR AI OPPORTUNITY LLC, MAGNETAR AI VENTURES FUND LP, MAGNETAR ALPHA STAR FUND LLC, , MAGNETAR CAPITAL FUND II LP, MAGNETAR CAPITAL MASTER FUND, LTD, MAGNETAR CAPITAL PARTNERS LP, MAGNETAR CONSTELLATION FUND, LTD., MAGNETAR CONSTELLATION MASTER FUND, LTD, MAGNETAR FINANCIAL (UK) LLP, MAGNETAR INVESTMENT APPK LP, MAGNETAR INVESTMENT OPPORTUNITY SERIES FUND LP, MAGNETAR LAKE CREDIT FUND LLC, MAGNETAR LONGHORN FUND LP, MAGNETAR OPPORTUNITY 8 LP, MAGNETAR OPPORTUNITY A LTD, MAGNETAR OPPORTUNITY 2025-2 LP, MAGNETAR OPPORTUNITY 2025-3 LP, MAGNETAR OPPORTUNITY 2025-4 LP, MAGNETAR OPPORTUNITY 2025-A LLC, MAGNETAR OPPORTUNITY 5 LP, MAGNETAR OPPORTUNITY 6 LP, MAGNETAR OPPORTUNITY 7 LP, MAGNETAR SPECIAL SITUATIONS FUND LP, MAGNETAR SPECIAL SITUATIONS MASTER FUND LTD, MAGNETAR STRUCTURED CREDIT FUND, LP DBA CONSTELLATION ONSHORE FUND, MAGNETAR WATERFRONT ALTERNATIVE CREDIT FUND LLC, MAGNETAR WATERFRONT SERIES A LLC, MAGNETAR WATERFRONT SERIES C LLC, MAGNETAR XING HE FUND LLC, MAGNETAR XING HE MASTER FUND LTD, MCP INVESTING LLC, MUSTANG OPPORTUNITIES FUND LP, PURPOSE ALTERNATIVE CREDIT FUND – F LLC, PURPOSE ALTERNATIVE CREDIT FUND – T LLC, REALTA INVESTMENTS IRELAND DESIGNATED ACTIVITY COMPANY, SERIES 1, A SERIES OF ASTRUM PARTNERS II LP, SERIES 2, A SERIES OF ASTRUM PARTNERS II LP, SERIES 2026-1, A SERIES OF MAGNETAR INVESTMENT OPPORTUNITY SERIES FUND LP, SERIES 2026-2, A SERIES OF MAGNETAR INVESTMENT OPPORTUNITY SERIES FUND LP</w:t>
            </w:r>
          </w:p>
          <w:p>
            <w:pPr>
              <w:pStyle w:val="TableContents"/>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ableContents"/>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No. </w:t>
            </w:r>
            <w:r>
              <w:rPr>
                <w:rFonts w:ascii="Times New Roman;Times;Serif" w:hAnsi="Times New Roman;Times;Serif"/>
                <w:b/>
                <w:i w:val="false"/>
                <w:caps w:val="false"/>
                <w:smallCaps w:val="false"/>
                <w:strike/>
                <w:color w:val="FF0000"/>
                <w:sz w:val="20"/>
              </w:rPr>
              <w:t>812-15960</w:t>
            </w:r>
            <w:r>
              <w:rPr>
                <w:rFonts w:ascii="Times New Roman;Times;Serif" w:hAnsi="Times New Roman;Times;Serif"/>
                <w:b/>
                <w:i w:val="false"/>
                <w:caps w:val="false"/>
                <w:smallCaps w:val="false"/>
                <w:color w:val="0000FF"/>
                <w:sz w:val="20"/>
                <w:u w:val="single"/>
              </w:rPr>
              <w:t>812-</w:t>
            </w:r>
          </w:p>
        </w:tc>
        <w:tc>
          <w:tcPr>
            <w:tcW w:w="80" w:type="dxa"/>
            <w:tcBorders>
              <w:top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08" w:type="dxa"/>
            <w:tcBorders>
              <w:top w:val="single" w:sz="8" w:space="0" w:color="000000"/>
            </w:tcBorders>
            <w:vAlign w:val="center"/>
          </w:tcPr>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AMENDMENT NO. 2 TO THE </w:t>
            </w:r>
            <w:r>
              <w:rPr>
                <w:rFonts w:ascii="Times New Roman;Times;Serif" w:hAnsi="Times New Roman;Times;Serif"/>
                <w:b/>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SUMMARY OF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720" w:right="0" w:hanging="36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Neostellar Capital Corp. (the “</w:t>
            </w:r>
            <w:r>
              <w:rPr>
                <w:rFonts w:ascii="Times New Roman;Times;Serif" w:hAnsi="Times New Roman;Times;Serif"/>
                <w:b/>
                <w:i/>
                <w:caps w:val="false"/>
                <w:smallCaps w:val="false"/>
                <w:color w:val="0000FF"/>
                <w:sz w:val="20"/>
                <w:u w:val="single"/>
              </w:rPr>
              <w:t>Existing Regulated Fund</w:t>
            </w:r>
            <w:r>
              <w:rPr>
                <w:rFonts w:ascii="Times New Roman;Times;Serif" w:hAnsi="Times New Roman;Times;Serif"/>
                <w:b w:val="false"/>
                <w:i w:val="false"/>
                <w:caps w:val="false"/>
                <w:smallCaps w:val="false"/>
                <w:color w:val="0000FF"/>
                <w:sz w:val="20"/>
                <w:u w:val="single"/>
              </w:rPr>
              <w:t>”), a Maryland corporation that operates as an externally managed, closed-end non-diversified management investment company that has elected to be regulated as a business development company (“</w:t>
            </w:r>
            <w:r>
              <w:rPr>
                <w:rFonts w:ascii="Times New Roman;Times;Serif" w:hAnsi="Times New Roman;Times;Serif"/>
                <w:b/>
                <w:i/>
                <w:caps w:val="false"/>
                <w:smallCaps w:val="false"/>
                <w:color w:val="0000FF"/>
                <w:sz w:val="20"/>
                <w:u w:val="single"/>
              </w:rPr>
              <w:t>BDC</w:t>
            </w:r>
            <w:r>
              <w:rPr>
                <w:rFonts w:ascii="Times New Roman;Times;Serif" w:hAnsi="Times New Roman;Times;Serif"/>
                <w:b w:val="false"/>
                <w:i w:val="false"/>
                <w:caps w:val="false"/>
                <w:smallCaps w:val="false"/>
                <w:color w:val="0000FF"/>
                <w:sz w:val="20"/>
                <w:u w:val="single"/>
              </w:rPr>
              <w:t>”) under the 1940 Act;</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90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Neostellar Advisors LLC (the “</w:t>
            </w:r>
            <w:r>
              <w:rPr>
                <w:rFonts w:ascii="Times New Roman;Times;Serif" w:hAnsi="Times New Roman;Times;Serif"/>
                <w:b/>
                <w:i/>
                <w:caps w:val="false"/>
                <w:smallCaps w:val="false"/>
                <w:color w:val="0000FF"/>
                <w:sz w:val="20"/>
                <w:u w:val="single"/>
              </w:rPr>
              <w:t>BDC Adviser</w:t>
            </w:r>
            <w:r>
              <w:rPr>
                <w:rFonts w:ascii="Times New Roman;Times;Serif" w:hAnsi="Times New Roman;Times;Serif"/>
                <w:b w:val="false"/>
                <w:i w:val="false"/>
                <w:caps w:val="false"/>
                <w:smallCaps w:val="false"/>
                <w:color w:val="0000FF"/>
                <w:sz w:val="20"/>
                <w:u w:val="single"/>
              </w:rPr>
              <w:t>”), a Delaware limited liability company that is an investment adviser registered under the Investment Advisers Act of 1940, as amended (the “</w:t>
            </w:r>
            <w:r>
              <w:rPr>
                <w:rFonts w:ascii="Times New Roman;Times;Serif" w:hAnsi="Times New Roman;Times;Serif"/>
                <w:b/>
                <w:i/>
                <w:caps w:val="false"/>
                <w:smallCaps w:val="false"/>
                <w:color w:val="0000FF"/>
                <w:sz w:val="20"/>
                <w:u w:val="single"/>
              </w:rPr>
              <w:t>Advisers Act</w:t>
            </w:r>
            <w:r>
              <w:rPr>
                <w:rFonts w:ascii="Times New Roman;Times;Serif" w:hAnsi="Times New Roman;Times;Serif"/>
                <w:b w:val="false"/>
                <w:i w:val="false"/>
                <w:caps w:val="false"/>
                <w:smallCaps w:val="false"/>
                <w:color w:val="0000FF"/>
                <w:sz w:val="20"/>
                <w:u w:val="single"/>
              </w:rPr>
              <w:t>”), and that serves as the investment adviser to the Existing Regulated Fund, on behalf of itself and its successors;</w:t>
            </w:r>
            <w:r>
              <w:rPr>
                <w:rFonts w:ascii="Times New Roman;Times;Serif" w:hAnsi="Times New Roman;Times;Serif"/>
                <w:b w:val="false"/>
                <w:i w:val="false"/>
                <w:caps w:val="false"/>
                <w:smallCaps w:val="false"/>
                <w:color w:val="0000FF"/>
                <w:position w:val="7"/>
                <w:sz w:val="16"/>
                <w:sz w:val="20"/>
                <w:u w:val="single"/>
              </w:rPr>
              <w:t>2</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90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Financial LLC (“</w:t>
            </w:r>
            <w:r>
              <w:rPr>
                <w:rFonts w:ascii="Times New Roman;Times;Serif" w:hAnsi="Times New Roman;Times;Serif"/>
                <w:b/>
                <w:i/>
                <w:caps w:val="false"/>
                <w:smallCaps w:val="false"/>
                <w:color w:val="0000FF"/>
                <w:sz w:val="20"/>
                <w:u w:val="single"/>
              </w:rPr>
              <w:t>Magnetar Financial</w:t>
            </w:r>
            <w:r>
              <w:rPr>
                <w:rFonts w:ascii="Times New Roman;Times;Serif" w:hAnsi="Times New Roman;Times;Serif"/>
                <w:b w:val="false"/>
                <w:i w:val="false"/>
                <w:caps w:val="false"/>
                <w:smallCaps w:val="false"/>
                <w:color w:val="0000FF"/>
                <w:sz w:val="20"/>
                <w:u w:val="single"/>
              </w:rPr>
              <w:t>”), a Delaware limited liability company that is an investment adviser registered under the Advisers Act, and that serves as the investment adviser to certain Existing Affiliated Funds (as defined below);</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90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Financial (UK) LLP (“</w:t>
            </w:r>
            <w:r>
              <w:rPr>
                <w:rFonts w:ascii="Times New Roman;Times;Serif" w:hAnsi="Times New Roman;Times;Serif"/>
                <w:b/>
                <w:i/>
                <w:caps w:val="false"/>
                <w:smallCaps w:val="false"/>
                <w:color w:val="0000FF"/>
                <w:sz w:val="20"/>
                <w:u w:val="single"/>
              </w:rPr>
              <w:t>Magnetar UK</w:t>
            </w:r>
            <w:r>
              <w:rPr>
                <w:rFonts w:ascii="Times New Roman;Times;Serif" w:hAnsi="Times New Roman;Times;Serif"/>
                <w:b w:val="false"/>
                <w:i w:val="false"/>
                <w:caps w:val="false"/>
                <w:smallCaps w:val="false"/>
                <w:color w:val="0000FF"/>
                <w:sz w:val="20"/>
                <w:u w:val="single"/>
              </w:rPr>
              <w:t>”), a United Kingdom limited liability partnership and the investment adviser to certain Existing Affiliated Funds;</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90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Asset Management LLC (“</w:t>
            </w:r>
            <w:r>
              <w:rPr>
                <w:rFonts w:ascii="Times New Roman;Times;Serif" w:hAnsi="Times New Roman;Times;Serif"/>
                <w:b/>
                <w:i/>
                <w:caps w:val="false"/>
                <w:smallCaps w:val="false"/>
                <w:color w:val="0000FF"/>
                <w:sz w:val="20"/>
                <w:u w:val="single"/>
              </w:rPr>
              <w:t>Magnetar Asset Management</w:t>
            </w:r>
            <w:r>
              <w:rPr>
                <w:rFonts w:ascii="Times New Roman;Times;Serif" w:hAnsi="Times New Roman;Times;Serif"/>
                <w:b w:val="false"/>
                <w:i w:val="false"/>
                <w:caps w:val="false"/>
                <w:smallCaps w:val="false"/>
                <w:color w:val="0000FF"/>
                <w:sz w:val="20"/>
                <w:u w:val="single"/>
              </w:rPr>
              <w:t>”), a Delaware limited liability company that is an investment adviser registered under the Advisers Act (and together with the BDC Adviser, Magnetar UK and Magnetar Financial, the “</w:t>
            </w:r>
            <w:r>
              <w:rPr>
                <w:rFonts w:ascii="Times New Roman;Times;Serif" w:hAnsi="Times New Roman;Times;Serif"/>
                <w:b/>
                <w:i/>
                <w:caps w:val="false"/>
                <w:smallCaps w:val="false"/>
                <w:color w:val="0000FF"/>
                <w:sz w:val="20"/>
                <w:u w:val="single"/>
              </w:rPr>
              <w:t>Existing Advisers</w:t>
            </w:r>
            <w:r>
              <w:rPr>
                <w:rFonts w:ascii="Times New Roman;Times;Serif" w:hAnsi="Times New Roman;Times;Serif"/>
                <w:b w:val="false"/>
                <w:i w:val="false"/>
                <w:caps w:val="false"/>
                <w:smallCaps w:val="false"/>
                <w:color w:val="0000FF"/>
                <w:sz w:val="20"/>
                <w:u w:val="singl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color w:val="FF0000"/>
              </w:rPr>
            </w:pPr>
            <w:r>
              <w:rPr>
                <w:caps w:val="false"/>
                <w:smallCaps w:val="false"/>
                <w:color w:val="FF0000"/>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Certain vehicles (as identified on Schedule A hereto) (the “</w:t>
            </w:r>
            <w:r>
              <w:rPr>
                <w:rFonts w:ascii="Times New Roman;Times;Serif" w:hAnsi="Times New Roman;Times;Serif"/>
                <w:b/>
                <w:i/>
                <w:caps w:val="false"/>
                <w:smallCaps w:val="false"/>
                <w:color w:val="0000FF"/>
                <w:sz w:val="20"/>
                <w:u w:val="single"/>
              </w:rPr>
              <w:t>Existing Wholly-Owned Subsidiaries</w:t>
            </w:r>
            <w:r>
              <w:rPr>
                <w:rFonts w:ascii="Times New Roman;Times;Serif" w:hAnsi="Times New Roman;Times;Serif"/>
                <w:b w:val="false"/>
                <w:i w:val="false"/>
                <w:caps w:val="false"/>
                <w:smallCaps w:val="false"/>
                <w:color w:val="0000FF"/>
                <w:sz w:val="20"/>
                <w:u w:val="single"/>
              </w:rPr>
              <w:t>”), each of which is a separate and distinct legal entity and each of which is a Wholly-Owned Investment Sub (as defined below) of the Existing Regulated Fund;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investment vehicles identified on Schedule B hereto, each of which is a separate and distinct legal entity and each of which would be an investment company but for Sections 3(c)(1), 3(c)(5) or 3(c)(7) of the 1940 Act (the “</w:t>
            </w:r>
            <w:r>
              <w:rPr>
                <w:rFonts w:ascii="Times New Roman;Times;Serif" w:hAnsi="Times New Roman;Times;Serif"/>
                <w:b/>
                <w:i/>
                <w:caps w:val="false"/>
                <w:smallCaps w:val="false"/>
                <w:color w:val="0000FF"/>
                <w:sz w:val="20"/>
                <w:u w:val="single"/>
              </w:rPr>
              <w:t>Existing Affiliated Funds</w:t>
            </w:r>
            <w:r>
              <w:rPr>
                <w:rFonts w:ascii="Times New Roman;Times;Serif" w:hAnsi="Times New Roman;Times;Serif"/>
                <w:b w:val="false"/>
                <w:i w:val="false"/>
                <w:caps w:val="false"/>
                <w:smallCaps w:val="false"/>
                <w:color w:val="0000FF"/>
                <w:sz w:val="20"/>
                <w:u w:val="single"/>
              </w:rPr>
              <w:t>” and, together with the Existing Regulated Fund, the Existing Advisers, and the Existing Wholly-Owned Subsidiaries, the “</w:t>
            </w:r>
            <w:r>
              <w:rPr>
                <w:rFonts w:ascii="Times New Roman;Times;Serif" w:hAnsi="Times New Roman;Times;Serif"/>
                <w:b/>
                <w:i/>
                <w:caps w:val="false"/>
                <w:smallCaps w:val="false"/>
                <w:color w:val="0000FF"/>
                <w:sz w:val="20"/>
                <w:u w:val="single"/>
              </w:rPr>
              <w:t>Applicants</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color w:val="0000FF"/>
                <w:position w:val="7"/>
                <w:sz w:val="16"/>
                <w:sz w:val="20"/>
                <w:u w:val="single"/>
              </w:rPr>
              <w:t>3</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90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strike/>
                <w:color w:val="FF0000"/>
              </w:rPr>
              <w:t>●</w:t>
            </w: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Keystone Private Income Fund, a Delaware statutory trust which is an externally managed, closed-end management investment company that is registered under the 1940 Act (“</w:t>
            </w:r>
            <w:r>
              <w:rPr>
                <w:rFonts w:ascii="Times New Roman;Times;Serif" w:hAnsi="Times New Roman;Times;Serif"/>
                <w:b/>
                <w:i/>
                <w:caps w:val="false"/>
                <w:smallCaps w:val="false"/>
                <w:color w:val="FF0000"/>
                <w:sz w:val="20"/>
              </w:rPr>
              <w:t>Existing Regulated Fund</w:t>
            </w:r>
            <w:r>
              <w:rPr>
                <w:rFonts w:ascii="Times New Roman;Times;Serif" w:hAnsi="Times New Roman;Times;Serif"/>
                <w:b w:val="false"/>
                <w:i w:val="false"/>
                <w:caps w:val="false"/>
                <w:smallCaps w:val="false"/>
                <w:color w:val="FF0000"/>
                <w:sz w:val="20"/>
              </w:rPr>
              <w:t>” or “</w:t>
            </w:r>
            <w:r>
              <w:rPr>
                <w:rFonts w:ascii="Times New Roman;Times;Serif" w:hAnsi="Times New Roman;Times;Serif"/>
                <w:b/>
                <w:i/>
                <w:caps w:val="false"/>
                <w:smallCaps w:val="false"/>
                <w:color w:val="FF0000"/>
                <w:sz w:val="20"/>
              </w:rPr>
              <w:t>KPIF</w:t>
            </w:r>
            <w:r>
              <w:rPr>
                <w:rFonts w:ascii="Times New Roman;Times;Serif" w:hAnsi="Times New Roman;Times;Serif"/>
                <w:b w:val="false"/>
                <w:i w:val="false"/>
                <w:caps w:val="false"/>
                <w:smallCaps w:val="false"/>
                <w:color w:val="FF0000"/>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strike/>
                <w:color w:val="FF0000"/>
              </w:rPr>
              <w:t>●</w:t>
            </w: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Keystone Private Market Opportunities IX (Q), LP, which is an entity whose investment adviser is Keystone National Group, LLC and that would be an investment company but for Section 3(c)(7) of the 1940 Act; (“</w:t>
            </w:r>
            <w:r>
              <w:rPr>
                <w:rFonts w:ascii="Times New Roman;Times;Serif" w:hAnsi="Times New Roman;Times;Serif"/>
                <w:b/>
                <w:i/>
                <w:caps w:val="false"/>
                <w:smallCaps w:val="false"/>
                <w:color w:val="FF0000"/>
                <w:sz w:val="20"/>
              </w:rPr>
              <w:t>KPMO IX Q</w:t>
            </w:r>
            <w:r>
              <w:rPr>
                <w:rFonts w:ascii="Times New Roman;Times;Serif" w:hAnsi="Times New Roman;Times;Serif"/>
                <w:b w:val="false"/>
                <w:i w:val="false"/>
                <w:caps w:val="false"/>
                <w:smallCaps w:val="false"/>
                <w:color w:val="FF0000"/>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strike/>
                <w:color w:val="FF0000"/>
              </w:rPr>
              <w:t>●</w:t>
            </w: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FF0000"/>
                <w:sz w:val="20"/>
              </w:rPr>
              <w:t xml:space="preserve">Keystone Private Market Opportunities IX, LP, which is an entity whose investment adviser is Keystone National Group, LLC and that </w:t>
            </w:r>
            <w:r>
              <w:rPr>
                <w:rFonts w:ascii="Times New Roman;Times;Serif" w:hAnsi="Times New Roman;Times;Serif"/>
                <w:b w:val="false"/>
                <w:i w:val="false"/>
                <w:caps w:val="false"/>
                <w:smallCaps w:val="false"/>
                <w:strike/>
                <w:color w:val="008000"/>
                <w:sz w:val="20"/>
              </w:rPr>
              <w:t xml:space="preserve">would be an investment company but for </w:t>
            </w:r>
            <w:r>
              <w:rPr>
                <w:rFonts w:ascii="Times New Roman;Times;Serif" w:hAnsi="Times New Roman;Times;Serif"/>
                <w:b w:val="false"/>
                <w:i w:val="false"/>
                <w:caps w:val="false"/>
                <w:smallCaps w:val="false"/>
                <w:strike/>
                <w:color w:val="FF0000"/>
                <w:sz w:val="20"/>
              </w:rPr>
              <w:t>Section 3(c)(1) of the 1940 Act (“</w:t>
            </w:r>
            <w:r>
              <w:rPr>
                <w:rFonts w:ascii="Times New Roman;Times;Serif" w:hAnsi="Times New Roman;Times;Serif"/>
                <w:b/>
                <w:i/>
                <w:caps w:val="false"/>
                <w:smallCaps w:val="false"/>
                <w:strike/>
                <w:color w:val="FF0000"/>
                <w:sz w:val="20"/>
              </w:rPr>
              <w:t>KPMO IX</w:t>
            </w:r>
            <w:r>
              <w:rPr>
                <w:rFonts w:ascii="Times New Roman;Times;Serif" w:hAnsi="Times New Roman;Times;Serif"/>
                <w:b w:val="false"/>
                <w:i w:val="false"/>
                <w:caps w:val="false"/>
                <w:smallCaps w:val="false"/>
                <w:strike/>
                <w:color w:val="FF0000"/>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strike/>
                <w:color w:val="FF0000"/>
              </w:rPr>
              <w:t>●</w:t>
            </w: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Keystone Real Estate Lending Fund, LLC, which is an entity whose investment adviser is Keystone National Group, LLC and that would be an investment company but for Section 3(c)(5) of the 1940 Act (“</w:t>
            </w:r>
            <w:r>
              <w:rPr>
                <w:rFonts w:ascii="Times New Roman;Times;Serif" w:hAnsi="Times New Roman;Times;Serif"/>
                <w:b/>
                <w:i/>
                <w:caps w:val="false"/>
                <w:smallCaps w:val="false"/>
                <w:color w:val="FF0000"/>
                <w:sz w:val="20"/>
              </w:rPr>
              <w:t>KRELF</w:t>
            </w:r>
            <w:r>
              <w:rPr>
                <w:rFonts w:ascii="Times New Roman;Times;Serif" w:hAnsi="Times New Roman;Times;Serif"/>
                <w:b w:val="false"/>
                <w:i w:val="false"/>
                <w:caps w:val="false"/>
                <w:smallCaps w:val="false"/>
                <w:color w:val="FF0000"/>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strike/>
                <w:color w:val="FF0000"/>
              </w:rPr>
            </w:pPr>
            <w:r>
              <w:rPr>
                <w:caps w:val="false"/>
                <w:smallCaps w:val="false"/>
                <w:strike/>
                <w:color w:val="FF0000"/>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Keystone Real Estate Investment Trust, LLC, which is an entity whose investment adviser is Keystone National Group, LLC and that would be an investment company but for Section 3(c)(5) of the 1940 Act (“</w:t>
            </w:r>
            <w:r>
              <w:rPr>
                <w:rFonts w:ascii="Times New Roman;Times;Serif" w:hAnsi="Times New Roman;Times;Serif"/>
                <w:b/>
                <w:i/>
                <w:caps w:val="false"/>
                <w:smallCaps w:val="false"/>
                <w:strike/>
                <w:color w:val="FF0000"/>
                <w:sz w:val="20"/>
              </w:rPr>
              <w:t>KREIT</w:t>
            </w:r>
            <w:r>
              <w:rPr>
                <w:rFonts w:ascii="Times New Roman;Times;Serif" w:hAnsi="Times New Roman;Times;Serif"/>
                <w:b w:val="false"/>
                <w:i w:val="false"/>
                <w:caps w:val="false"/>
                <w:smallCaps w:val="false"/>
                <w:strike/>
                <w:color w:val="FF0000"/>
                <w:sz w:val="20"/>
              </w:rPr>
              <w:t>” and, together with KPMO IX Q, KPMO IX, and KRELF, the “</w:t>
            </w:r>
            <w:r>
              <w:rPr>
                <w:rFonts w:ascii="Times New Roman;Times;Serif" w:hAnsi="Times New Roman;Times;Serif"/>
                <w:b/>
                <w:i w:val="false"/>
                <w:caps w:val="false"/>
                <w:smallCaps w:val="false"/>
                <w:strike/>
                <w:color w:val="FF0000"/>
                <w:sz w:val="20"/>
              </w:rPr>
              <w:t>Existing Affiliated Entities</w:t>
            </w:r>
            <w:r>
              <w:rPr>
                <w:rFonts w:ascii="Times New Roman;Times;Serif" w:hAnsi="Times New Roman;Times;Serif"/>
                <w:b w:val="false"/>
                <w:i w:val="false"/>
                <w:caps w:val="false"/>
                <w:smallCaps w:val="false"/>
                <w:strike/>
                <w:color w:val="FF0000"/>
                <w:sz w:val="20"/>
              </w:rPr>
              <w:t>”); and</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9900"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r>
      <w:tr>
        <w:trPr/>
        <w:tc>
          <w:tcPr>
            <w:tcW w:w="75" w:type="dxa"/>
            <w:tcBorders/>
            <w:vAlign w:val="center"/>
          </w:tcPr>
          <w:p>
            <w:pPr>
              <w:pStyle w:val="TableContents"/>
              <w:bidi w:val="0"/>
              <w:spacing w:before="0" w:after="283"/>
              <w:jc w:val="left"/>
              <w:rPr>
                <w:caps w:val="false"/>
                <w:smallCaps w:val="false"/>
                <w:color w:val="0000FF"/>
              </w:rPr>
            </w:pPr>
            <w:r>
              <w:rPr>
                <w:caps w:val="false"/>
                <w:smallCaps w:val="false"/>
                <w:color w:val="0000FF"/>
              </w:rPr>
              <w:t> </w:t>
            </w:r>
          </w:p>
        </w:tc>
        <w:tc>
          <w:tcPr>
            <w:tcW w:w="230" w:type="dxa"/>
            <w:tcBorders/>
            <w:vAlign w:val="center"/>
          </w:tcPr>
          <w:p>
            <w:pPr>
              <w:pStyle w:val="TableContents"/>
              <w:bidi w:val="0"/>
              <w:spacing w:before="0" w:after="283"/>
              <w:jc w:val="left"/>
              <w:rPr>
                <w:caps w:val="false"/>
                <w:smallCaps w:val="false"/>
                <w:strike/>
                <w:color w:val="FF0000"/>
              </w:rPr>
            </w:pPr>
            <w:r>
              <w:rPr>
                <w:caps w:val="false"/>
                <w:smallCaps w:val="false"/>
                <w:strike/>
                <w:color w:val="FF0000"/>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Keystone National Group, LLC and its successors</w:t>
            </w: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color w:val="FF0000"/>
                <w:sz w:val="20"/>
              </w:rPr>
              <w:t>(collectively, “</w:t>
            </w:r>
            <w:r>
              <w:rPr>
                <w:rFonts w:ascii="Times New Roman;Times;Serif" w:hAnsi="Times New Roman;Times;Serif"/>
                <w:b/>
                <w:i/>
                <w:caps w:val="false"/>
                <w:smallCaps w:val="false"/>
                <w:strike/>
                <w:color w:val="FF0000"/>
                <w:sz w:val="20"/>
              </w:rPr>
              <w:t>KNG</w:t>
            </w:r>
            <w:r>
              <w:rPr>
                <w:rFonts w:ascii="Times New Roman;Times;Serif" w:hAnsi="Times New Roman;Times;Serif"/>
                <w:b w:val="false"/>
                <w:i w:val="false"/>
                <w:caps w:val="false"/>
                <w:smallCaps w:val="false"/>
                <w:strike/>
                <w:color w:val="FF0000"/>
                <w:sz w:val="20"/>
              </w:rPr>
              <w:t xml:space="preserve">”), an investment adviser registered with the Commission </w:t>
            </w:r>
            <w:r>
              <w:rPr>
                <w:rFonts w:ascii="Times New Roman;Times;Serif" w:hAnsi="Times New Roman;Times;Serif"/>
                <w:b w:val="false"/>
                <w:i w:val="false"/>
                <w:caps w:val="false"/>
                <w:smallCaps w:val="false"/>
                <w:strike/>
                <w:color w:val="008000"/>
                <w:sz w:val="20"/>
              </w:rPr>
              <w:t>under the Investment Advisers Act of 1940, as amended (the “</w:t>
            </w:r>
            <w:r>
              <w:rPr>
                <w:rFonts w:ascii="Times New Roman;Times;Serif" w:hAnsi="Times New Roman;Times;Serif"/>
                <w:b/>
                <w:i/>
                <w:caps w:val="false"/>
                <w:smallCaps w:val="false"/>
                <w:strike/>
                <w:color w:val="008000"/>
                <w:sz w:val="20"/>
              </w:rPr>
              <w:t>Advisers Act</w:t>
            </w:r>
            <w:r>
              <w:rPr>
                <w:rFonts w:ascii="Times New Roman;Times;Serif" w:hAnsi="Times New Roman;Times;Serif"/>
                <w:b w:val="false"/>
                <w:i w:val="false"/>
                <w:caps w:val="false"/>
                <w:smallCaps w:val="false"/>
                <w:strike/>
                <w:color w:val="008000"/>
                <w:sz w:val="20"/>
              </w:rPr>
              <w:t xml:space="preserve">”), </w:t>
            </w:r>
            <w:r>
              <w:rPr>
                <w:rFonts w:ascii="Times New Roman;Times;Serif" w:hAnsi="Times New Roman;Times;Serif"/>
                <w:b w:val="false"/>
                <w:i w:val="false"/>
                <w:caps w:val="false"/>
                <w:smallCaps w:val="false"/>
                <w:strike/>
                <w:color w:val="FF0000"/>
                <w:sz w:val="20"/>
              </w:rPr>
              <w:t xml:space="preserve">which </w:t>
            </w:r>
            <w:r>
              <w:rPr>
                <w:rFonts w:ascii="Times New Roman;Times;Serif" w:hAnsi="Times New Roman;Times;Serif"/>
                <w:b w:val="false"/>
                <w:i w:val="false"/>
                <w:caps w:val="false"/>
                <w:smallCaps w:val="false"/>
                <w:strike/>
                <w:color w:val="008000"/>
                <w:sz w:val="20"/>
              </w:rPr>
              <w:t xml:space="preserve">serves as investment adviser to each of the Existing </w:t>
            </w:r>
            <w:r>
              <w:rPr>
                <w:rFonts w:ascii="Times New Roman;Times;Serif" w:hAnsi="Times New Roman;Times;Serif"/>
                <w:b w:val="false"/>
                <w:i w:val="false"/>
                <w:caps w:val="false"/>
                <w:smallCaps w:val="false"/>
                <w:strike/>
                <w:color w:val="FF0000"/>
                <w:sz w:val="20"/>
              </w:rPr>
              <w:t>Regulated Fund and Existing Affiliated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 xml:space="preserve">The Existing Regulated Fund, KNG and the Existing Affiliated Entities may be referred to herein as the </w:t>
      </w:r>
      <w:r>
        <w:rPr>
          <w:rFonts w:ascii="Times New Roman;Times;Serif" w:hAnsi="Times New Roman;Times;Serif"/>
          <w:b/>
          <w:i/>
          <w:caps w:val="false"/>
          <w:smallCaps w:val="false"/>
          <w:strike/>
          <w:color w:val="FF0000"/>
          <w:sz w:val="20"/>
        </w:rPr>
        <w:t>Applicants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trike/>
          <w:color w:val="FF0000"/>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section and rule references herein are to the 1940 Act and rules promulgated thereunder.</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position w:val="7"/>
                <w:sz w:val="16"/>
                <w:sz w:val="20"/>
                <w:u w:val="single"/>
              </w:rPr>
            </w:pPr>
            <w:r>
              <w:rPr>
                <w:rFonts w:ascii="Times New Roman;Times;Serif" w:hAnsi="Times New Roman;Times;Serif"/>
                <w:b w:val="false"/>
                <w:i w:val="false"/>
                <w:caps w:val="false"/>
                <w:smallCaps w:val="false"/>
                <w:color w:val="0000FF"/>
                <w:position w:val="7"/>
                <w:sz w:val="16"/>
                <w:sz w:val="20"/>
                <w:u w:val="single"/>
              </w:rPr>
              <w:t>2</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8000"/>
                <w:sz w:val="20"/>
                <w:u w:val="single"/>
              </w:rPr>
            </w:pPr>
            <w:r>
              <w:rPr>
                <w:rFonts w:ascii="Times New Roman;Times;Serif" w:hAnsi="Times New Roman;Times;Serif"/>
                <w:b w:val="false"/>
                <w:i w:val="false"/>
                <w:caps w:val="false"/>
                <w:smallCaps w:val="false"/>
                <w:color w:val="008000"/>
                <w:sz w:val="20"/>
                <w:u w:val="single"/>
              </w:rPr>
              <w:t>The term “</w:t>
            </w:r>
            <w:r>
              <w:rPr>
                <w:rFonts w:ascii="Times New Roman;Times;Serif" w:hAnsi="Times New Roman;Times;Serif"/>
                <w:b/>
                <w:i/>
                <w:caps w:val="false"/>
                <w:smallCaps w:val="false"/>
                <w:color w:val="008000"/>
                <w:sz w:val="20"/>
                <w:u w:val="single"/>
              </w:rPr>
              <w:t>successor</w:t>
            </w:r>
            <w:r>
              <w:rPr>
                <w:rFonts w:ascii="Times New Roman;Times;Serif" w:hAnsi="Times New Roman;Times;Serif"/>
                <w:b w:val="false"/>
                <w:i w:val="false"/>
                <w:caps w:val="false"/>
                <w:smallCaps w:val="false"/>
                <w:color w:val="008000"/>
                <w:sz w:val="20"/>
                <w:u w:val="single"/>
              </w:rPr>
              <w:t>” means an entity that results from a reorganization into another jurisdiction or change in the type of business organization.</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color w:val="008000"/>
              </w:rPr>
            </w:pPr>
            <w:r>
              <w:rPr>
                <w:caps w:val="false"/>
                <w:smallCaps w:val="false"/>
                <w:color w:val="008000"/>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position w:val="7"/>
                <w:sz w:val="16"/>
                <w:sz w:val="20"/>
                <w:u w:val="single"/>
              </w:rPr>
            </w:pPr>
            <w:r>
              <w:rPr>
                <w:rFonts w:ascii="Times New Roman;Times;Serif" w:hAnsi="Times New Roman;Times;Serif"/>
                <w:b w:val="false"/>
                <w:i w:val="false"/>
                <w:caps w:val="false"/>
                <w:smallCaps w:val="false"/>
                <w:color w:val="0000FF"/>
                <w:position w:val="7"/>
                <w:sz w:val="16"/>
                <w:sz w:val="20"/>
                <w:u w:val="single"/>
              </w:rPr>
              <w:t>3</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8000"/>
                <w:sz w:val="20"/>
                <w:u w:val="single"/>
              </w:rPr>
            </w:pPr>
            <w:r>
              <w:rPr>
                <w:rFonts w:ascii="Times New Roman;Times;Serif" w:hAnsi="Times New Roman;Times;Serif"/>
                <w:b w:val="false"/>
                <w:i w:val="false"/>
                <w:caps w:val="false"/>
                <w:smallCaps w:val="false"/>
                <w:color w:val="008000"/>
                <w:sz w:val="20"/>
                <w:u w:val="single"/>
              </w:rPr>
              <w:t>All existing entities that currently intend to rely upon the requested Order have been named as Applicants. Any other existing or future entity that subsequently relies on the Order will comply with the terms and conditions of the Application.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2</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008000"/>
          <w:sz w:val="20"/>
        </w:rPr>
        <w:t>The term “successor” means an entity that results from a reorganization into another jurisdiction or change in the type of business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position w:val="7"/>
          <w:sz w:val="16"/>
          <w:sz w:val="20"/>
        </w:rPr>
        <w:t>3</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008000"/>
          <w:sz w:val="20"/>
        </w:rPr>
        <w:t>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both"/>
        <w:rPr>
          <w:caps w:val="false"/>
          <w:smallCaps w:val="false"/>
          <w:strike/>
          <w:color w:val="008000"/>
        </w:rPr>
      </w:pPr>
      <w:r>
        <w:rPr>
          <w:caps w:val="false"/>
          <w:smallCaps w:val="false"/>
          <w:strike/>
          <w:color w:val="008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“Application”) would allow a Regulated Fund4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GENERAL DESCRIPTION OF THE APPLICANTS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Keystone Private Income Fund</w:t>
      </w:r>
    </w:p>
    <w:p>
      <w:pPr>
        <w:pStyle w:val="TextBody"/>
        <w:bidi w:val="0"/>
        <w:spacing w:before="0" w:after="0"/>
        <w:ind w:left="0" w:right="0" w:firstLine="72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KPIF was organized on August 27, 2019 as Keystone Private Income Fund, a Delaware statutory trust, and commenced operations on July 1, 2020. KPIF has elected to be treated as a regulated investment company (“</w:t>
      </w:r>
      <w:r>
        <w:rPr>
          <w:rFonts w:ascii="Times New Roman;Times;Serif" w:hAnsi="Times New Roman;Times;Serif"/>
          <w:b/>
          <w:i/>
          <w:caps w:val="false"/>
          <w:smallCaps w:val="false"/>
          <w:strike/>
          <w:color w:val="FF0000"/>
          <w:sz w:val="20"/>
        </w:rPr>
        <w:t>RIC</w:t>
      </w:r>
      <w:r>
        <w:rPr>
          <w:rFonts w:ascii="Times New Roman;Times;Serif" w:hAnsi="Times New Roman;Times;Serif"/>
          <w:b w:val="false"/>
          <w:i w:val="false"/>
          <w:caps w:val="false"/>
          <w:smallCaps w:val="false"/>
          <w:strike/>
          <w:color w:val="FF0000"/>
          <w:sz w:val="20"/>
        </w:rPr>
        <w:t>”) under Subchapter M of the Internal Revenue Code of 1986, as amended, and intends to continue to so qualify. KPIF’s principal place of business is 60 E. South Temple, Suite 2100, Salt Lake City, Utah 84111.</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KPIF’s primary investment objective is to produce current income. KNG manages the KPIF’s portfolio with a view toward producing current income, managing liquidity and protecting against downside scenarios. KNG serves as the primary investment adviser to KPIF.</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KPIF has a 4-member board (the “</w:t>
      </w:r>
      <w:r>
        <w:rPr>
          <w:rFonts w:ascii="Times New Roman;Times;Serif" w:hAnsi="Times New Roman;Times;Serif"/>
          <w:b/>
          <w:i/>
          <w:caps w:val="false"/>
          <w:smallCaps w:val="false"/>
          <w:strike/>
          <w:color w:val="FF0000"/>
          <w:sz w:val="20"/>
        </w:rPr>
        <w:t>KPIF Board</w:t>
      </w:r>
      <w:r>
        <w:rPr>
          <w:rFonts w:ascii="Times New Roman;Times;Serif" w:hAnsi="Times New Roman;Times;Serif"/>
          <w:b w:val="false"/>
          <w:i w:val="false"/>
          <w:caps w:val="false"/>
          <w:smallCaps w:val="false"/>
          <w:strike/>
          <w:color w:val="FF0000"/>
          <w:sz w:val="20"/>
        </w:rPr>
        <w:t>”), of which 3 members are not “interested persons” of KPIF within the meaning of Section 2(a)(19) of the 1940 Act.</w:t>
      </w:r>
      <w:r>
        <w:rPr>
          <w:rFonts w:ascii="Times New Roman;Times;Serif" w:hAnsi="Times New Roman;Times;Serif"/>
          <w:b w:val="false"/>
          <w:i w:val="false"/>
          <w:caps w:val="false"/>
          <w:smallCaps w:val="false"/>
          <w:strike/>
          <w:color w:val="FF0000"/>
          <w:position w:val="7"/>
          <w:sz w:val="16"/>
          <w:sz w:val="20"/>
        </w:rPr>
        <w:t>9</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B. Keystone National Group, LLC</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KNG serves as the investment adviser of the Existing Regulated Fund and the Existing Affiliated Entities, and either it or another Adviser will serve as the investment adviser to any Future Regulated Fund. KNG is a Delaware limited liability company that is registered with the Commission as an investment adviser under the Advisers Act. On the date of this Application, KNG’s clients that intend to rely on the Order are the Existing Regulated Fund and each of KRELF and KREIT, which will co-invest with KPIF.</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KNG is a private markets investment manager providing diversified investment products and strategies with a focus on current income, contractual cash flows and strong downside protection. KNG is headquartered in Salt Lake City, Utah and also has an office in Dallas, Texas.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The Existing Regulated Fund</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 (formerly known as SuRo Capital Corp., Sutter Rock Capital Corp., and GSV Capital Corp.) was incorporated in Maryland on January 6, 2011, and commenced operations upon completion of its initial public offering in May 2011. The Existing Regulated Fund elected to be regulated as a BDC under the 1940 Act upon completion of its initial public offering in May 2011 and operates as a closed-end non-diversified management investment company. The Existing Regulated Fund has elected to be treated as a regulated investment company under Subchapter M of the Internal Revenue Code of 1986, as amended, and intends to continue to make such election in the future. The Existing Regulated Fund’s principal place of business is 640 Fifth Avenue, 12th Floor, New York, NY 10019.</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Regulated Fun</w:t>
            </w:r>
            <w:r>
              <w:rPr>
                <w:rFonts w:ascii="Times New Roman;Times;Serif" w:hAnsi="Times New Roman;Times;Serif"/>
                <w:b w:val="false"/>
                <w:i w:val="false"/>
                <w:caps w:val="false"/>
                <w:smallCaps w:val="false"/>
                <w:sz w:val="20"/>
              </w:rPr>
              <w:t>d” means the Existing Regulated Fund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10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the Existing Advisers,</w:t>
            </w:r>
            <w:r>
              <w:rPr>
                <w:rFonts w:ascii="Times New Roman;Times;Serif" w:hAnsi="Times New Roman;Times;Serif"/>
                <w:b w:val="false"/>
                <w:i w:val="false"/>
                <w:caps w:val="false"/>
                <w:smallCaps w:val="false"/>
                <w:sz w:val="20"/>
              </w:rPr>
              <w:t xml:space="preserve"> and any other investment adviser controlling, controlled by, or under common control with </w:t>
            </w: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The term “Adviser” also includes any internally-managed Regulated Fund.</w:t>
            </w:r>
          </w:p>
        </w:tc>
      </w:tr>
      <w:tr>
        <w:trPr/>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10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Massachusetts Mutual Life Insurance Co. (pub. avail. June 7, 2000), Massachusetts Mutual Life Insurance Co. (pub. avail. July 28, 2000) and SMC Capital, Inc. (pub. avail. Sept. 5, 1995).</w:t>
            </w:r>
          </w:p>
        </w:tc>
      </w:tr>
    </w:tbl>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strike/>
          <w:color w:val="FF0000"/>
          <w:position w:val="7"/>
          <w:sz w:val="16"/>
          <w:sz w:val="20"/>
        </w:rPr>
        <w:t>9</w:t>
      </w:r>
      <w:r>
        <w:rPr>
          <w:rFonts w:ascii="Times New Roman;Times;Serif" w:hAnsi="Times New Roman;Times;Serif"/>
          <w:b w:val="false"/>
          <w:i w:val="false"/>
          <w:caps w:val="false"/>
          <w:smallCaps w:val="false"/>
          <w:strike/>
          <w:color w:val="0000FF"/>
          <w:sz w:val="20"/>
        </w:rPr>
        <w:t xml:space="preserve"> </w:t>
      </w:r>
      <w:r>
        <w:rPr>
          <w:rFonts w:ascii="Times New Roman;Times;Serif" w:hAnsi="Times New Roman;Times;Serif"/>
          <w:b w:val="false"/>
          <w:i w:val="false"/>
          <w:caps w:val="false"/>
          <w:smallCaps w:val="false"/>
          <w:strike/>
          <w:color w:val="008000"/>
          <w:sz w:val="20"/>
        </w:rPr>
        <w:t>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Existing Regulated Fund’s investment objective is to maximize its portfolio’s total return, principally by seeking capital gains on its equity and equity-related investments and, to a lesser extent, income from debt investments. The Existing Regulated Fund’s business and affairs are managed under the direction of its board of directors (the “</w:t>
      </w:r>
      <w:r>
        <w:rPr>
          <w:rFonts w:ascii="Times New Roman;Times;Serif" w:hAnsi="Times New Roman;Times;Serif"/>
          <w:b/>
          <w:i/>
          <w:caps w:val="false"/>
          <w:smallCaps w:val="false"/>
          <w:color w:val="0000FF"/>
          <w:sz w:val="20"/>
          <w:u w:val="single"/>
        </w:rPr>
        <w:t>Existing Regulated Fund Board</w:t>
      </w:r>
      <w:r>
        <w:rPr>
          <w:rFonts w:ascii="Times New Roman;Times;Serif" w:hAnsi="Times New Roman;Times;Serif"/>
          <w:b w:val="false"/>
          <w:i w:val="false"/>
          <w:caps w:val="false"/>
          <w:smallCaps w:val="false"/>
          <w:color w:val="0000FF"/>
          <w:sz w:val="20"/>
          <w:u w:val="single"/>
        </w:rPr>
        <w:t>” and together with any Future Regulated Fund’s board of directors, the “</w:t>
      </w:r>
      <w:r>
        <w:rPr>
          <w:rFonts w:ascii="Times New Roman;Times;Serif" w:hAnsi="Times New Roman;Times;Serif"/>
          <w:b/>
          <w:i/>
          <w:caps w:val="false"/>
          <w:smallCaps w:val="false"/>
          <w:color w:val="0000FF"/>
          <w:sz w:val="20"/>
          <w:u w:val="single"/>
        </w:rPr>
        <w:t>Board</w:t>
      </w:r>
      <w:r>
        <w:rPr>
          <w:rFonts w:ascii="Times New Roman;Times;Serif" w:hAnsi="Times New Roman;Times;Serif"/>
          <w:b w:val="false"/>
          <w:i w:val="false"/>
          <w:caps w:val="false"/>
          <w:smallCaps w:val="false"/>
          <w:color w:val="0000FF"/>
          <w:sz w:val="20"/>
          <w:u w:val="single"/>
        </w:rPr>
        <w:t>”). The Existing Regulated Fund Board consists of seven members, of which five members are not “interested persons” of the Existing Regulated Fund within the meaning of Section 2(a)(19) of the 1940 Act.</w:t>
      </w:r>
      <w:r>
        <w:rPr>
          <w:rFonts w:ascii="Times New Roman;Times;Serif" w:hAnsi="Times New Roman;Times;Serif"/>
          <w:b w:val="false"/>
          <w:i w:val="false"/>
          <w:caps w:val="false"/>
          <w:smallCaps w:val="false"/>
          <w:color w:val="0000FF"/>
          <w:position w:val="7"/>
          <w:sz w:val="16"/>
          <w:sz w:val="20"/>
          <w:u w:val="single"/>
        </w:rPr>
        <w:t>9</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00FF"/>
          <w:sz w:val="20"/>
          <w:u w:val="single"/>
        </w:rPr>
        <w:t>The Existing Affiliated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 xml:space="preserve">The Existing Affiliated Funds are investment funds, each of whose investment adviser is an Existing Adviser and each of which </w:t>
      </w:r>
      <w:r>
        <w:rPr>
          <w:rFonts w:ascii="Times New Roman;Times;Serif" w:hAnsi="Times New Roman;Times;Serif"/>
          <w:b w:val="false"/>
          <w:i w:val="false"/>
          <w:caps w:val="false"/>
          <w:smallCaps w:val="false"/>
          <w:color w:val="008000"/>
          <w:sz w:val="20"/>
          <w:u w:val="single"/>
        </w:rPr>
        <w:t xml:space="preserve">would be an investment company but for </w:t>
      </w:r>
      <w:r>
        <w:rPr>
          <w:rFonts w:ascii="Times New Roman;Times;Serif" w:hAnsi="Times New Roman;Times;Serif"/>
          <w:b w:val="false"/>
          <w:i w:val="false"/>
          <w:caps w:val="false"/>
          <w:smallCaps w:val="false"/>
          <w:color w:val="0000FF"/>
          <w:sz w:val="20"/>
          <w:u w:val="single"/>
        </w:rPr>
        <w:t>Sections 3(c)(1), 3(c)(5) or 3(c)(7) of the 1940 Act.</w:t>
      </w:r>
      <w:r>
        <w:rPr>
          <w:rFonts w:ascii="Times New Roman;Times;Serif" w:hAnsi="Times New Roman;Times;Serif"/>
          <w:b w:val="false"/>
          <w:i w:val="false"/>
          <w:caps w:val="false"/>
          <w:smallCaps w:val="false"/>
          <w:color w:val="0000FF"/>
          <w:position w:val="7"/>
          <w:sz w:val="16"/>
          <w:sz w:val="20"/>
          <w:u w:val="single"/>
        </w:rPr>
        <w:t>10</w:t>
      </w:r>
      <w:r>
        <w:rPr>
          <w:rFonts w:ascii="Times New Roman;Times;Serif" w:hAnsi="Times New Roman;Times;Serif"/>
          <w:b w:val="false"/>
          <w:i w:val="false"/>
          <w:caps w:val="false"/>
          <w:smallCaps w:val="false"/>
          <w:color w:val="0000FF"/>
          <w:sz w:val="20"/>
          <w:u w:val="single"/>
        </w:rPr>
        <w:t xml:space="preserve"> A list of the Existing Affiliated Funds and their respective investment adviser is included on Schedule B hereto.</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00FF"/>
          <w:sz w:val="20"/>
          <w:u w:val="single"/>
        </w:rPr>
        <w:t>The Existing Advisers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BDC Adviser serves as the investment adviser of the Existing Regulated Fund and, as identified on Schedule B, an Existing Adviser serves as investment adviser to each of the Existing Affiliated Funds, and an Existing Adviser or another Adviser will serve as the investment adviser to any Future Regulated Fund. On the date of this Application, the clients of the Existing Advisers that intend to rely on this Application are the Existing Regulated Fund and the Existing Affiliated Funds identified on Schedule B hereto.</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The BDC Adviser is </w:t>
      </w:r>
      <w:r>
        <w:rPr>
          <w:rFonts w:ascii="Times New Roman;Times;Serif" w:hAnsi="Times New Roman;Times;Serif"/>
          <w:b w:val="false"/>
          <w:i w:val="false"/>
          <w:caps w:val="false"/>
          <w:smallCaps w:val="false"/>
          <w:color w:val="008000"/>
          <w:sz w:val="20"/>
          <w:u w:val="single"/>
        </w:rPr>
        <w:t>a Delaware limited liability company</w:t>
      </w:r>
      <w:r>
        <w:rPr>
          <w:rFonts w:ascii="Times New Roman;Times;Serif" w:hAnsi="Times New Roman;Times;Serif"/>
          <w:b w:val="false"/>
          <w:i w:val="false"/>
          <w:caps w:val="false"/>
          <w:smallCaps w:val="false"/>
          <w:color w:val="0000FF"/>
          <w:sz w:val="20"/>
          <w:u w:val="single"/>
        </w:rPr>
        <w:t xml:space="preserve"> and is registered as an investment adviser with the Commission under the Advisers Act. The BDC Adviser’s principal place of business is 640 Fifth Avenue, 12th Floor, New York, NY 10019. Neostellar Administrative Services LLC, an affiliate of the BDC Adviser (the “</w:t>
      </w:r>
      <w:r>
        <w:rPr>
          <w:rFonts w:ascii="Times New Roman;Times;Serif" w:hAnsi="Times New Roman;Times;Serif"/>
          <w:b/>
          <w:i/>
          <w:caps w:val="false"/>
          <w:smallCaps w:val="false"/>
          <w:color w:val="0000FF"/>
          <w:sz w:val="20"/>
          <w:u w:val="single"/>
        </w:rPr>
        <w:t>Administrator</w:t>
      </w:r>
      <w:r>
        <w:rPr>
          <w:rFonts w:ascii="Times New Roman;Times;Serif" w:hAnsi="Times New Roman;Times;Serif"/>
          <w:b w:val="false"/>
          <w:i w:val="false"/>
          <w:caps w:val="false"/>
          <w:smallCaps w:val="false"/>
          <w:color w:val="0000FF"/>
          <w:sz w:val="20"/>
          <w:u w:val="single"/>
        </w:rPr>
        <w:t>”), provides administrative services to the Existing Regulated Fund under an administrative services agreement. The BDC Adviser is jointly owned by Magnetar Holdings LLC (“</w:t>
      </w:r>
      <w:r>
        <w:rPr>
          <w:rFonts w:ascii="Times New Roman;Times;Serif" w:hAnsi="Times New Roman;Times;Serif"/>
          <w:b/>
          <w:i/>
          <w:caps w:val="false"/>
          <w:smallCaps w:val="false"/>
          <w:color w:val="0000FF"/>
          <w:sz w:val="20"/>
          <w:u w:val="single"/>
        </w:rPr>
        <w:t>Magnetar Holdings</w:t>
      </w:r>
      <w:r>
        <w:rPr>
          <w:rFonts w:ascii="Times New Roman;Times;Serif" w:hAnsi="Times New Roman;Times;Serif"/>
          <w:b w:val="false"/>
          <w:i w:val="false"/>
          <w:caps w:val="false"/>
          <w:smallCaps w:val="false"/>
          <w:color w:val="0000FF"/>
          <w:sz w:val="20"/>
          <w:u w:val="single"/>
        </w:rPr>
        <w:t>”) and by a vehicle that is in turn owned and controlled by certain officers of the Existing Regulated Fund. Magnetar Holdings is owned and controlled by Magnetar Capital Partners LP, which is in turn an affiliated entity of Magnetar Financial, Magnetar UK and Magnetar Asset Management.</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Asset Management is a Delaware limited liability company and is registered as an investment adviser with the Commission under the Advisers Act. Magnetar Financial is a Delaware limited liability company and is registered as an investment adviser with the Commission under the Advisers Act. Magnetar UK is a United Kingdom limited liability partnership and is registered with the Financial Conduct Authority. The principal place of business of Magnetar Asset Management and Magnetar Financial is 1603 Orrington Avenue, 13th Floor, Evanston, IL 60201. The principal place of business of Magnetar UK is 25 Great Pulteney Street, 3rd Floor, London W1F 9LT, United Kingdom. Either Magnetar UK or Magnetar Financial serves as the investment adviser to each of the Existing Affiliated Funds.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The investment management business that Magnetar Financial, Magnetar UK and Magnetar Asset Management are a part of is a multi-strategy, multi-product alternative investment platform (“Magnetar”) founded in 2005 with approximately $17.8 billion in assets under management as of December 31, 2025 and approximately 224 professionals globally as of March 31, 2026. Magnetar is headquartered in Evanston, Illinois and operates from offices in New York, London, Menlo Park, and Austin. Magnetar’s investment strategies include alternative credit and fixed income, quantitative investing, and ventures.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FF"/>
                <w:position w:val="8"/>
                <w:sz w:val="19"/>
                <w:u w:val="single"/>
              </w:rPr>
            </w:pPr>
            <w:r>
              <w:rPr>
                <w:color w:val="0000FF"/>
                <w:position w:val="8"/>
                <w:sz w:val="19"/>
                <w:u w:val="single"/>
              </w:rPr>
              <w:t>9</w:t>
            </w:r>
          </w:p>
        </w:tc>
        <w:tc>
          <w:tcPr>
            <w:tcW w:w="9960" w:type="dxa"/>
            <w:tcBorders/>
            <w:vAlign w:val="center"/>
          </w:tcPr>
          <w:p>
            <w:pPr>
              <w:pStyle w:val="TableContents"/>
              <w:bidi w:val="0"/>
              <w:spacing w:before="0" w:after="283"/>
              <w:jc w:val="both"/>
              <w:rPr>
                <w:color w:val="008000"/>
                <w:u w:val="single"/>
              </w:rPr>
            </w:pPr>
            <w:r>
              <w:rPr>
                <w:color w:val="008000"/>
                <w:u w:val="single"/>
              </w:rPr>
              <w:t>The Board of each Future Regulated Fund will consist of a majority of members who are not “interested persons” of such Future Regulated Fund within the meaning of Section 2(a)(19) of the 1940 Act.</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color w:val="0000FF"/>
                <w:position w:val="8"/>
                <w:sz w:val="19"/>
                <w:u w:val="single"/>
              </w:rPr>
            </w:pPr>
            <w:r>
              <w:rPr>
                <w:color w:val="0000FF"/>
                <w:position w:val="8"/>
                <w:sz w:val="19"/>
                <w:u w:val="single"/>
              </w:rPr>
              <w:t>10</w:t>
            </w:r>
          </w:p>
        </w:tc>
        <w:tc>
          <w:tcPr>
            <w:tcW w:w="9960" w:type="dxa"/>
            <w:tcBorders/>
            <w:vAlign w:val="center"/>
          </w:tcPr>
          <w:p>
            <w:pPr>
              <w:pStyle w:val="TableContents"/>
              <w:bidi w:val="0"/>
              <w:spacing w:before="0" w:after="283"/>
              <w:jc w:val="both"/>
              <w:rPr/>
            </w:pPr>
            <w:r>
              <w:rPr>
                <w:color w:val="008000"/>
                <w:u w:val="single"/>
              </w:rPr>
              <w:t>In the future, an Existing Affiliated</w:t>
            </w:r>
            <w:r>
              <w:rPr/>
              <w:t xml:space="preserve"> </w:t>
            </w:r>
            <w:r>
              <w:rPr>
                <w:rFonts w:ascii="Times New Roman;Times;Serif" w:hAnsi="Times New Roman;Times;Serif"/>
                <w:color w:val="0000FF"/>
                <w:sz w:val="20"/>
                <w:u w:val="single"/>
              </w:rPr>
              <w:t xml:space="preserve">Fund </w:t>
            </w:r>
            <w:r>
              <w:rPr>
                <w:rFonts w:ascii="Times New Roman;Times;Serif" w:hAnsi="Times New Roman;Times;Serif"/>
                <w:color w:val="008000"/>
                <w:sz w:val="20"/>
                <w:u w:val="single"/>
              </w:rPr>
              <w:t>may register as an investment company under the Act and, if so registered, will be considered a Regulated Fund for purposes of this application.</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an investment advisory agreement with the Existing Regulated Fund</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and each Existing Affiliated </w:t>
      </w:r>
      <w:r>
        <w:rPr>
          <w:rFonts w:ascii="Times New Roman;Times;Serif" w:hAnsi="Times New Roman;Times;Serif"/>
          <w:b w:val="false"/>
          <w:i w:val="false"/>
          <w:caps w:val="false"/>
          <w:smallCaps w:val="false"/>
          <w:strike/>
          <w:color w:val="FF0000"/>
          <w:sz w:val="20"/>
        </w:rPr>
        <w:t>Entities, respectively, KNG</w:t>
      </w:r>
      <w:r>
        <w:rPr>
          <w:rFonts w:ascii="Times New Roman;Times;Serif" w:hAnsi="Times New Roman;Times;Serif"/>
          <w:b w:val="false"/>
          <w:i w:val="false"/>
          <w:caps w:val="false"/>
          <w:smallCaps w:val="false"/>
          <w:color w:val="0000FF"/>
          <w:sz w:val="20"/>
          <w:u w:val="single"/>
        </w:rPr>
        <w:t>Fund, as applicable, the Existing Advisers</w:t>
      </w:r>
      <w:r>
        <w:rPr>
          <w:rFonts w:ascii="Times New Roman;Times;Serif" w:hAnsi="Times New Roman;Times;Serif"/>
          <w:b w:val="false"/>
          <w:i w:val="false"/>
          <w:caps w:val="false"/>
          <w:smallCaps w:val="false"/>
          <w:sz w:val="20"/>
        </w:rPr>
        <w:t xml:space="preserve"> will, among other things, manage the investment portfolio, direct purchases and sales of portfolio securities and report thereon to the Existing Regulated Fund’s </w:t>
      </w:r>
      <w:r>
        <w:rPr>
          <w:rFonts w:ascii="Times New Roman;Times;Serif" w:hAnsi="Times New Roman;Times;Serif"/>
          <w:b w:val="false"/>
          <w:i w:val="false"/>
          <w:caps w:val="false"/>
          <w:smallCaps w:val="false"/>
          <w:color w:val="0000FF"/>
          <w:sz w:val="20"/>
          <w:u w:val="single"/>
        </w:rPr>
        <w:t xml:space="preserve">and each Existing Affiliated Fund’s </w:t>
      </w:r>
      <w:r>
        <w:rPr>
          <w:rFonts w:ascii="Times New Roman;Times;Serif" w:hAnsi="Times New Roman;Times;Serif"/>
          <w:b w:val="false"/>
          <w:i w:val="false"/>
          <w:caps w:val="false"/>
          <w:smallCaps w:val="false"/>
          <w:sz w:val="20"/>
        </w:rPr>
        <w:t>officers and directors/trustees</w:t>
      </w:r>
      <w:r>
        <w:rPr>
          <w:rFonts w:ascii="Times New Roman;Times;Serif" w:hAnsi="Times New Roman;Times;Serif"/>
          <w:b w:val="false"/>
          <w:i w:val="false"/>
          <w:caps w:val="false"/>
          <w:smallCaps w:val="false"/>
          <w:color w:val="0000FF"/>
          <w:sz w:val="20"/>
          <w:u w:val="single"/>
        </w:rPr>
        <w:t>/manager</w:t>
      </w:r>
      <w:r>
        <w:rPr>
          <w:rFonts w:ascii="Times New Roman;Times;Serif" w:hAnsi="Times New Roman;Times;Serif"/>
          <w:b w:val="false"/>
          <w:i w:val="false"/>
          <w:caps w:val="false"/>
          <w:smallCaps w:val="false"/>
          <w:sz w:val="20"/>
        </w:rPr>
        <w:t xml:space="preserve"> regularly.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Existing Affiliated Entities</w:t>
      </w:r>
    </w:p>
    <w:p>
      <w:pPr>
        <w:pStyle w:val="TextBody"/>
        <w:bidi w:val="0"/>
        <w:spacing w:before="0" w:after="0"/>
        <w:ind w:left="0" w:right="0" w:firstLine="72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Each Existing Affiliated Entity is a Delaware limited liability company or limited partnership that is a privately-offered fund that would be an “investment company” but for Section 3(c)(1), Section 3(c)(5) or Section 3(c)(7) of the 1940 Act.</w:t>
      </w:r>
      <w:r>
        <w:rPr>
          <w:rFonts w:ascii="Times New Roman;Times;Serif" w:hAnsi="Times New Roman;Times;Serif"/>
          <w:b w:val="false"/>
          <w:i w:val="false"/>
          <w:caps w:val="false"/>
          <w:smallCaps w:val="false"/>
          <w:strike/>
          <w:color w:val="FF0000"/>
          <w:position w:val="7"/>
          <w:sz w:val="16"/>
          <w:sz w:val="20"/>
        </w:rPr>
        <w:t>10</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KPMO IX and KPMO IX Q were organized in July 2018 and March 2019, respectively, as Delaware limited partnerships. Their primary investment objective is to produce current income.</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KRELF was organized in November 2014 as a Delaware limited partnership and reorganized in January 2024 as a Delaware limited liability company. KRELF’s primary investment objective is to produce current income.</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KREIT was organized in January 2024 as </w:t>
      </w:r>
      <w:r>
        <w:rPr>
          <w:rFonts w:ascii="Times New Roman;Times;Serif" w:hAnsi="Times New Roman;Times;Serif"/>
          <w:b w:val="false"/>
          <w:i w:val="false"/>
          <w:caps w:val="false"/>
          <w:smallCaps w:val="false"/>
          <w:strike/>
          <w:color w:val="008000"/>
          <w:sz w:val="20"/>
        </w:rPr>
        <w:t>a Delaware limited liability company</w:t>
      </w:r>
      <w:r>
        <w:rPr>
          <w:rFonts w:ascii="Times New Roman;Times;Serif" w:hAnsi="Times New Roman;Times;Serif"/>
          <w:b w:val="false"/>
          <w:i w:val="false"/>
          <w:caps w:val="false"/>
          <w:smallCaps w:val="false"/>
          <w:strike/>
          <w:color w:val="FF0000"/>
          <w:sz w:val="20"/>
        </w:rPr>
        <w:t>. KREIT’s primary investment objective is to produce current income and capital appreciation through select real estate investments.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ORDER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Applicable Law</w:t>
      </w:r>
    </w:p>
    <w:p>
      <w:pPr>
        <w:pStyle w:val="TextBody"/>
        <w:bidi w:val="0"/>
        <w:spacing w:before="0" w:after="0"/>
        <w:ind w:left="187"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position w:val="7"/>
          <w:sz w:val="16"/>
          <w:sz w:val="20"/>
        </w:rPr>
        <w:t>10</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008000"/>
          <w:sz w:val="20"/>
        </w:rPr>
        <w:t xml:space="preserve">In the future, an Existing Affiliated </w:t>
      </w:r>
      <w:r>
        <w:rPr>
          <w:rFonts w:ascii="Times New Roman;Times;Serif" w:hAnsi="Times New Roman;Times;Serif"/>
          <w:b w:val="false"/>
          <w:i w:val="false"/>
          <w:caps w:val="false"/>
          <w:smallCaps w:val="false"/>
          <w:strike/>
          <w:color w:val="FF0000"/>
          <w:sz w:val="20"/>
        </w:rPr>
        <w:t xml:space="preserve">Entity </w:t>
      </w:r>
      <w:r>
        <w:rPr>
          <w:rFonts w:ascii="Times New Roman;Times;Serif" w:hAnsi="Times New Roman;Times;Serif"/>
          <w:b w:val="false"/>
          <w:i w:val="false"/>
          <w:caps w:val="false"/>
          <w:smallCaps w:val="false"/>
          <w:strike/>
          <w:color w:val="008000"/>
          <w:sz w:val="20"/>
        </w:rPr>
        <w:t>may register as an investment company under the Act and, if so registered, will be considered a Regulated Fund for purposes of this application.</w:t>
      </w:r>
      <w:r>
        <w:rPr>
          <w:rFonts w:ascii="Times New Roman;Times;Serif" w:hAnsi="Times New Roman;Times;Serif"/>
          <w:b w:val="false"/>
          <w:i w:val="false"/>
          <w:caps w:val="false"/>
          <w:smallCaps w:val="false"/>
          <w:strike/>
          <w:color w:val="FF0000"/>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11</w:t>
            </w:r>
          </w:p>
        </w:tc>
        <w:tc>
          <w:tcPr>
            <w:tcW w:w="9960" w:type="dxa"/>
            <w:tcBorders/>
            <w:vAlign w:val="center"/>
          </w:tcPr>
          <w:p>
            <w:pPr>
              <w:pStyle w:val="TableContents"/>
              <w:bidi w:val="0"/>
              <w:spacing w:before="0" w:after="283"/>
              <w:jc w:val="both"/>
              <w:rPr/>
            </w:pPr>
            <w:r>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Need for Relief</w:t>
      </w:r>
    </w:p>
    <w:p>
      <w:pPr>
        <w:pStyle w:val="TextBody"/>
        <w:bidi w:val="0"/>
        <w:spacing w:before="0" w:after="0"/>
        <w:ind w:left="187"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0000FF"/>
          <w:sz w:val="20"/>
          <w:u w:val="single"/>
        </w:rPr>
        <w:t>an</w:t>
      </w:r>
      <w:r>
        <w:rPr>
          <w:rFonts w:ascii="Times New Roman;Times;Serif" w:hAnsi="Times New Roman;Times;Serif"/>
          <w:b w:val="false"/>
          <w:i w:val="false"/>
          <w:caps w:val="false"/>
          <w:smallCaps w:val="false"/>
          <w:sz w:val="20"/>
        </w:rPr>
        <w:t xml:space="preserve"> open-end fund or closed-end fund, or a business development company, respectively, including a sub-adviser. Thus, an Adviser and any Affiliated Entities that it advises could be deemed to be persons related to Regulated Funds in a manner described by Sections 17(d) and 57(b). </w:t>
      </w:r>
      <w:r>
        <w:rPr>
          <w:rFonts w:ascii="Times New Roman;Times;Serif" w:hAnsi="Times New Roman;Times;Serif"/>
          <w:b w:val="false"/>
          <w:i w:val="false"/>
          <w:caps w:val="false"/>
          <w:smallCaps w:val="false"/>
          <w:strike/>
          <w:color w:val="FF0000"/>
          <w:sz w:val="20"/>
        </w:rPr>
        <w:t>With respect to KNG</w:t>
      </w:r>
      <w:r>
        <w:rPr>
          <w:rFonts w:ascii="Times New Roman;Times;Serif" w:hAnsi="Times New Roman;Times;Serif"/>
          <w:b w:val="false"/>
          <w:i w:val="false"/>
          <w:caps w:val="false"/>
          <w:smallCaps w:val="false"/>
          <w:color w:val="0000FF"/>
          <w:sz w:val="20"/>
          <w:u w:val="single"/>
        </w:rPr>
        <w:t>The Existing Advisers are under common control, and are thus affiliated persons of each other. Accordingly, with respect to the Existing Advisers</w:t>
      </w:r>
      <w:r>
        <w:rPr>
          <w:rFonts w:ascii="Times New Roman;Times;Serif" w:hAnsi="Times New Roman;Times;Serif"/>
          <w:b w:val="false"/>
          <w:i w:val="false"/>
          <w:caps w:val="false"/>
          <w:smallCaps w:val="false"/>
          <w:sz w:val="20"/>
        </w:rPr>
        <w:t xml:space="preserve">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w:t>
      </w:r>
      <w:r>
        <w:rPr>
          <w:rFonts w:ascii="Times New Roman;Times;Serif" w:hAnsi="Times New Roman;Times;Serif"/>
          <w:b w:val="false"/>
          <w:i w:val="false"/>
          <w:caps w:val="false"/>
          <w:smallCaps w:val="false"/>
          <w:strike/>
          <w:color w:val="FF0000"/>
          <w:sz w:val="20"/>
        </w:rPr>
        <w:t>KNG</w:t>
      </w:r>
      <w:r>
        <w:rPr>
          <w:rFonts w:ascii="Times New Roman;Times;Serif" w:hAnsi="Times New Roman;Times;Serif"/>
          <w:b w:val="false"/>
          <w:i w:val="false"/>
          <w:caps w:val="false"/>
          <w:smallCaps w:val="false"/>
          <w:color w:val="0000FF"/>
          <w:sz w:val="20"/>
          <w:u w:val="single"/>
        </w:rPr>
        <w:t>an Existing Adviser</w:t>
      </w:r>
      <w:r>
        <w:rPr>
          <w:rFonts w:ascii="Times New Roman;Times;Serif" w:hAnsi="Times New Roman;Times;Serif"/>
          <w:b w:val="false"/>
          <w:i w:val="false"/>
          <w:caps w:val="false"/>
          <w:smallCaps w:val="false"/>
          <w:sz w:val="2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Conditions</w:t>
      </w:r>
    </w:p>
    <w:p>
      <w:pPr>
        <w:pStyle w:val="TextBody"/>
        <w:bidi w:val="0"/>
        <w:spacing w:before="0" w:after="0"/>
        <w:ind w:left="0" w:right="0" w:firstLine="720"/>
        <w:jc w:val="left"/>
        <w:rPr>
          <w:caps w:val="false"/>
          <w:smallCaps w:val="false"/>
          <w:color w:val="FF0000"/>
        </w:rPr>
      </w:pPr>
      <w:r>
        <w:rPr>
          <w:caps w:val="false"/>
          <w:smallCaps w:val="false"/>
          <w:color w:val="FF0000"/>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color w:val="0000FF"/>
          <w:sz w:val="20"/>
          <w:u w:val="single"/>
        </w:rPr>
        <w:t>C.</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color w:val="0000FF"/>
          <w:sz w:val="20"/>
          <w:u w:val="single"/>
        </w:rPr>
        <w:t>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12</w:t>
            </w:r>
          </w:p>
        </w:tc>
        <w:tc>
          <w:tcPr>
            <w:tcW w:w="9960" w:type="dxa"/>
            <w:tcBorders/>
            <w:vAlign w:val="center"/>
          </w:tcPr>
          <w:p>
            <w:pPr>
              <w:pStyle w:val="TableContents"/>
              <w:bidi w:val="0"/>
              <w:spacing w:before="0" w:after="283"/>
              <w:jc w:val="both"/>
              <w:rPr/>
            </w:pPr>
            <w:r>
              <w:rPr/>
              <w:t>Such a Board can also, consistent with applicable fund documents, facilitate this opportunity by delegating the authority to veto the selection of such person to a committee of the Board.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13</w:t>
            </w:r>
          </w:p>
        </w:tc>
        <w:tc>
          <w:tcPr>
            <w:tcW w:w="9960" w:type="dxa"/>
            <w:tcBorders/>
            <w:vAlign w:val="center"/>
          </w:tcPr>
          <w:p>
            <w:pPr>
              <w:pStyle w:val="TableContents"/>
              <w:bidi w:val="0"/>
              <w:spacing w:before="0" w:after="283"/>
              <w:jc w:val="both"/>
              <w:rPr/>
            </w:pPr>
            <w:r>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14</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15</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of an individual Participant that are incurred solely by the Participant due to its unique circumstances (such as legal and compliance expenses) will be borne by such Participant.</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16</w:t>
            </w:r>
          </w:p>
        </w:tc>
        <w:tc>
          <w:tcPr>
            <w:tcW w:w="9960" w:type="dxa"/>
            <w:tcBorders/>
            <w:vAlign w:val="center"/>
          </w:tcPr>
          <w:p>
            <w:pPr>
              <w:pStyle w:val="TableContents"/>
              <w:bidi w:val="0"/>
              <w:spacing w:before="0" w:after="283"/>
              <w:jc w:val="both"/>
              <w:rPr/>
            </w:pPr>
            <w:r>
              <w:rPr/>
              <w:t>Applicants are not requesting and the Commission is not providing any relief for transaction fees received in connection with any Co-Investment Transaction.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 w:type="dxa"/>
            <w:tcBorders/>
            <w:vAlign w:val="center"/>
          </w:tcPr>
          <w:p>
            <w:pPr>
              <w:pStyle w:val="TableContents"/>
              <w:bidi w:val="0"/>
              <w:spacing w:before="0" w:after="283"/>
              <w:jc w:val="left"/>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19</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Board Oversight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Fund’s directors will oversee the Regulated Fund’s participation in the co-investment program in the exercise of their reasonable business judgment.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4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17</w:t>
            </w:r>
          </w:p>
        </w:tc>
        <w:tc>
          <w:tcPr>
            <w:tcW w:w="9960" w:type="dxa"/>
            <w:tcBorders/>
            <w:vAlign w:val="center"/>
          </w:tcPr>
          <w:p>
            <w:pPr>
              <w:pStyle w:val="TableContents"/>
              <w:bidi w:val="0"/>
              <w:spacing w:before="0" w:after="283"/>
              <w:jc w:val="both"/>
              <w:rPr/>
            </w:pPr>
            <w:r>
              <w:rPr/>
              <w:t>The Affiliated Entities may adopt shared Co-Investment Policies.</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18</w:t>
            </w:r>
          </w:p>
        </w:tc>
        <w:tc>
          <w:tcPr>
            <w:tcW w:w="9960" w:type="dxa"/>
            <w:tcBorders/>
            <w:vAlign w:val="center"/>
          </w:tcPr>
          <w:p>
            <w:pPr>
              <w:pStyle w:val="TableContents"/>
              <w:bidi w:val="0"/>
              <w:spacing w:before="0" w:after="283"/>
              <w:jc w:val="both"/>
              <w:rPr/>
            </w:pPr>
            <w:r>
              <w:rPr/>
              <w:t>“</w:t>
            </w:r>
            <w:r>
              <w:rPr>
                <w:b/>
                <w:i/>
              </w:rPr>
              <w:t>Disposition</w:t>
            </w:r>
            <w:r>
              <w:rPr/>
              <w:t>” means the sale, exchange, transfer or other disposition of an interest in a security of an issuer.</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19</w:t>
            </w:r>
          </w:p>
        </w:tc>
        <w:tc>
          <w:tcPr>
            <w:tcW w:w="9960" w:type="dxa"/>
            <w:tcBorders/>
            <w:vAlign w:val="center"/>
          </w:tcPr>
          <w:p>
            <w:pPr>
              <w:pStyle w:val="TableContents"/>
              <w:bidi w:val="0"/>
              <w:spacing w:before="0" w:after="283"/>
              <w:jc w:val="both"/>
              <w:rPr/>
            </w:pPr>
            <w:r>
              <w:rPr/>
              <w:t>“</w:t>
            </w:r>
            <w:r>
              <w:rPr>
                <w:b/>
                <w:i/>
              </w:rPr>
              <w:t>Tradable Security</w:t>
            </w:r>
            <w:r>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STATEMENT IN SUPPORT OF RELIEF REQUESTED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187" w:right="0" w:hanging="0"/>
        <w:jc w:val="both"/>
        <w:rPr>
          <w:caps w:val="false"/>
          <w:smallCaps w:val="false"/>
        </w:rPr>
      </w:pPr>
      <w:r>
        <w:rPr>
          <w:caps w:val="false"/>
          <w:smallCaps w:val="false"/>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Benefits to the Regulated Funds and their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187" w:right="0" w:hanging="0"/>
        <w:jc w:val="both"/>
        <w:rPr>
          <w:caps w:val="false"/>
          <w:smallCaps w:val="false"/>
        </w:rPr>
      </w:pPr>
      <w:r>
        <w:rPr>
          <w:caps w:val="false"/>
          <w:smallCaps w:val="false"/>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Shareholder Protections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Co-Investment Transaction would be subject to the terms and conditions of this Application. The Conditions are designed to address the concerns underlying Sections 17(d) and 57(a)(4) and Rule </w:t>
      </w:r>
      <w:r>
        <w:rPr>
          <w:rFonts w:ascii="Times New Roman;Times;Serif" w:hAnsi="Times New Roman;Times;Serif"/>
          <w:b w:val="false"/>
          <w:i w:val="false"/>
          <w:caps w:val="false"/>
          <w:smallCaps w:val="false"/>
          <w:strike/>
          <w:color w:val="FF0000"/>
          <w:sz w:val="20"/>
        </w:rPr>
        <w:t>17d-1</w:t>
      </w:r>
      <w:r>
        <w:rPr>
          <w:rFonts w:ascii="Times New Roman;Times;Serif" w:hAnsi="Times New Roman;Times;Serif"/>
          <w:b w:val="false"/>
          <w:i w:val="false"/>
          <w:caps w:val="false"/>
          <w:smallCaps w:val="false"/>
          <w:color w:val="0000FF"/>
          <w:sz w:val="20"/>
          <w:u w:val="single"/>
        </w:rPr>
        <w:t>17d-l</w:t>
      </w:r>
      <w:r>
        <w:rPr>
          <w:rFonts w:ascii="Times New Roman;Times;Serif" w:hAnsi="Times New Roman;Times;Serif"/>
          <w:b w:val="false"/>
          <w:i w:val="false"/>
          <w:caps w:val="false"/>
          <w:smallCaps w:val="false"/>
          <w:sz w:val="20"/>
        </w:rPr>
        <w:t xml:space="preserve">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w:t>
      </w:r>
      <w:r>
        <w:rPr>
          <w:rFonts w:ascii="Times New Roman;Times;Serif" w:hAnsi="Times New Roman;Times;Serif"/>
          <w:b w:val="false"/>
          <w:i w:val="false"/>
          <w:caps w:val="false"/>
          <w:smallCaps w:val="false"/>
          <w:strike/>
          <w:color w:val="FF0000"/>
          <w:sz w:val="20"/>
        </w:rPr>
        <w:t>Co Investment</w:t>
      </w:r>
      <w:r>
        <w:rPr>
          <w:rFonts w:ascii="Times New Roman;Times;Serif" w:hAnsi="Times New Roman;Times;Serif"/>
          <w:b w:val="false"/>
          <w:i w:val="false"/>
          <w:caps w:val="false"/>
          <w:smallCaps w:val="false"/>
          <w:color w:val="0000FF"/>
          <w:sz w:val="20"/>
          <w:u w:val="single"/>
        </w:rPr>
        <w:t>Co-Investment</w:t>
      </w:r>
      <w:r>
        <w:rPr>
          <w:rFonts w:ascii="Times New Roman;Times;Serif" w:hAnsi="Times New Roman;Times;Serif"/>
          <w:b w:val="false"/>
          <w:i w:val="false"/>
          <w:caps w:val="false"/>
          <w:smallCaps w:val="false"/>
          <w:sz w:val="20"/>
        </w:rPr>
        <w:t xml:space="preserve">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trike/>
          <w:color w:val="FF0000"/>
          <w:sz w:val="20"/>
        </w:rPr>
        <w:t>V.</w:t>
      </w:r>
      <w:r>
        <w:rPr>
          <w:rFonts w:ascii="Times New Roman;Times;Serif" w:hAnsi="Times New Roman;Times;Serif"/>
          <w:b/>
          <w:i w:val="false"/>
          <w:caps/>
          <w:sz w:val="20"/>
        </w:rPr>
        <w:t xml:space="preserve"> </w:t>
      </w:r>
      <w:r>
        <w:rPr>
          <w:rFonts w:ascii="Times New Roman;Times;Serif" w:hAnsi="Times New Roman;Times;Serif"/>
          <w:b/>
          <w:i w:val="false"/>
          <w:caps/>
          <w:strike/>
          <w:color w:val="FF0000"/>
          <w:sz w:val="20"/>
        </w:rPr>
        <w:t>PRECEDENTS</w:t>
      </w:r>
    </w:p>
    <w:p>
      <w:pPr>
        <w:pStyle w:val="TextBody"/>
        <w:bidi w:val="0"/>
        <w:spacing w:before="0" w:after="0"/>
        <w:ind w:left="0" w:right="0" w:hanging="0"/>
        <w:jc w:val="left"/>
        <w:rPr>
          <w:caps/>
          <w:color w:val="FF0000"/>
        </w:rPr>
      </w:pPr>
      <w:r>
        <w:rPr>
          <w:caps/>
          <w:color w:val="FF0000"/>
        </w:rPr>
        <w:t> </w:t>
      </w:r>
    </w:p>
    <w:p>
      <w:pPr>
        <w:pStyle w:val="TextBody"/>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V. PRECEDENTS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20</w:t>
            </w:r>
          </w:p>
        </w:tc>
        <w:tc>
          <w:tcPr>
            <w:tcW w:w="9960" w:type="dxa"/>
            <w:tcBorders/>
            <w:vAlign w:val="center"/>
          </w:tcPr>
          <w:p>
            <w:pPr>
              <w:pStyle w:val="TableContents"/>
              <w:bidi w:val="0"/>
              <w:spacing w:before="0" w:after="283"/>
              <w:jc w:val="both"/>
              <w:rPr/>
            </w:pPr>
            <w:r>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21</w:t>
            </w:r>
          </w:p>
        </w:tc>
        <w:tc>
          <w:tcPr>
            <w:tcW w:w="9960" w:type="dxa"/>
            <w:tcBorders/>
            <w:vAlign w:val="center"/>
          </w:tcPr>
          <w:p>
            <w:pPr>
              <w:pStyle w:val="TableContents"/>
              <w:bidi w:val="0"/>
              <w:spacing w:before="0" w:after="283"/>
              <w:jc w:val="both"/>
              <w:rPr/>
            </w:pPr>
            <w:r>
              <w:rPr>
                <w:i/>
              </w:rPr>
              <w:t>See, e.g</w:t>
            </w:r>
            <w:r>
              <w:rPr/>
              <w:t xml:space="preserve">., FS Credit Opportunities Corp., </w:t>
            </w:r>
            <w:r>
              <w:rPr>
                <w:i/>
              </w:rPr>
              <w:t>et al.</w:t>
            </w:r>
            <w:r>
              <w:rPr/>
              <w:t xml:space="preserve"> (File No. 812-15706), Release No. IC-35520 (April 3, 2025) (notice), Release No. IC-35561 (April 29, 2025) (order); Sixth Street Specialty Lending, Inc. </w:t>
            </w:r>
            <w:r>
              <w:rPr>
                <w:i/>
              </w:rPr>
              <w:t>et al.</w:t>
            </w:r>
            <w:r>
              <w:rPr/>
              <w:t xml:space="preserve"> (File No. 812-15729), Release No. IC-35531 (April 10, 2025) (notice), Release No. IC-35570 (May 6, 2025) (order); Blue Owl Capital Corporation, </w:t>
            </w:r>
            <w:r>
              <w:rPr>
                <w:i/>
              </w:rPr>
              <w:t>et al.</w:t>
            </w:r>
            <w:r>
              <w:rPr/>
              <w:t xml:space="preserve"> (File No. 812-15715), Release No. IC-35530 (April 9, 2025) (notice), Release No. IC-35573 (May 6, 2025) (order);  BlackRock Growth Equity Fund LP, </w:t>
            </w:r>
            <w:r>
              <w:rPr>
                <w:i/>
              </w:rPr>
              <w:t>et al.</w:t>
            </w:r>
            <w:r>
              <w:rPr/>
              <w:t> (File No. 812-15712), Release No. IC-35525 (April 8, 2025) (notice), Release No. IC-35572 (May 6, 2025) (order).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PROCEDURAL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Communications</w:t>
      </w:r>
    </w:p>
    <w:p>
      <w:pPr>
        <w:pStyle w:val="TextBody"/>
        <w:bidi w:val="0"/>
        <w:spacing w:before="0" w:after="0"/>
        <w:ind w:left="0" w:right="0" w:firstLine="720"/>
        <w:jc w:val="left"/>
        <w:rPr>
          <w:caps w:val="false"/>
          <w:smallCaps w:val="false"/>
          <w:color w:val="FF0000"/>
        </w:rPr>
      </w:pPr>
      <w:r>
        <w:rPr>
          <w:caps w:val="false"/>
          <w:smallCaps w:val="false"/>
          <w:color w:val="FF0000"/>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color w:val="0000FF"/>
          <w:sz w:val="20"/>
          <w:u w:val="single"/>
        </w:rPr>
        <w:t>A.</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color w:val="0000FF"/>
          <w:sz w:val="20"/>
          <w:u w:val="single"/>
        </w:rPr>
        <w:t>Communications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Troy Beatty</w:t>
      </w:r>
    </w:p>
    <w:p>
      <w:pPr>
        <w:pStyle w:val="TextBody"/>
        <w:bidi w:val="0"/>
        <w:spacing w:before="0" w:after="0"/>
        <w:ind w:left="0" w:right="0" w:firstLine="72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General Counsel</w:t>
        <w:br/>
        <w:t>60 E. South Temple, Suite 2100</w:t>
        <w:br/>
        <w:t>Salt Lake City, Utah 84111</w:t>
        <w:br/>
        <w:t>(925) 480-6050</w:t>
      </w:r>
      <w:r>
        <w:rPr>
          <w:rFonts w:ascii="Times New Roman;Times;Serif" w:hAnsi="Times New Roman;Times;Serif"/>
          <w:b w:val="false"/>
          <w:i w:val="false"/>
          <w:caps w:val="false"/>
          <w:smallCaps w:val="false"/>
          <w:strike/>
          <w:color w:val="FF0000"/>
          <w:sz w:val="20"/>
        </w:rPr>
        <w:br/>
      </w:r>
      <w:r>
        <w:rPr>
          <w:rFonts w:ascii="Times New Roman;Times;Serif" w:hAnsi="Times New Roman;Times;Serif"/>
          <w:b w:val="false"/>
          <w:i w:val="false"/>
          <w:caps w:val="false"/>
          <w:smallCaps w:val="false"/>
          <w:strike/>
          <w:color w:val="FF0000"/>
          <w:sz w:val="20"/>
          <w:u w:val="single"/>
        </w:rPr>
        <w:t>troy@keystonenational.com</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 D. Klein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Allison Green</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640 Fifth Avenue, 12th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931-6331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agreen@neostellaradvisors.com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mklein@neostellaradvisors.com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 Wachter,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Michael L. Butler,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Magnetar Financial LLC</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1603 Orrington Avenue, 13th Floor</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Evanston, IL 60201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(847) 905-4400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karl.wachter@magnetar.com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mike.butler@magnetar.com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James E. Anderson</w:t>
        <w:br/>
        <w:t>Haofei Liu</w:t>
        <w:br/>
        <w:t>Willkie Farr &amp; Gallagher LLP</w:t>
        <w:br/>
        <w:t>1875 K St NW</w:t>
        <w:br/>
        <w:t>Washington, DC 20006</w:t>
        <w:br/>
        <w:t>(202) 303-1000</w:t>
        <w:br/>
      </w:r>
      <w:r>
        <w:rPr>
          <w:rFonts w:ascii="Times New Roman;Times;Serif" w:hAnsi="Times New Roman;Times;Serif"/>
          <w:b w:val="false"/>
          <w:i w:val="false"/>
          <w:caps w:val="false"/>
          <w:smallCaps w:val="false"/>
          <w:strike/>
          <w:color w:val="FF0000"/>
          <w:sz w:val="20"/>
          <w:u w:val="single"/>
        </w:rPr>
        <w:t>JAnderson@willkie.com</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 Authorizations</w:t>
      </w:r>
    </w:p>
    <w:p>
      <w:pPr>
        <w:pStyle w:val="TextBody"/>
        <w:bidi w:val="0"/>
        <w:spacing w:before="0" w:after="0"/>
        <w:ind w:left="0" w:right="0" w:firstLine="720"/>
        <w:jc w:val="left"/>
        <w:rPr>
          <w:caps w:val="false"/>
          <w:smallCaps w:val="false"/>
          <w:color w:val="FF0000"/>
        </w:rPr>
      </w:pPr>
      <w:r>
        <w:rPr>
          <w:caps w:val="false"/>
          <w:smallCaps w:val="false"/>
          <w:color w:val="FF0000"/>
        </w:rPr>
        <w:t xml:space="preserve">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Washington, DC 20001</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anne.oberndorf@eversheds-sutherland.com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payam.siadatpour@eversheds-sutherland.com</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Telephone (202) 383-0100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Clifford R. Cone, Esq.</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Sidley Austin LLP</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787 Seventh Avenue</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New York, NY 10019</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(212) 839-5300</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cliff.cone@sidley.com</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187"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color w:val="0000FF"/>
          <w:sz w:val="20"/>
          <w:u w:val="single"/>
        </w:rPr>
        <w:t>B.</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color w:val="0000FF"/>
          <w:sz w:val="20"/>
          <w:u w:val="single"/>
        </w:rPr>
        <w:t>Authorizations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0-2(c), Applicants hereby state that </w:t>
      </w:r>
      <w:r>
        <w:rPr>
          <w:rFonts w:ascii="Times New Roman;Times;Serif" w:hAnsi="Times New Roman;Times;Serif"/>
          <w:b w:val="false"/>
          <w:i w:val="false"/>
          <w:caps w:val="false"/>
          <w:smallCaps w:val="false"/>
          <w:strike/>
          <w:color w:val="FF0000"/>
          <w:sz w:val="20"/>
        </w:rPr>
        <w:t xml:space="preserve">the Existing Regulated Fund and </w:t>
      </w:r>
      <w:r>
        <w:rPr>
          <w:rFonts w:ascii="Times New Roman;Times;Serif" w:hAnsi="Times New Roman;Times;Serif"/>
          <w:b w:val="false"/>
          <w:i w:val="false"/>
          <w:caps w:val="false"/>
          <w:smallCaps w:val="false"/>
          <w:sz w:val="20"/>
        </w:rPr>
        <w:t xml:space="preserve">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w:t>
      </w:r>
      <w:r>
        <w:rPr>
          <w:rFonts w:ascii="Times New Roman;Times;Serif" w:hAnsi="Times New Roman;Times;Serif"/>
          <w:b w:val="false"/>
          <w:i w:val="false"/>
          <w:caps w:val="false"/>
          <w:smallCaps w:val="false"/>
          <w:strike/>
          <w:color w:val="FF0000"/>
          <w:sz w:val="20"/>
        </w:rPr>
        <w:t xml:space="preserve">or she </w:t>
      </w:r>
      <w:r>
        <w:rPr>
          <w:rFonts w:ascii="Times New Roman;Times;Serif" w:hAnsi="Times New Roman;Times;Serif"/>
          <w:b w:val="false"/>
          <w:i w:val="false"/>
          <w:caps w:val="false"/>
          <w:smallCaps w:val="false"/>
          <w:sz w:val="20"/>
        </w:rPr>
        <w:t xml:space="preserve">has duly executed the Application for and on behalf of the applicable entity listed; that he </w:t>
      </w:r>
      <w:r>
        <w:rPr>
          <w:rFonts w:ascii="Times New Roman;Times;Serif" w:hAnsi="Times New Roman;Times;Serif"/>
          <w:b w:val="false"/>
          <w:i w:val="false"/>
          <w:caps w:val="false"/>
          <w:smallCaps w:val="false"/>
          <w:strike/>
          <w:color w:val="FF0000"/>
          <w:sz w:val="20"/>
        </w:rPr>
        <w:t xml:space="preserve">or she </w:t>
      </w:r>
      <w:r>
        <w:rPr>
          <w:rFonts w:ascii="Times New Roman;Times;Serif" w:hAnsi="Times New Roman;Times;Serif"/>
          <w:b w:val="false"/>
          <w:i w:val="false"/>
          <w:caps w:val="false"/>
          <w:smallCaps w:val="false"/>
          <w:sz w:val="20"/>
        </w:rPr>
        <w:t>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In accordance with the requirements for a request for expedited review of this Application, marked copies of two recent applications seeking the same relief as Applicants that are substantially identical as required by Rule 0-5(e) of the 1940 Act are attached as Exhibit C.</w:t>
      </w:r>
    </w:p>
    <w:p>
      <w:pPr>
        <w:pStyle w:val="TextBody"/>
        <w:bidi w:val="0"/>
        <w:spacing w:before="0" w:after="0"/>
        <w:ind w:left="0" w:right="0" w:firstLine="36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Applicants have caused this </w:t>
      </w:r>
      <w:r>
        <w:rPr>
          <w:rFonts w:ascii="Times New Roman;Times;Serif" w:hAnsi="Times New Roman;Times;Serif"/>
          <w:b w:val="false"/>
          <w:i w:val="false"/>
          <w:caps w:val="false"/>
          <w:smallCaps w:val="false"/>
          <w:strike/>
          <w:color w:val="FF0000"/>
          <w:sz w:val="20"/>
        </w:rPr>
        <w:t xml:space="preserve">Amendment No. 2 to the </w:t>
      </w:r>
      <w:r>
        <w:rPr>
          <w:rFonts w:ascii="Times New Roman;Times;Serif" w:hAnsi="Times New Roman;Times;Serif"/>
          <w:b w:val="false"/>
          <w:i w:val="false"/>
          <w:caps w:val="false"/>
          <w:smallCaps w:val="false"/>
          <w:sz w:val="20"/>
        </w:rPr>
        <w:t xml:space="preserve">Application to be duly signed on their behalf on the </w:t>
      </w:r>
      <w:r>
        <w:rPr>
          <w:rFonts w:ascii="Times New Roman;Times;Serif" w:hAnsi="Times New Roman;Times;Serif"/>
          <w:b w:val="false"/>
          <w:i w:val="false"/>
          <w:caps w:val="false"/>
          <w:smallCaps w:val="false"/>
          <w:strike/>
          <w:color w:val="FF0000"/>
          <w:sz w:val="20"/>
        </w:rPr>
        <w:t>8th</w:t>
      </w:r>
      <w:r>
        <w:rPr>
          <w:rFonts w:ascii="Times New Roman;Times;Serif" w:hAnsi="Times New Roman;Times;Serif"/>
          <w:b w:val="false"/>
          <w:i w:val="false"/>
          <w:caps w:val="false"/>
          <w:smallCaps w:val="false"/>
          <w:color w:val="0000FF"/>
          <w:sz w:val="20"/>
          <w:u w:val="single"/>
        </w:rPr>
        <w:t>3rd</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trike/>
          <w:color w:val="FF0000"/>
          <w:sz w:val="20"/>
        </w:rPr>
        <w:t>May</w:t>
      </w:r>
      <w:r>
        <w:rPr>
          <w:rFonts w:ascii="Times New Roman;Times;Serif" w:hAnsi="Times New Roman;Times;Serif"/>
          <w:b w:val="false"/>
          <w:i w:val="false"/>
          <w:caps w:val="false"/>
          <w:smallCaps w:val="false"/>
          <w:color w:val="0000FF"/>
          <w:sz w:val="20"/>
          <w:u w:val="single"/>
        </w:rPr>
        <w:t>August</w:t>
      </w:r>
      <w:r>
        <w:rPr>
          <w:rFonts w:ascii="Times New Roman;Times;Serif" w:hAnsi="Times New Roman;Times;Serif"/>
          <w:b w:val="false"/>
          <w:i w:val="false"/>
          <w:caps w:val="false"/>
          <w:smallCaps w:val="false"/>
          <w:sz w:val="20"/>
        </w:rPr>
        <w:t>, 2026.</w:t>
      </w:r>
    </w:p>
    <w:p>
      <w:pPr>
        <w:pStyle w:val="TextBody"/>
        <w:bidi w:val="0"/>
        <w:spacing w:before="0" w:after="0"/>
        <w:ind w:left="0" w:right="0" w:firstLine="36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335"/>
        <w:gridCol w:w="545"/>
        <w:gridCol w:w="3980"/>
      </w:tblGrid>
      <w:tr>
        <w:trPr/>
        <w:tc>
          <w:tcPr>
            <w:tcW w:w="486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tc>
      </w:tr>
      <w:tr>
        <w:trPr/>
        <w:tc>
          <w:tcPr>
            <w:tcW w:w="4860"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396"/>
        <w:gridCol w:w="644"/>
        <w:gridCol w:w="1814"/>
      </w:tblGrid>
      <w:tr>
        <w:trPr/>
        <w:tc>
          <w:tcPr>
            <w:tcW w:w="2854"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tc>
      </w:tr>
      <w:tr>
        <w:trPr/>
        <w:tc>
          <w:tcPr>
            <w:tcW w:w="2854"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9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5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Allison Green</w:t>
            </w:r>
          </w:p>
        </w:tc>
      </w:tr>
      <w:tr>
        <w:trPr/>
        <w:tc>
          <w:tcPr>
            <w:tcW w:w="396"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81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Allison Green</w:t>
            </w:r>
          </w:p>
        </w:tc>
      </w:tr>
      <w:tr>
        <w:trPr/>
        <w:tc>
          <w:tcPr>
            <w:tcW w:w="396"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81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7"/>
        <w:gridCol w:w="630"/>
        <w:gridCol w:w="1776"/>
      </w:tblGrid>
      <w:tr>
        <w:trPr/>
        <w:tc>
          <w:tcPr>
            <w:tcW w:w="2793"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tc>
      </w:tr>
      <w:tr>
        <w:trPr/>
        <w:tc>
          <w:tcPr>
            <w:tcW w:w="2793"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0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87"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7"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5"/>
        <w:gridCol w:w="627"/>
        <w:gridCol w:w="1766"/>
      </w:tblGrid>
      <w:tr>
        <w:trPr/>
        <w:tc>
          <w:tcPr>
            <w:tcW w:w="2778" w:type="dxa"/>
            <w:gridSpan w:val="3"/>
            <w:tcBorders/>
            <w:vAlign w:val="center"/>
          </w:tcPr>
          <w:p>
            <w:pPr>
              <w:pStyle w:val="TableContents"/>
              <w:bidi w:val="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ableContents"/>
              <w:bidi w:val="0"/>
              <w:spacing w:before="0" w:after="283"/>
              <w:jc w:val="both"/>
              <w:rPr>
                <w:caps w:val="false"/>
                <w:smallCaps w:val="false"/>
                <w:color w:val="0000FF"/>
              </w:rPr>
            </w:pPr>
            <w:r>
              <w:rPr>
                <w:caps w:val="false"/>
                <w:smallCaps w:val="false"/>
                <w:color w:val="0000FF"/>
              </w:rPr>
              <w:t> </w:t>
            </w:r>
          </w:p>
        </w:tc>
      </w:tr>
      <w:tr>
        <w:trPr/>
        <w:tc>
          <w:tcPr>
            <w:tcW w:w="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93"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2415"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tc>
      </w:tr>
      <w:tr>
        <w:trPr/>
        <w:tc>
          <w:tcPr>
            <w:tcW w:w="241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344"/>
        <w:gridCol w:w="559"/>
        <w:gridCol w:w="1576"/>
      </w:tblGrid>
      <w:tr>
        <w:trPr/>
        <w:tc>
          <w:tcPr>
            <w:tcW w:w="2479"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tc>
      </w:tr>
      <w:tr>
        <w:trPr/>
        <w:tc>
          <w:tcPr>
            <w:tcW w:w="2479"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68"/>
        <w:gridCol w:w="600"/>
        <w:gridCol w:w="1690"/>
      </w:tblGrid>
      <w:tr>
        <w:trPr/>
        <w:tc>
          <w:tcPr>
            <w:tcW w:w="265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tc>
      </w:tr>
      <w:tr>
        <w:trPr/>
        <w:tc>
          <w:tcPr>
            <w:tcW w:w="265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6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29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asset management llc</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Partners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supernova management llc, its general partner</w:t>
      </w:r>
    </w:p>
    <w:p>
      <w:pPr>
        <w:pStyle w:val="TextBody"/>
        <w:bidi w:val="0"/>
        <w:spacing w:before="0" w:after="0"/>
        <w:ind w:left="0" w:right="0" w:hanging="0"/>
        <w:jc w:val="both"/>
        <w:rPr>
          <w:caps/>
        </w:rPr>
      </w:pPr>
      <w:r>
        <w:rPr>
          <w:caps/>
        </w:rPr>
        <w:t> </w:t>
      </w:r>
    </w:p>
    <w:tbl>
      <w:tblPr>
        <w:tblW w:w="4200" w:type="dxa"/>
        <w:jc w:val="left"/>
        <w:tblInd w:w="0" w:type="dxa"/>
        <w:tblLayout w:type="fixed"/>
        <w:tblCellMar>
          <w:top w:w="0" w:type="dxa"/>
          <w:left w:w="0" w:type="dxa"/>
          <w:bottom w:w="0" w:type="dxa"/>
          <w:right w:w="0" w:type="dxa"/>
        </w:tblCellMar>
      </w:tblPr>
      <w:tblGrid>
        <w:gridCol w:w="560"/>
        <w:gridCol w:w="545"/>
        <w:gridCol w:w="3095"/>
      </w:tblGrid>
      <w:tr>
        <w:trPr/>
        <w:tc>
          <w:tcPr>
            <w:tcW w:w="420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David J. Snyderman</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David J. Snyderman</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Treasurer (Principal Financial Officer)</w:t>
            </w:r>
            <w:r>
              <w:rPr>
                <w:rFonts w:ascii="Times New Roman;Times;Serif" w:hAnsi="Times New Roman;Times;Serif"/>
                <w:b w:val="false"/>
                <w:i w:val="false"/>
                <w:caps w:val="false"/>
                <w:smallCaps w:val="false"/>
                <w:color w:val="0000FF"/>
                <w:sz w:val="20"/>
                <w:u w:val="single"/>
              </w:rPr>
              <w:br/>
              <w:t>Administrative Manager</w:t>
            </w:r>
          </w:p>
        </w:tc>
      </w:tr>
      <w:tr>
        <w:trPr/>
        <w:tc>
          <w:tcPr>
            <w:tcW w:w="420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420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NATIONAL GROUP, LLC</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spacing w:before="0" w:after="0"/>
        <w:ind w:left="0" w:right="0" w:hanging="0"/>
        <w:jc w:val="both"/>
        <w:rPr>
          <w:caps/>
        </w:rPr>
      </w:pPr>
      <w:r>
        <w:rPr>
          <w:caps/>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4845" w:type="dxa"/>
        <w:jc w:val="left"/>
        <w:tblInd w:w="0" w:type="dxa"/>
        <w:tblLayout w:type="fixed"/>
        <w:tblCellMar>
          <w:top w:w="0" w:type="dxa"/>
          <w:left w:w="0" w:type="dxa"/>
          <w:bottom w:w="0" w:type="dxa"/>
          <w:right w:w="0" w:type="dxa"/>
        </w:tblCellMar>
      </w:tblPr>
      <w:tblGrid>
        <w:gridCol w:w="560"/>
        <w:gridCol w:w="545"/>
        <w:gridCol w:w="3740"/>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Managing Partner and Chief Financial Officer</w:t>
            </w:r>
            <w:r>
              <w:rPr>
                <w:rFonts w:ascii="Times New Roman;Times;Serif" w:hAnsi="Times New Roman;Times;Serif"/>
                <w:b w:val="false"/>
                <w:i w:val="false"/>
                <w:caps w:val="false"/>
                <w:smallCaps w:val="false"/>
                <w:color w:val="0000FF"/>
                <w:sz w:val="20"/>
                <w:u w:val="single"/>
              </w:rPr>
              <w:br/>
              <w:t>General Counsel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524" w:type="dxa"/>
        <w:jc w:val="left"/>
        <w:tblInd w:w="0" w:type="dxa"/>
        <w:tblLayout w:type="fixed"/>
        <w:tblCellMar>
          <w:top w:w="0" w:type="dxa"/>
          <w:left w:w="0" w:type="dxa"/>
          <w:bottom w:w="0" w:type="dxa"/>
          <w:right w:w="0" w:type="dxa"/>
        </w:tblCellMar>
      </w:tblPr>
      <w:tblGrid>
        <w:gridCol w:w="4226"/>
        <w:gridCol w:w="1298"/>
      </w:tblGrid>
      <w:tr>
        <w:trPr/>
        <w:tc>
          <w:tcPr>
            <w:tcW w:w="55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52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(Q), LP</w:t>
            </w:r>
          </w:p>
        </w:tc>
      </w:tr>
      <w:tr>
        <w:trPr/>
        <w:tc>
          <w:tcPr>
            <w:tcW w:w="4226" w:type="dxa"/>
            <w:tcBorders/>
            <w:vAlign w:val="center"/>
          </w:tcPr>
          <w:p>
            <w:pPr>
              <w:pStyle w:val="TableContents"/>
              <w:bidi w:val="0"/>
              <w:spacing w:before="0" w:after="283"/>
              <w:jc w:val="left"/>
              <w:rPr>
                <w:caps w:val="false"/>
                <w:smallCaps w:val="false"/>
              </w:rPr>
            </w:pPr>
            <w:r>
              <w:rPr>
                <w:caps w:val="false"/>
                <w:smallCaps w:val="false"/>
              </w:rPr>
              <w:t> </w:t>
            </w:r>
          </w:p>
        </w:tc>
        <w:tc>
          <w:tcPr>
            <w:tcW w:w="1298"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magnertar longhorn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3615" w:type="dxa"/>
        <w:jc w:val="left"/>
        <w:tblInd w:w="0" w:type="dxa"/>
        <w:tblLayout w:type="fixed"/>
        <w:tblCellMar>
          <w:top w:w="0" w:type="dxa"/>
          <w:left w:w="0" w:type="dxa"/>
          <w:bottom w:w="0" w:type="dxa"/>
          <w:right w:w="0" w:type="dxa"/>
        </w:tblCellMar>
      </w:tblPr>
      <w:tblGrid>
        <w:gridCol w:w="560"/>
        <w:gridCol w:w="545"/>
        <w:gridCol w:w="2510"/>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5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209" w:type="dxa"/>
        <w:jc w:val="left"/>
        <w:tblInd w:w="0" w:type="dxa"/>
        <w:tblLayout w:type="fixed"/>
        <w:tblCellMar>
          <w:top w:w="0" w:type="dxa"/>
          <w:left w:w="0" w:type="dxa"/>
          <w:bottom w:w="0" w:type="dxa"/>
          <w:right w:w="0" w:type="dxa"/>
        </w:tblCellMar>
      </w:tblPr>
      <w:tblGrid>
        <w:gridCol w:w="3985"/>
        <w:gridCol w:w="1224"/>
      </w:tblGrid>
      <w:tr>
        <w:trPr/>
        <w:tc>
          <w:tcPr>
            <w:tcW w:w="52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20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LP</w:t>
            </w:r>
          </w:p>
        </w:tc>
      </w:tr>
      <w:tr>
        <w:trPr/>
        <w:tc>
          <w:tcPr>
            <w:tcW w:w="3985"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opportuniyt 7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3615" w:type="dxa"/>
        <w:jc w:val="left"/>
        <w:tblInd w:w="0" w:type="dxa"/>
        <w:tblLayout w:type="fixed"/>
        <w:tblCellMar>
          <w:top w:w="0" w:type="dxa"/>
          <w:left w:w="0" w:type="dxa"/>
          <w:bottom w:w="0" w:type="dxa"/>
          <w:right w:w="0" w:type="dxa"/>
        </w:tblCellMar>
      </w:tblPr>
      <w:tblGrid>
        <w:gridCol w:w="560"/>
        <w:gridCol w:w="545"/>
        <w:gridCol w:w="2510"/>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5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4549" w:type="dxa"/>
        <w:jc w:val="left"/>
        <w:tblInd w:w="0" w:type="dxa"/>
        <w:tblLayout w:type="fixed"/>
        <w:tblCellMar>
          <w:top w:w="0" w:type="dxa"/>
          <w:left w:w="0" w:type="dxa"/>
          <w:bottom w:w="0" w:type="dxa"/>
          <w:right w:w="0" w:type="dxa"/>
        </w:tblCellMar>
      </w:tblPr>
      <w:tblGrid>
        <w:gridCol w:w="3478"/>
        <w:gridCol w:w="1071"/>
      </w:tblGrid>
      <w:tr>
        <w:trPr/>
        <w:tc>
          <w:tcPr>
            <w:tcW w:w="45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54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LENDING FUND, LLC</w:t>
            </w:r>
          </w:p>
        </w:tc>
      </w:tr>
      <w:tr>
        <w:trPr/>
        <w:tc>
          <w:tcPr>
            <w:tcW w:w="3478"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5074" w:type="dxa"/>
        <w:jc w:val="left"/>
        <w:tblInd w:w="0" w:type="dxa"/>
        <w:tblLayout w:type="fixed"/>
        <w:tblCellMar>
          <w:top w:w="0" w:type="dxa"/>
          <w:left w:w="0" w:type="dxa"/>
          <w:bottom w:w="0" w:type="dxa"/>
          <w:right w:w="0" w:type="dxa"/>
        </w:tblCellMar>
      </w:tblPr>
      <w:tblGrid>
        <w:gridCol w:w="786"/>
        <w:gridCol w:w="765"/>
        <w:gridCol w:w="3523"/>
      </w:tblGrid>
      <w:tr>
        <w:trPr/>
        <w:tc>
          <w:tcPr>
            <w:tcW w:w="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786"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76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786"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76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r>
        <w:trPr/>
        <w:tc>
          <w:tcPr>
            <w:tcW w:w="507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074"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INVESTMENT TRUST, LLC</w:t>
            </w:r>
          </w:p>
        </w:tc>
      </w:tr>
      <w:tr>
        <w:trPr/>
        <w:tc>
          <w:tcPr>
            <w:tcW w:w="786" w:type="dxa"/>
            <w:tcBorders/>
            <w:vAlign w:val="center"/>
          </w:tcPr>
          <w:p>
            <w:pPr>
              <w:pStyle w:val="TableContents"/>
              <w:bidi w:val="0"/>
              <w:spacing w:before="0" w:after="283"/>
              <w:jc w:val="left"/>
              <w:rPr>
                <w:caps w:val="false"/>
                <w:smallCaps w:val="false"/>
              </w:rPr>
            </w:pPr>
            <w:r>
              <w:rPr>
                <w:caps w:val="false"/>
                <w:smallCaps w:val="false"/>
              </w:rPr>
              <w:t> </w:t>
            </w:r>
          </w:p>
        </w:tc>
        <w:tc>
          <w:tcPr>
            <w:tcW w:w="4288"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spacing w:before="0" w:after="0"/>
        <w:ind w:left="0" w:right="0" w:hanging="0"/>
        <w:jc w:val="both"/>
        <w:rPr>
          <w:caps/>
        </w:rPr>
      </w:pPr>
      <w:r>
        <w:rPr>
          <w:caps/>
        </w:rPr>
        <w:t> </w:t>
      </w:r>
    </w:p>
    <w:tbl>
      <w:tblPr>
        <w:tblW w:w="3390" w:type="dxa"/>
        <w:jc w:val="left"/>
        <w:tblInd w:w="0" w:type="dxa"/>
        <w:tblLayout w:type="fixed"/>
        <w:tblCellMar>
          <w:top w:w="0" w:type="dxa"/>
          <w:left w:w="0" w:type="dxa"/>
          <w:bottom w:w="0" w:type="dxa"/>
          <w:right w:w="0" w:type="dxa"/>
        </w:tblCellMar>
      </w:tblPr>
      <w:tblGrid>
        <w:gridCol w:w="560"/>
        <w:gridCol w:w="545"/>
        <w:gridCol w:w="228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Bronwyn Wright</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Bronwyn Wright</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VERIFICATION</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ind w:left="0" w:right="0" w:firstLine="36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A — Existing Wholly-Owned Subsidiaries</w:t>
      </w:r>
    </w:p>
    <w:p>
      <w:pPr>
        <w:pStyle w:val="TextBody"/>
        <w:bidi w:val="0"/>
        <w:spacing w:before="0" w:after="0"/>
        <w:ind w:left="0" w:right="0" w:firstLine="360"/>
        <w:jc w:val="center"/>
        <w:rPr>
          <w:caps w:val="false"/>
          <w:smallCaps w:val="false"/>
          <w:color w:val="0000FF"/>
        </w:rPr>
      </w:pPr>
      <w:r>
        <w:rPr>
          <w:caps w:val="false"/>
          <w:smallCaps w:val="false"/>
          <w:color w:val="0000FF"/>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Wholly-owned subsidiaries (each, 100% owned) of Neostellar Capital Corp.:</w:t>
      </w:r>
    </w:p>
    <w:p>
      <w:pPr>
        <w:pStyle w:val="TextBody"/>
        <w:bidi w:val="0"/>
        <w:spacing w:before="0" w:after="0"/>
        <w:ind w:left="360" w:right="0" w:hanging="0"/>
        <w:jc w:val="both"/>
        <w:rPr>
          <w:caps w:val="false"/>
          <w:smallCaps w:val="false"/>
          <w:color w:val="0000FF"/>
        </w:rPr>
      </w:pPr>
      <w:r>
        <w:rPr>
          <w:caps w:val="false"/>
          <w:smallCaps w:val="false"/>
          <w:color w:val="0000FF"/>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1.</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 Capital Lending, LLC (Delaware, formed April 13,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2.</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SuRo Capital Sports, LLC (Delaware, formed March 19,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3.</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SRCI Advisors, LLC (Delaware, formed September 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360" w:type="dxa"/>
        <w:jc w:val="left"/>
        <w:tblInd w:w="0" w:type="dxa"/>
        <w:tblLayout w:type="fixed"/>
        <w:tblCellMar>
          <w:top w:w="0" w:type="dxa"/>
          <w:left w:w="0" w:type="dxa"/>
          <w:bottom w:w="0" w:type="dxa"/>
          <w:right w:w="0" w:type="dxa"/>
        </w:tblCellMar>
      </w:tblPr>
      <w:tblGrid>
        <w:gridCol w:w="75"/>
        <w:gridCol w:w="170"/>
        <w:gridCol w:w="71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4.</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AE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1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5.</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AV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3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6.</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SW Holdings, Inc. — Taxable Subsidiary (Delaware, formed November 28, 2012)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7.</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GSVC SVDS Holdings, Inc. — Taxable Subsidiary (Delaware, formed August 13, 2013)</w:t>
            </w:r>
          </w:p>
        </w:tc>
      </w:tr>
    </w:tbl>
    <w:p>
      <w:pPr>
        <w:pStyle w:val="TextBody"/>
        <w:bidi w:val="0"/>
        <w:spacing w:before="0" w:after="0"/>
        <w:ind w:left="1080" w:right="0" w:hanging="36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Schedule B —Existing Affiliated Funds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 Existing Affiliated Funds are advised by an Adviser as set forth below:</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5410" w:type="dxa"/>
        <w:jc w:val="left"/>
        <w:tblInd w:w="0" w:type="dxa"/>
        <w:tblLayout w:type="fixed"/>
        <w:tblCellMar>
          <w:top w:w="0" w:type="dxa"/>
          <w:left w:w="0" w:type="dxa"/>
          <w:bottom w:w="0" w:type="dxa"/>
          <w:right w:w="0" w:type="dxa"/>
        </w:tblCellMar>
      </w:tblPr>
      <w:tblGrid>
        <w:gridCol w:w="75"/>
        <w:gridCol w:w="200"/>
        <w:gridCol w:w="5135"/>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Existing Affiliated Funds advised by Magnetar Financial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Capital Fund II LP</w:t>
            </w:r>
          </w:p>
        </w:tc>
      </w:tr>
    </w:tbl>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Capital Master Fund, Ltd</w:t>
            </w:r>
          </w:p>
        </w:tc>
      </w:tr>
    </w:tbl>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Constellation Fund, Ltd.</w:t>
            </w:r>
          </w:p>
        </w:tc>
      </w:tr>
    </w:tbl>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Constellation Master Fund, Ltd</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Investment APPK LP</w:t>
            </w:r>
          </w:p>
        </w:tc>
      </w:tr>
    </w:tbl>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Investment Opportunity Series Fund LP</w:t>
            </w:r>
          </w:p>
        </w:tc>
      </w:tr>
    </w:tbl>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Lake Credit Fund LLC</w:t>
            </w:r>
          </w:p>
        </w:tc>
      </w:tr>
    </w:tbl>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Longhorn Fund LP</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8 LP</w:t>
            </w:r>
          </w:p>
        </w:tc>
      </w:tr>
    </w:tbl>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A Ltd</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2025-2 LP</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2025-3 LP</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2025-4 LP</w:t>
            </w:r>
          </w:p>
        </w:tc>
      </w:tr>
    </w:tbl>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2025-A LLC</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5 LP</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6 LP</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Opportunity 7 LP</w:t>
            </w:r>
          </w:p>
        </w:tc>
      </w:tr>
    </w:tbl>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Special Situations Fund LP</w:t>
            </w:r>
          </w:p>
        </w:tc>
      </w:tr>
    </w:tbl>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Special Situations Master Fund Ltd</w:t>
            </w:r>
          </w:p>
        </w:tc>
      </w:tr>
    </w:tbl>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Structured Credit Fund, LP DBA Constellation Onshore Fund</w:t>
            </w:r>
          </w:p>
        </w:tc>
      </w:tr>
    </w:tbl>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Waterfront Alternative Credit Fund LLC</w:t>
            </w:r>
          </w:p>
        </w:tc>
      </w:tr>
    </w:tbl>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Waterfront Series A LLC</w:t>
            </w:r>
          </w:p>
        </w:tc>
      </w:tr>
    </w:tbl>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Waterfront Series C LLC</w:t>
            </w:r>
          </w:p>
        </w:tc>
      </w:tr>
    </w:tbl>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Xing He Fund LLC</w:t>
            </w:r>
          </w:p>
        </w:tc>
      </w:tr>
    </w:tbl>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Magnetar Xing He Master Fund Ltd</w:t>
            </w:r>
          </w:p>
        </w:tc>
      </w:tr>
    </w:tbl>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Mustang Opportunities Fund LP</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Purpose Alternative Credit Fund – F LLC</w:t>
            </w:r>
          </w:p>
        </w:tc>
      </w:tr>
    </w:tbl>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Purpose Alternative Credit Fund – T LLC</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1, A Series of Astrum Partners II LP</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2, A Series of Astrum Partners II LP</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2026-1, a Series of Magnetar Investment Opportunity Series Fund LP</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Series 2026-2, a Series of Magnetar Investment Opportunity Series Fund LP</w:t>
            </w:r>
          </w:p>
        </w:tc>
      </w:tr>
    </w:tbl>
    <w:p>
      <w:pPr>
        <w:pStyle w:val="TextBody"/>
        <w:bidi w:val="0"/>
        <w:spacing w:before="0" w:after="0"/>
        <w:ind w:left="1440" w:right="0" w:hanging="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0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Existing Affiliated Funds Advised by Magnetar Financial (UK) LLP:</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color w:val="0000FF"/>
                <w:u w:val="single"/>
              </w:rPr>
            </w:pPr>
            <w:r>
              <w:rPr>
                <w:caps w:val="false"/>
                <w:smallCaps w:val="false"/>
                <w:color w:val="0000FF"/>
                <w:u w:val="single"/>
              </w:rPr>
              <w:t>●</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Realta Investments Ireland Designated Activity Company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A</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VERIFICATION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Each of the</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undersigned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has duly executed the attached </w:t>
      </w:r>
      <w:r>
        <w:rPr>
          <w:rFonts w:ascii="Times New Roman;Times;Serif" w:hAnsi="Times New Roman;Times;Serif"/>
          <w:b w:val="false"/>
          <w:i w:val="false"/>
          <w:caps w:val="false"/>
          <w:smallCaps w:val="false"/>
          <w:strike/>
          <w:color w:val="FF0000"/>
          <w:sz w:val="20"/>
        </w:rPr>
        <w:t xml:space="preserve">Amendment No. 2 to the </w:t>
      </w:r>
      <w:r>
        <w:rPr>
          <w:rFonts w:ascii="Times New Roman;Times;Serif" w:hAnsi="Times New Roman;Times;Serif"/>
          <w:b w:val="false"/>
          <w:i w:val="false"/>
          <w:caps w:val="false"/>
          <w:smallCaps w:val="false"/>
          <w:sz w:val="20"/>
        </w:rPr>
        <w:t xml:space="preserve">Application dated </w:t>
      </w:r>
      <w:r>
        <w:rPr>
          <w:rFonts w:ascii="Times New Roman;Times;Serif" w:hAnsi="Times New Roman;Times;Serif"/>
          <w:b w:val="false"/>
          <w:i w:val="false"/>
          <w:caps w:val="false"/>
          <w:smallCaps w:val="false"/>
          <w:strike/>
          <w:color w:val="FF0000"/>
          <w:sz w:val="20"/>
        </w:rPr>
        <w:t>as of May 8</w:t>
      </w:r>
      <w:r>
        <w:rPr>
          <w:rFonts w:ascii="Times New Roman;Times;Serif" w:hAnsi="Times New Roman;Times;Serif"/>
          <w:b w:val="false"/>
          <w:i w:val="false"/>
          <w:caps w:val="false"/>
          <w:smallCaps w:val="false"/>
          <w:color w:val="0000FF"/>
          <w:sz w:val="20"/>
          <w:u w:val="single"/>
        </w:rPr>
        <w:t>August 3</w:t>
      </w:r>
      <w:r>
        <w:rPr>
          <w:rFonts w:ascii="Times New Roman;Times;Serif" w:hAnsi="Times New Roman;Times;Serif"/>
          <w:b w:val="false"/>
          <w:i w:val="false"/>
          <w:caps w:val="false"/>
          <w:smallCaps w:val="false"/>
          <w:sz w:val="20"/>
        </w:rPr>
        <w:t xml:space="preserve">, 2026 for and on behalf of the </w:t>
      </w:r>
      <w:r>
        <w:rPr>
          <w:rFonts w:ascii="Times New Roman;Times;Serif" w:hAnsi="Times New Roman;Times;Serif"/>
          <w:b w:val="false"/>
          <w:i w:val="false"/>
          <w:caps w:val="false"/>
          <w:smallCaps w:val="false"/>
          <w:strike/>
          <w:color w:val="FF0000"/>
          <w:sz w:val="20"/>
        </w:rPr>
        <w:t>entities listed below;</w:t>
      </w:r>
      <w:r>
        <w:rPr>
          <w:rFonts w:ascii="Times New Roman;Times;Serif" w:hAnsi="Times New Roman;Times;Serif"/>
          <w:b w:val="false"/>
          <w:i w:val="false"/>
          <w:caps w:val="false"/>
          <w:smallCaps w:val="false"/>
          <w:color w:val="0000FF"/>
          <w:sz w:val="20"/>
          <w:u w:val="single"/>
        </w:rPr>
        <w:t>Applicants, as the case may be,</w:t>
      </w:r>
      <w:r>
        <w:rPr>
          <w:rFonts w:ascii="Times New Roman;Times;Serif" w:hAnsi="Times New Roman;Times;Serif"/>
          <w:b w:val="false"/>
          <w:i w:val="false"/>
          <w:caps w:val="false"/>
          <w:smallCaps w:val="false"/>
          <w:sz w:val="20"/>
        </w:rPr>
        <w:t xml:space="preserve">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holds </w:t>
      </w:r>
      <w:r>
        <w:rPr>
          <w:rFonts w:ascii="Times New Roman;Times;Serif" w:hAnsi="Times New Roman;Times;Serif"/>
          <w:b w:val="false"/>
          <w:i w:val="false"/>
          <w:caps w:val="false"/>
          <w:smallCaps w:val="false"/>
          <w:color w:val="0000FF"/>
          <w:sz w:val="20"/>
          <w:u w:val="single"/>
        </w:rPr>
        <w:t xml:space="preserve">the </w:t>
      </w:r>
      <w:r>
        <w:rPr>
          <w:rFonts w:ascii="Times New Roman;Times;Serif" w:hAnsi="Times New Roman;Times;Serif"/>
          <w:b w:val="false"/>
          <w:i w:val="false"/>
          <w:caps w:val="false"/>
          <w:smallCaps w:val="false"/>
          <w:sz w:val="20"/>
        </w:rPr>
        <w:t xml:space="preserve">office with </w:t>
      </w:r>
      <w:r>
        <w:rPr>
          <w:rFonts w:ascii="Times New Roman;Times;Serif" w:hAnsi="Times New Roman;Times;Serif"/>
          <w:b w:val="false"/>
          <w:i w:val="false"/>
          <w:caps w:val="false"/>
          <w:smallCaps w:val="false"/>
          <w:color w:val="0000FF"/>
          <w:sz w:val="20"/>
          <w:u w:val="single"/>
        </w:rPr>
        <w:t xml:space="preserve">each </w:t>
      </w:r>
      <w:r>
        <w:rPr>
          <w:rFonts w:ascii="Times New Roman;Times;Serif" w:hAnsi="Times New Roman;Times;Serif"/>
          <w:b w:val="false"/>
          <w:i w:val="false"/>
          <w:caps w:val="false"/>
          <w:smallCaps w:val="false"/>
          <w:sz w:val="20"/>
        </w:rPr>
        <w:t xml:space="preserve">such entity as indicated below and that all </w:t>
      </w:r>
      <w:r>
        <w:rPr>
          <w:rFonts w:ascii="Times New Roman;Times;Serif" w:hAnsi="Times New Roman;Times;Serif"/>
          <w:b w:val="false"/>
          <w:i w:val="false"/>
          <w:caps w:val="false"/>
          <w:smallCaps w:val="false"/>
          <w:strike/>
          <w:color w:val="FF0000"/>
          <w:sz w:val="20"/>
        </w:rPr>
        <w:t>action by</w:t>
      </w:r>
      <w:r>
        <w:rPr>
          <w:rFonts w:ascii="Times New Roman;Times;Serif" w:hAnsi="Times New Roman;Times;Serif"/>
          <w:b w:val="false"/>
          <w:i w:val="false"/>
          <w:caps w:val="false"/>
          <w:smallCaps w:val="false"/>
          <w:color w:val="0000FF"/>
          <w:sz w:val="20"/>
          <w:u w:val="single"/>
        </w:rPr>
        <w:t>actions by stockholders, officers,</w:t>
      </w:r>
      <w:r>
        <w:rPr>
          <w:rFonts w:ascii="Times New Roman;Times;Serif" w:hAnsi="Times New Roman;Times;Serif"/>
          <w:b w:val="false"/>
          <w:i w:val="false"/>
          <w:caps w:val="false"/>
          <w:smallCaps w:val="false"/>
          <w:sz w:val="20"/>
        </w:rPr>
        <w:t xml:space="preserve"> directors, </w:t>
      </w:r>
      <w:r>
        <w:rPr>
          <w:rFonts w:ascii="Times New Roman;Times;Serif" w:hAnsi="Times New Roman;Times;Serif"/>
          <w:b w:val="false"/>
          <w:i w:val="false"/>
          <w:caps w:val="false"/>
          <w:smallCaps w:val="false"/>
          <w:strike/>
          <w:color w:val="FF0000"/>
          <w:sz w:val="20"/>
        </w:rPr>
        <w:t>officers, stockholders, general partners, trustees or members of each entity and any other body</w:t>
      </w:r>
      <w:r>
        <w:rPr>
          <w:rFonts w:ascii="Times New Roman;Times;Serif" w:hAnsi="Times New Roman;Times;Serif"/>
          <w:b w:val="false"/>
          <w:i w:val="false"/>
          <w:caps w:val="false"/>
          <w:smallCaps w:val="false"/>
          <w:color w:val="0000FF"/>
          <w:sz w:val="20"/>
          <w:u w:val="single"/>
        </w:rPr>
        <w:t>and other bodies</w:t>
      </w:r>
      <w:r>
        <w:rPr>
          <w:rFonts w:ascii="Times New Roman;Times;Serif" w:hAnsi="Times New Roman;Times;Serif"/>
          <w:b w:val="false"/>
          <w:i w:val="false"/>
          <w:caps w:val="false"/>
          <w:smallCaps w:val="false"/>
          <w:sz w:val="20"/>
        </w:rPr>
        <w:t xml:space="preserve"> necessary to authorize the undersigned to execute and file such </w:t>
      </w:r>
      <w:r>
        <w:rPr>
          <w:rFonts w:ascii="Times New Roman;Times;Serif" w:hAnsi="Times New Roman;Times;Serif"/>
          <w:b w:val="false"/>
          <w:i w:val="false"/>
          <w:caps w:val="false"/>
          <w:smallCaps w:val="false"/>
          <w:strike/>
          <w:color w:val="FF0000"/>
          <w:sz w:val="20"/>
        </w:rPr>
        <w:t>instrument has</w:t>
      </w:r>
      <w:r>
        <w:rPr>
          <w:rFonts w:ascii="Times New Roman;Times;Serif" w:hAnsi="Times New Roman;Times;Serif"/>
          <w:b w:val="false"/>
          <w:i w:val="false"/>
          <w:caps w:val="false"/>
          <w:smallCaps w:val="false"/>
          <w:color w:val="0000FF"/>
          <w:sz w:val="20"/>
          <w:u w:val="single"/>
        </w:rPr>
        <w:t>Application have</w:t>
      </w:r>
      <w:r>
        <w:rPr>
          <w:rFonts w:ascii="Times New Roman;Times;Serif" w:hAnsi="Times New Roman;Times;Serif"/>
          <w:b w:val="false"/>
          <w:i w:val="false"/>
          <w:caps w:val="false"/>
          <w:smallCaps w:val="false"/>
          <w:sz w:val="20"/>
        </w:rPr>
        <w:t xml:space="preserve"> been taken. </w:t>
      </w:r>
      <w:r>
        <w:rPr>
          <w:rFonts w:ascii="Times New Roman;Times;Serif" w:hAnsi="Times New Roman;Times;Serif"/>
          <w:b w:val="false"/>
          <w:i w:val="false"/>
          <w:caps w:val="false"/>
          <w:smallCaps w:val="false"/>
          <w:strike/>
          <w:color w:val="FF0000"/>
          <w:sz w:val="20"/>
        </w:rPr>
        <w:t>Each of the</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undersigned further states that he </w:t>
      </w:r>
      <w:r>
        <w:rPr>
          <w:rFonts w:ascii="Times New Roman;Times;Serif" w:hAnsi="Times New Roman;Times;Serif"/>
          <w:b w:val="false"/>
          <w:i w:val="false"/>
          <w:caps w:val="false"/>
          <w:smallCaps w:val="false"/>
          <w:color w:val="0000FF"/>
          <w:sz w:val="20"/>
          <w:u w:val="single"/>
        </w:rPr>
        <w:t xml:space="preserve">or she </w:t>
      </w:r>
      <w:r>
        <w:rPr>
          <w:rFonts w:ascii="Times New Roman;Times;Serif" w:hAnsi="Times New Roman;Times;Serif"/>
          <w:b w:val="false"/>
          <w:i w:val="false"/>
          <w:caps w:val="false"/>
          <w:smallCaps w:val="false"/>
          <w:sz w:val="20"/>
        </w:rPr>
        <w:t xml:space="preserve">is familiar with </w:t>
      </w:r>
      <w:r>
        <w:rPr>
          <w:rFonts w:ascii="Times New Roman;Times;Serif" w:hAnsi="Times New Roman;Times;Serif"/>
          <w:b w:val="false"/>
          <w:i w:val="false"/>
          <w:caps w:val="false"/>
          <w:smallCaps w:val="false"/>
          <w:strike/>
          <w:color w:val="FF0000"/>
          <w:sz w:val="20"/>
        </w:rPr>
        <w:t>such</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instrument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and the contents thereof, and that the facts </w:t>
      </w:r>
      <w:r>
        <w:rPr>
          <w:rFonts w:ascii="Times New Roman;Times;Serif" w:hAnsi="Times New Roman;Times;Serif"/>
          <w:b w:val="false"/>
          <w:i w:val="false"/>
          <w:caps w:val="false"/>
          <w:smallCaps w:val="false"/>
          <w:strike/>
          <w:color w:val="FF0000"/>
          <w:sz w:val="20"/>
        </w:rPr>
        <w:t xml:space="preserve">therein </w:t>
      </w:r>
      <w:r>
        <w:rPr>
          <w:rFonts w:ascii="Times New Roman;Times;Serif" w:hAnsi="Times New Roman;Times;Serif"/>
          <w:b w:val="false"/>
          <w:i w:val="false"/>
          <w:caps w:val="false"/>
          <w:smallCaps w:val="false"/>
          <w:sz w:val="20"/>
        </w:rPr>
        <w:t xml:space="preserve">set forth </w:t>
      </w:r>
      <w:r>
        <w:rPr>
          <w:rFonts w:ascii="Times New Roman;Times;Serif" w:hAnsi="Times New Roman;Times;Serif"/>
          <w:b w:val="false"/>
          <w:i w:val="false"/>
          <w:caps w:val="false"/>
          <w:smallCaps w:val="false"/>
          <w:color w:val="0000FF"/>
          <w:sz w:val="20"/>
          <w:u w:val="single"/>
        </w:rPr>
        <w:t xml:space="preserve">therein </w:t>
      </w:r>
      <w:r>
        <w:rPr>
          <w:rFonts w:ascii="Times New Roman;Times;Serif" w:hAnsi="Times New Roman;Times;Serif"/>
          <w:b w:val="false"/>
          <w:i w:val="false"/>
          <w:caps w:val="false"/>
          <w:smallCaps w:val="false"/>
          <w:sz w:val="20"/>
        </w:rPr>
        <w:t xml:space="preserve">are true to the best of his </w:t>
      </w:r>
      <w:r>
        <w:rPr>
          <w:rFonts w:ascii="Times New Roman;Times;Serif" w:hAnsi="Times New Roman;Times;Serif"/>
          <w:b w:val="false"/>
          <w:i w:val="false"/>
          <w:caps w:val="false"/>
          <w:smallCaps w:val="false"/>
          <w:color w:val="0000FF"/>
          <w:sz w:val="20"/>
          <w:u w:val="single"/>
        </w:rPr>
        <w:t xml:space="preserve">or her </w:t>
      </w:r>
      <w:r>
        <w:rPr>
          <w:rFonts w:ascii="Times New Roman;Times;Serif" w:hAnsi="Times New Roman;Times;Serif"/>
          <w:b w:val="false"/>
          <w:i w:val="false"/>
          <w:caps w:val="false"/>
          <w:smallCaps w:val="false"/>
          <w:sz w:val="20"/>
        </w:rPr>
        <w:t>knowledge, information</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belief.</w:t>
      </w:r>
    </w:p>
    <w:p>
      <w:pPr>
        <w:pStyle w:val="TextBody"/>
        <w:bidi w:val="0"/>
        <w:spacing w:before="0" w:after="0"/>
        <w:ind w:left="0" w:right="0" w:hanging="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335"/>
        <w:gridCol w:w="545"/>
        <w:gridCol w:w="3980"/>
      </w:tblGrid>
      <w:tr>
        <w:trPr/>
        <w:tc>
          <w:tcPr>
            <w:tcW w:w="486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CAPITAL CORP.</w:t>
            </w:r>
          </w:p>
        </w:tc>
      </w:tr>
      <w:tr>
        <w:trPr/>
        <w:tc>
          <w:tcPr>
            <w:tcW w:w="4860"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Chairman, 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396"/>
        <w:gridCol w:w="644"/>
        <w:gridCol w:w="1814"/>
      </w:tblGrid>
      <w:tr>
        <w:trPr/>
        <w:tc>
          <w:tcPr>
            <w:tcW w:w="2854"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NEOSTELLAR ADVISORS LLC</w:t>
            </w:r>
          </w:p>
        </w:tc>
      </w:tr>
      <w:tr>
        <w:trPr/>
        <w:tc>
          <w:tcPr>
            <w:tcW w:w="2854"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9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5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Allison Green</w:t>
            </w:r>
          </w:p>
        </w:tc>
      </w:tr>
      <w:tr>
        <w:trPr/>
        <w:tc>
          <w:tcPr>
            <w:tcW w:w="396"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81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Allison Green</w:t>
            </w:r>
          </w:p>
        </w:tc>
      </w:tr>
      <w:tr>
        <w:trPr/>
        <w:tc>
          <w:tcPr>
            <w:tcW w:w="396"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81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7"/>
        <w:gridCol w:w="630"/>
        <w:gridCol w:w="1776"/>
      </w:tblGrid>
      <w:tr>
        <w:trPr/>
        <w:tc>
          <w:tcPr>
            <w:tcW w:w="2793"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 CAPITAL LENDING, LLC</w:t>
            </w:r>
          </w:p>
        </w:tc>
      </w:tr>
      <w:tr>
        <w:trPr/>
        <w:tc>
          <w:tcPr>
            <w:tcW w:w="2793"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40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87"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7"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5"/>
        <w:gridCol w:w="627"/>
        <w:gridCol w:w="1766"/>
      </w:tblGrid>
      <w:tr>
        <w:trPr/>
        <w:tc>
          <w:tcPr>
            <w:tcW w:w="2778"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SURO CAPITAL SPORTS, LLC</w:t>
            </w:r>
          </w:p>
          <w:p>
            <w:pPr>
              <w:pStyle w:val="TableContents"/>
              <w:bidi w:val="0"/>
              <w:spacing w:before="0" w:after="0"/>
              <w:ind w:left="0" w:right="0" w:hanging="0"/>
              <w:jc w:val="both"/>
              <w:rPr>
                <w:caps w:val="false"/>
                <w:smallCaps w:val="false"/>
                <w:color w:val="0000FF"/>
              </w:rPr>
            </w:pPr>
            <w:r>
              <w:rPr>
                <w:caps w:val="false"/>
                <w:smallCaps w:val="false"/>
                <w:color w:val="0000FF"/>
              </w:rPr>
              <w:t> </w:t>
            </w:r>
          </w:p>
        </w:tc>
      </w:tr>
      <w:tr>
        <w:trPr/>
        <w:tc>
          <w:tcPr>
            <w:tcW w:w="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93"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8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2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6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2415"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SRCI ADVISORS, LLC</w:t>
            </w:r>
          </w:p>
        </w:tc>
      </w:tr>
      <w:tr>
        <w:trPr/>
        <w:tc>
          <w:tcPr>
            <w:tcW w:w="2415"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AE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39"/>
        <w:gridCol w:w="552"/>
        <w:gridCol w:w="1557"/>
      </w:tblGrid>
      <w:tr>
        <w:trPr/>
        <w:tc>
          <w:tcPr>
            <w:tcW w:w="24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AV HOLDINGS, INC.</w:t>
            </w:r>
          </w:p>
        </w:tc>
      </w:tr>
      <w:tr>
        <w:trPr/>
        <w:tc>
          <w:tcPr>
            <w:tcW w:w="244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3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0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39"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5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344"/>
        <w:gridCol w:w="559"/>
        <w:gridCol w:w="1576"/>
      </w:tblGrid>
      <w:tr>
        <w:trPr/>
        <w:tc>
          <w:tcPr>
            <w:tcW w:w="2479"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SW HOLDINGS, INC.</w:t>
            </w:r>
          </w:p>
        </w:tc>
      </w:tr>
      <w:tr>
        <w:trPr/>
        <w:tc>
          <w:tcPr>
            <w:tcW w:w="2479"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4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1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44"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5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7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68"/>
        <w:gridCol w:w="600"/>
        <w:gridCol w:w="1690"/>
      </w:tblGrid>
      <w:tr>
        <w:trPr/>
        <w:tc>
          <w:tcPr>
            <w:tcW w:w="265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GSVC SVDS HOLDINGS, INC.</w:t>
            </w:r>
          </w:p>
        </w:tc>
      </w:tr>
      <w:tr>
        <w:trPr/>
        <w:tc>
          <w:tcPr>
            <w:tcW w:w="265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36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29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Mark D. Klein</w:t>
            </w:r>
          </w:p>
        </w:tc>
      </w:tr>
      <w:tr>
        <w:trPr/>
        <w:tc>
          <w:tcPr>
            <w:tcW w:w="368"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6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6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llc</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asset management llc</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I, a series of Astrum Partners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VII, a series of Astrum Partners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XI, a series of Astrum Partners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Astrum Partners LLC, Series XVIII</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Credit Opportunity 2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credit opportunity 2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2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cw opportunity 2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CW Opportunity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Longhorn Special Opportunities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longhorn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2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ACFI Strategic Ventures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Opportunity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AI Ventures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ai ventures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Alpha Star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ALPHA STAR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Fund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CAPITAL FUND ii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Capital Partners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supernova management llc, its general partner</w:t>
      </w:r>
    </w:p>
    <w:p>
      <w:pPr>
        <w:pStyle w:val="TextBody"/>
        <w:bidi w:val="0"/>
        <w:spacing w:before="0" w:after="0"/>
        <w:ind w:left="0" w:right="0" w:hanging="0"/>
        <w:jc w:val="both"/>
        <w:rPr>
          <w:caps/>
        </w:rPr>
      </w:pPr>
      <w:r>
        <w:rPr>
          <w:caps/>
        </w:rPr>
        <w:t> </w:t>
      </w:r>
    </w:p>
    <w:tbl>
      <w:tblPr>
        <w:tblW w:w="4200" w:type="dxa"/>
        <w:jc w:val="left"/>
        <w:tblInd w:w="0" w:type="dxa"/>
        <w:tblLayout w:type="fixed"/>
        <w:tblCellMar>
          <w:top w:w="0" w:type="dxa"/>
          <w:left w:w="0" w:type="dxa"/>
          <w:bottom w:w="0" w:type="dxa"/>
          <w:right w:w="0" w:type="dxa"/>
        </w:tblCellMar>
      </w:tblPr>
      <w:tblGrid>
        <w:gridCol w:w="560"/>
        <w:gridCol w:w="545"/>
        <w:gridCol w:w="3095"/>
      </w:tblGrid>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0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INCOME FUND</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David J. Snyderman</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David J. Snyderman</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Treasurer (Principal Financial Officer)</w:t>
            </w:r>
            <w:r>
              <w:rPr>
                <w:rFonts w:ascii="Times New Roman;Times;Serif" w:hAnsi="Times New Roman;Times;Serif"/>
                <w:b w:val="false"/>
                <w:i w:val="false"/>
                <w:caps w:val="false"/>
                <w:smallCaps w:val="false"/>
                <w:color w:val="0000FF"/>
                <w:sz w:val="20"/>
                <w:u w:val="single"/>
              </w:rPr>
              <w:br/>
              <w:t>Administrative Manager</w:t>
            </w:r>
          </w:p>
        </w:tc>
      </w:tr>
      <w:tr>
        <w:trPr/>
        <w:tc>
          <w:tcPr>
            <w:tcW w:w="420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4200"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NATIONAL GROUP, LLC</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Constellation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Financial (UK) LLP</w:t>
      </w:r>
    </w:p>
    <w:p>
      <w:pPr>
        <w:pStyle w:val="TextBody"/>
        <w:bidi w:val="0"/>
        <w:spacing w:before="0" w:after="0"/>
        <w:ind w:left="0" w:right="0" w:hanging="0"/>
        <w:jc w:val="both"/>
        <w:rPr>
          <w:caps/>
        </w:rPr>
      </w:pPr>
      <w:r>
        <w:rPr>
          <w:caps/>
        </w:rPr>
        <w:t> </w:t>
      </w:r>
    </w:p>
    <w:tbl>
      <w:tblPr>
        <w:tblW w:w="2415" w:type="dxa"/>
        <w:jc w:val="left"/>
        <w:tblInd w:w="0" w:type="dxa"/>
        <w:tblLayout w:type="fixed"/>
        <w:tblCellMar>
          <w:top w:w="0" w:type="dxa"/>
          <w:left w:w="0" w:type="dxa"/>
          <w:bottom w:w="0" w:type="dxa"/>
          <w:right w:w="0" w:type="dxa"/>
        </w:tblCellMar>
      </w:tblPr>
      <w:tblGrid>
        <w:gridCol w:w="335"/>
        <w:gridCol w:w="545"/>
        <w:gridCol w:w="153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Person</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APPK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appk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Investment Opportunity Series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Lake Credit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5523" w:type="dxa"/>
        <w:jc w:val="left"/>
        <w:tblInd w:w="0" w:type="dxa"/>
        <w:tblLayout w:type="fixed"/>
        <w:tblCellMar>
          <w:top w:w="0" w:type="dxa"/>
          <w:left w:w="0" w:type="dxa"/>
          <w:bottom w:w="0" w:type="dxa"/>
          <w:right w:w="0" w:type="dxa"/>
        </w:tblCellMar>
      </w:tblPr>
      <w:tblGrid>
        <w:gridCol w:w="638"/>
        <w:gridCol w:w="621"/>
        <w:gridCol w:w="4264"/>
      </w:tblGrid>
      <w:tr>
        <w:trPr/>
        <w:tc>
          <w:tcPr>
            <w:tcW w:w="6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8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638"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6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4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638"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6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4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Managing Partner and Chief Financial Officer</w:t>
            </w:r>
            <w:r>
              <w:rPr>
                <w:rFonts w:ascii="Times New Roman;Times;Serif" w:hAnsi="Times New Roman;Times;Serif"/>
                <w:b w:val="false"/>
                <w:i w:val="false"/>
                <w:caps w:val="false"/>
                <w:smallCaps w:val="false"/>
                <w:color w:val="0000FF"/>
                <w:sz w:val="20"/>
                <w:u w:val="single"/>
              </w:rPr>
              <w:br/>
              <w:t>General Counsel</w:t>
            </w:r>
          </w:p>
        </w:tc>
      </w:tr>
      <w:tr>
        <w:trPr/>
        <w:tc>
          <w:tcPr>
            <w:tcW w:w="552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523"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(Q), LP</w:t>
            </w:r>
          </w:p>
        </w:tc>
      </w:tr>
      <w:tr>
        <w:trPr/>
        <w:tc>
          <w:tcPr>
            <w:tcW w:w="638" w:type="dxa"/>
            <w:tcBorders/>
            <w:vAlign w:val="center"/>
          </w:tcPr>
          <w:p>
            <w:pPr>
              <w:pStyle w:val="TableContents"/>
              <w:bidi w:val="0"/>
              <w:spacing w:before="0" w:after="283"/>
              <w:jc w:val="left"/>
              <w:rPr>
                <w:caps w:val="false"/>
                <w:smallCaps w:val="false"/>
              </w:rPr>
            </w:pPr>
            <w:r>
              <w:rPr>
                <w:caps w:val="false"/>
                <w:smallCaps w:val="false"/>
              </w:rPr>
              <w:t> </w:t>
            </w:r>
          </w:p>
        </w:tc>
        <w:tc>
          <w:tcPr>
            <w:tcW w:w="488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Longhorn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magnertar longhorn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managing MEMBER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8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8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A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2025-2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2025-2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2025-3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2025-3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2025-4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2025-4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5209" w:type="dxa"/>
        <w:jc w:val="left"/>
        <w:tblInd w:w="0" w:type="dxa"/>
        <w:tblLayout w:type="fixed"/>
        <w:tblCellMar>
          <w:top w:w="0" w:type="dxa"/>
          <w:left w:w="0" w:type="dxa"/>
          <w:bottom w:w="0" w:type="dxa"/>
          <w:right w:w="0" w:type="dxa"/>
        </w:tblCellMar>
      </w:tblPr>
      <w:tblGrid>
        <w:gridCol w:w="807"/>
        <w:gridCol w:w="785"/>
        <w:gridCol w:w="3617"/>
      </w:tblGrid>
      <w:tr>
        <w:trPr/>
        <w:tc>
          <w:tcPr>
            <w:tcW w:w="8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402"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807"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6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807"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6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r>
        <w:trPr/>
        <w:tc>
          <w:tcPr>
            <w:tcW w:w="520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5209"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PRIVATE MARKET OPPORTUNITIES IX, LP</w:t>
            </w:r>
          </w:p>
        </w:tc>
      </w:tr>
      <w:tr>
        <w:trPr/>
        <w:tc>
          <w:tcPr>
            <w:tcW w:w="807" w:type="dxa"/>
            <w:tcBorders/>
            <w:vAlign w:val="center"/>
          </w:tcPr>
          <w:p>
            <w:pPr>
              <w:pStyle w:val="TableContents"/>
              <w:bidi w:val="0"/>
              <w:spacing w:before="0" w:after="283"/>
              <w:jc w:val="left"/>
              <w:rPr>
                <w:caps w:val="false"/>
                <w:smallCaps w:val="false"/>
              </w:rPr>
            </w:pPr>
            <w:r>
              <w:rPr>
                <w:caps w:val="false"/>
                <w:smallCaps w:val="false"/>
              </w:rPr>
              <w:t> </w:t>
            </w:r>
          </w:p>
        </w:tc>
        <w:tc>
          <w:tcPr>
            <w:tcW w:w="4402"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2025-A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5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5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6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opportunity 6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Opportunity 7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opportuniyt 7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special situations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4548" w:type="dxa"/>
        <w:jc w:val="left"/>
        <w:tblInd w:w="0" w:type="dxa"/>
        <w:tblLayout w:type="fixed"/>
        <w:tblCellMar>
          <w:top w:w="0" w:type="dxa"/>
          <w:left w:w="0" w:type="dxa"/>
          <w:bottom w:w="0" w:type="dxa"/>
          <w:right w:w="0" w:type="dxa"/>
        </w:tblCellMar>
      </w:tblPr>
      <w:tblGrid>
        <w:gridCol w:w="704"/>
        <w:gridCol w:w="685"/>
        <w:gridCol w:w="3159"/>
      </w:tblGrid>
      <w:tr>
        <w:trPr/>
        <w:tc>
          <w:tcPr>
            <w:tcW w:w="7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44"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704"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6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3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704"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6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3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r>
        <w:trPr/>
        <w:tc>
          <w:tcPr>
            <w:tcW w:w="454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4548"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LENDING FUND, LLC</w:t>
            </w:r>
          </w:p>
        </w:tc>
      </w:tr>
      <w:tr>
        <w:trPr/>
        <w:tc>
          <w:tcPr>
            <w:tcW w:w="704"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Special Situations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Structured Credit Fund, LP DBA Constellation onshore fund</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general partner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Alternative Credit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A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Waterfront Series C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fund llc, its sole member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waterfront alternative credit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3615" w:type="dxa"/>
        <w:jc w:val="left"/>
        <w:tblInd w:w="0" w:type="dxa"/>
        <w:tblLayout w:type="fixed"/>
        <w:tblCellMar>
          <w:top w:w="0" w:type="dxa"/>
          <w:left w:w="0" w:type="dxa"/>
          <w:bottom w:w="0" w:type="dxa"/>
          <w:right w:w="0" w:type="dxa"/>
        </w:tblCellMar>
      </w:tblPr>
      <w:tblGrid>
        <w:gridCol w:w="560"/>
        <w:gridCol w:w="545"/>
        <w:gridCol w:w="2510"/>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5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Karl Wachter</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074" w:type="dxa"/>
        <w:jc w:val="left"/>
        <w:tblInd w:w="0" w:type="dxa"/>
        <w:tblLayout w:type="fixed"/>
        <w:tblCellMar>
          <w:top w:w="0" w:type="dxa"/>
          <w:left w:w="0" w:type="dxa"/>
          <w:bottom w:w="0" w:type="dxa"/>
          <w:right w:w="0" w:type="dxa"/>
        </w:tblCellMar>
      </w:tblPr>
      <w:tblGrid>
        <w:gridCol w:w="3880"/>
        <w:gridCol w:w="1194"/>
      </w:tblGrid>
      <w:tr>
        <w:trPr/>
        <w:tc>
          <w:tcPr>
            <w:tcW w:w="50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07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KEYSTONE REAL ESTATE INVESTMENT TRUST, LLC</w:t>
            </w:r>
          </w:p>
        </w:tc>
      </w:tr>
      <w:tr>
        <w:trPr/>
        <w:tc>
          <w:tcPr>
            <w:tcW w:w="3880" w:type="dxa"/>
            <w:tcBorders/>
            <w:vAlign w:val="center"/>
          </w:tcPr>
          <w:p>
            <w:pPr>
              <w:pStyle w:val="TableContents"/>
              <w:bidi w:val="0"/>
              <w:spacing w:before="0" w:after="283"/>
              <w:jc w:val="left"/>
              <w:rPr>
                <w:caps w:val="false"/>
                <w:smallCaps w:val="false"/>
              </w:rPr>
            </w:pPr>
            <w:r>
              <w:rPr>
                <w:caps w:val="false"/>
                <w:smallCaps w:val="false"/>
              </w:rPr>
              <w:t> </w:t>
            </w:r>
          </w:p>
        </w:tc>
        <w:tc>
          <w:tcPr>
            <w:tcW w:w="119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Fund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FINANCIAL LLC, ITS MANAGER</w:t>
      </w:r>
    </w:p>
    <w:p>
      <w:pPr>
        <w:pStyle w:val="TextBody"/>
        <w:bidi w:val="0"/>
        <w:spacing w:before="0" w:after="0"/>
        <w:ind w:left="0" w:right="0" w:hanging="0"/>
        <w:jc w:val="both"/>
        <w:rPr>
          <w:caps/>
        </w:rPr>
      </w:pPr>
      <w:r>
        <w:rPr>
          <w:caps/>
        </w:rPr>
        <w:t> </w:t>
      </w:r>
    </w:p>
    <w:tbl>
      <w:tblPr>
        <w:tblW w:w="2265" w:type="dxa"/>
        <w:jc w:val="left"/>
        <w:tblInd w:w="0" w:type="dxa"/>
        <w:tblLayout w:type="fixed"/>
        <w:tblCellMar>
          <w:top w:w="0" w:type="dxa"/>
          <w:left w:w="0" w:type="dxa"/>
          <w:bottom w:w="0" w:type="dxa"/>
          <w:right w:w="0" w:type="dxa"/>
        </w:tblCellMar>
      </w:tblPr>
      <w:tblGrid>
        <w:gridCol w:w="335"/>
        <w:gridCol w:w="545"/>
        <w:gridCol w:w="138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General Counsel</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Magnetar Xing He Master Fund Ltd</w:t>
      </w:r>
    </w:p>
    <w:p>
      <w:pPr>
        <w:pStyle w:val="TextBody"/>
        <w:bidi w:val="0"/>
        <w:spacing w:before="0" w:after="0"/>
        <w:ind w:left="0" w:right="0" w:hanging="0"/>
        <w:jc w:val="both"/>
        <w:rPr>
          <w:caps/>
        </w:rPr>
      </w:pPr>
      <w:r>
        <w:rPr>
          <w:caps/>
        </w:rPr>
        <w:t> </w:t>
      </w:r>
    </w:p>
    <w:tbl>
      <w:tblPr>
        <w:tblW w:w="1995" w:type="dxa"/>
        <w:jc w:val="left"/>
        <w:tblInd w:w="0" w:type="dxa"/>
        <w:tblLayout w:type="fixed"/>
        <w:tblCellMar>
          <w:top w:w="0" w:type="dxa"/>
          <w:left w:w="0" w:type="dxa"/>
          <w:bottom w:w="0" w:type="dxa"/>
          <w:right w:w="0" w:type="dxa"/>
        </w:tblCellMar>
      </w:tblPr>
      <w:tblGrid>
        <w:gridCol w:w="335"/>
        <w:gridCol w:w="545"/>
        <w:gridCol w:w="1115"/>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166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Alan Milgate</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MCP Investing LLC</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Mustang Opportunities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Mustang opportunities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F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Purpose Alternative Credit Fund – T LLC</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purpose mm llc, its manager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Realta Investments Ireland Designated Activity Company</w:t>
      </w:r>
    </w:p>
    <w:p>
      <w:pPr>
        <w:pStyle w:val="TextBody"/>
        <w:bidi w:val="0"/>
        <w:spacing w:before="0" w:after="0"/>
        <w:ind w:left="0" w:right="0" w:hanging="0"/>
        <w:jc w:val="both"/>
        <w:rPr>
          <w:caps/>
        </w:rPr>
      </w:pPr>
      <w:r>
        <w:rPr>
          <w:caps/>
        </w:rPr>
        <w:t> </w:t>
      </w:r>
    </w:p>
    <w:tbl>
      <w:tblPr>
        <w:tblW w:w="3390" w:type="dxa"/>
        <w:jc w:val="left"/>
        <w:tblInd w:w="0" w:type="dxa"/>
        <w:tblLayout w:type="fixed"/>
        <w:tblCellMar>
          <w:top w:w="0" w:type="dxa"/>
          <w:left w:w="0" w:type="dxa"/>
          <w:bottom w:w="0" w:type="dxa"/>
          <w:right w:w="0" w:type="dxa"/>
        </w:tblCellMar>
      </w:tblPr>
      <w:tblGrid>
        <w:gridCol w:w="560"/>
        <w:gridCol w:w="545"/>
        <w:gridCol w:w="2285"/>
      </w:tblGrid>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Bronwyn Wright</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Name: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Brad Allen</w:t>
            </w:r>
            <w:r>
              <w:rPr>
                <w:rFonts w:ascii="Times New Roman;Times;Serif" w:hAnsi="Times New Roman;Times;Serif"/>
                <w:b w:val="false"/>
                <w:i w:val="false"/>
                <w:caps w:val="false"/>
                <w:smallCaps w:val="false"/>
                <w:color w:val="0000FF"/>
                <w:sz w:val="20"/>
                <w:u w:val="single"/>
              </w:rPr>
              <w:t>Bronwyn Wright</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Title:</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Manager</w:t>
            </w:r>
            <w:r>
              <w:rPr>
                <w:rFonts w:ascii="Times New Roman;Times;Serif" w:hAnsi="Times New Roman;Times;Serif"/>
                <w:b w:val="false"/>
                <w:i w:val="false"/>
                <w:caps w:val="false"/>
                <w:smallCaps w:val="false"/>
                <w:color w:val="0000FF"/>
                <w:sz w:val="20"/>
                <w:u w:val="single"/>
              </w:rPr>
              <w:t>Director</w:t>
            </w:r>
          </w:p>
        </w:tc>
      </w:tr>
    </w:tbl>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color w:val="0000FF"/>
        </w:rPr>
      </w:pPr>
      <w:r>
        <w:rPr>
          <w:caps/>
          <w:color w:val="0000FF"/>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1, A Series of 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 A Series of Astrum Partners II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astrum partners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2026-1, a Series of Magnetar Investment Opportunity Series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Series 2026-2, a Series of Magnetar Investment Opportunity Series FUND LP</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magnetar investment opportunity series gp llc, its general partner</w:t>
      </w:r>
    </w:p>
    <w:p>
      <w:pPr>
        <w:pStyle w:val="TextBody"/>
        <w:bidi w:val="0"/>
        <w:spacing w:before="0" w:after="0"/>
        <w:ind w:left="0" w:right="0" w:hanging="0"/>
        <w:jc w:val="both"/>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By: mcp gp holdings llc, ITS sole member</w:t>
      </w:r>
    </w:p>
    <w:p>
      <w:pPr>
        <w:pStyle w:val="TextBody"/>
        <w:bidi w:val="0"/>
        <w:spacing w:before="0" w:after="0"/>
        <w:ind w:left="0" w:right="0" w:hanging="0"/>
        <w:jc w:val="both"/>
        <w:rPr>
          <w:caps/>
        </w:rPr>
      </w:pPr>
      <w:r>
        <w:rPr>
          <w:caps/>
        </w:rPr>
        <w:t> </w:t>
      </w:r>
    </w:p>
    <w:tbl>
      <w:tblPr>
        <w:tblW w:w="2670" w:type="dxa"/>
        <w:jc w:val="left"/>
        <w:tblInd w:w="0" w:type="dxa"/>
        <w:tblLayout w:type="fixed"/>
        <w:tblCellMar>
          <w:top w:w="0" w:type="dxa"/>
          <w:left w:w="0" w:type="dxa"/>
          <w:bottom w:w="0" w:type="dxa"/>
          <w:right w:w="0" w:type="dxa"/>
        </w:tblCellMar>
      </w:tblPr>
      <w:tblGrid>
        <w:gridCol w:w="335"/>
        <w:gridCol w:w="545"/>
        <w:gridCol w:w="1790"/>
      </w:tblGrid>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By:</w:t>
            </w:r>
          </w:p>
        </w:tc>
        <w:tc>
          <w:tcPr>
            <w:tcW w:w="233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 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Name: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Karl Wachter</w:t>
            </w:r>
          </w:p>
        </w:tc>
      </w:tr>
      <w:tr>
        <w:trPr/>
        <w:tc>
          <w:tcPr>
            <w:tcW w:w="335" w:type="dxa"/>
            <w:tcBorders/>
            <w:vAlign w:val="center"/>
          </w:tcPr>
          <w:p>
            <w:pPr>
              <w:pStyle w:val="TableContents"/>
              <w:bidi w:val="0"/>
              <w:spacing w:before="0" w:after="283"/>
              <w:jc w:val="both"/>
              <w:rPr>
                <w:caps w:val="false"/>
                <w:smallCaps w:val="false"/>
                <w:color w:val="0000FF"/>
              </w:rPr>
            </w:pPr>
            <w:r>
              <w:rPr>
                <w:caps w:val="false"/>
                <w:smallCaps w:val="false"/>
                <w:color w:val="0000FF"/>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Title:</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spacing w:before="0" w:after="0"/>
        <w:ind w:left="0" w:right="0" w:hanging="0"/>
        <w:jc w:val="right"/>
        <w:rPr>
          <w:caps w:val="false"/>
          <w:smallCaps w:val="false"/>
          <w:color w:val="FF0000"/>
        </w:rPr>
      </w:pPr>
      <w:r>
        <w:rPr>
          <w:caps w:val="false"/>
          <w:smallCaps w:val="false"/>
          <w:color w:val="FF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FF0000"/>
          <w:sz w:val="20"/>
        </w:rPr>
        <w:t>EXHIBIT A</w:t>
      </w:r>
      <w:r>
        <w:rPr>
          <w:rFonts w:ascii="Times New Roman;Times;Serif" w:hAnsi="Times New Roman;Times;Serif"/>
          <w:b/>
          <w:i w:val="false"/>
          <w:caps w:val="false"/>
          <w:smallCaps w:val="false"/>
          <w:color w:val="0000FF"/>
          <w:sz w:val="20"/>
          <w:u w:val="single"/>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Resolutions </w:t>
      </w:r>
      <w:r>
        <w:rPr>
          <w:rFonts w:ascii="Times New Roman;Times;Serif" w:hAnsi="Times New Roman;Times;Serif"/>
          <w:b/>
          <w:i w:val="false"/>
          <w:caps w:val="false"/>
          <w:smallCaps w:val="false"/>
          <w:strike/>
          <w:color w:val="FF0000"/>
          <w:sz w:val="20"/>
          <w:u w:val="single"/>
        </w:rPr>
        <w:t>Adopted by</w:t>
      </w:r>
      <w:r>
        <w:rPr>
          <w:rFonts w:ascii="Times New Roman;Times;Serif" w:hAnsi="Times New Roman;Times;Serif"/>
          <w:b/>
          <w:i w:val="false"/>
          <w:caps w:val="false"/>
          <w:smallCaps w:val="false"/>
          <w:color w:val="0000FF"/>
          <w:sz w:val="20"/>
          <w:u w:val="single"/>
        </w:rPr>
        <w:t>of</w:t>
      </w:r>
      <w:r>
        <w:rPr>
          <w:rFonts w:ascii="Times New Roman;Times;Serif" w:hAnsi="Times New Roman;Times;Serif"/>
          <w:b/>
          <w:i w:val="false"/>
          <w:caps w:val="false"/>
          <w:smallCaps w:val="false"/>
          <w:sz w:val="20"/>
        </w:rPr>
        <w:t xml:space="preserve"> the Board of </w:t>
      </w:r>
      <w:r>
        <w:rPr>
          <w:rFonts w:ascii="Times New Roman;Times;Serif" w:hAnsi="Times New Roman;Times;Serif"/>
          <w:b/>
          <w:i w:val="false"/>
          <w:caps w:val="false"/>
          <w:smallCaps w:val="false"/>
          <w:strike/>
          <w:color w:val="FF0000"/>
          <w:sz w:val="20"/>
          <w:u w:val="single"/>
        </w:rPr>
        <w:t xml:space="preserve">Trustees of Keystone Private Income </w:t>
      </w:r>
      <w:r>
        <w:rPr>
          <w:rFonts w:ascii="Times New Roman;Times;Serif" w:hAnsi="Times New Roman;Times;Serif"/>
          <w:b/>
          <w:i w:val="false"/>
          <w:caps w:val="false"/>
          <w:smallCaps w:val="false"/>
          <w:color w:val="0000FF"/>
          <w:sz w:val="20"/>
          <w:u w:val="single"/>
        </w:rPr>
        <w:t>Directors of Neostellar Capital Corp. (the “</w:t>
      </w:r>
      <w:r>
        <w:rPr>
          <w:rFonts w:ascii="Times New Roman;Times;Serif" w:hAnsi="Times New Roman;Times;Serif"/>
          <w:b/>
          <w:i w:val="false"/>
          <w:caps w:val="false"/>
          <w:smallCaps w:val="false"/>
          <w:sz w:val="20"/>
        </w:rPr>
        <w:t>Fund</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val="false"/>
          <w:i/>
          <w:caps w:val="false"/>
          <w:smallCaps w:val="false"/>
          <w:strike/>
          <w:color w:val="FF0000"/>
          <w:sz w:val="20"/>
        </w:rPr>
      </w:pPr>
      <w:r>
        <w:rPr>
          <w:rFonts w:ascii="Times New Roman;Times;Serif" w:hAnsi="Times New Roman;Times;Serif"/>
          <w:b w:val="false"/>
          <w:i/>
          <w:caps w:val="false"/>
          <w:smallCaps w:val="false"/>
          <w:strike/>
          <w:color w:val="FF0000"/>
          <w:sz w:val="20"/>
        </w:rPr>
        <w:t>Approval of Filing Section 17(d) Application for Co-Investment Relief</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w:t>
      </w:r>
      <w:r>
        <w:rPr>
          <w:rFonts w:ascii="Times New Roman;Times;Serif" w:hAnsi="Times New Roman;Times;Serif"/>
          <w:b w:val="false"/>
          <w:i w:val="false"/>
          <w:caps w:val="false"/>
          <w:smallCaps w:val="false"/>
          <w:strike/>
          <w:color w:val="FF0000"/>
          <w:sz w:val="20"/>
        </w:rPr>
        <w:t xml:space="preserve">of Trustees of the Keystone Private Income Fund (the “Fund”) </w:t>
      </w:r>
      <w:r>
        <w:rPr>
          <w:rFonts w:ascii="Times New Roman;Times;Serif" w:hAnsi="Times New Roman;Times;Serif"/>
          <w:b w:val="false"/>
          <w:i w:val="false"/>
          <w:caps w:val="false"/>
          <w:smallCaps w:val="false"/>
          <w:sz w:val="20"/>
        </w:rPr>
        <w:t xml:space="preserve">deems 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now therefore be it</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trike/>
          <w:color w:val="FF0000"/>
          <w:sz w:val="20"/>
        </w:rPr>
        <w:t xml:space="preserve">NOW, THEREFORE, BE IT </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w:t>
      </w:r>
      <w:r>
        <w:rPr>
          <w:rFonts w:ascii="Times New Roman;Times;Serif" w:hAnsi="Times New Roman;Times;Serif"/>
          <w:b w:val="false"/>
          <w:i w:val="false"/>
          <w:caps w:val="false"/>
          <w:smallCaps w:val="false"/>
          <w:strike/>
          <w:color w:val="FF0000"/>
          <w:sz w:val="20"/>
        </w:rPr>
        <w:t xml:space="preserve">Keystone National Group, LLC and </w:t>
      </w:r>
      <w:r>
        <w:rPr>
          <w:rFonts w:ascii="Times New Roman;Times;Serif" w:hAnsi="Times New Roman;Times;Serif"/>
          <w:b w:val="false"/>
          <w:i w:val="false"/>
          <w:caps w:val="false"/>
          <w:smallCaps w:val="false"/>
          <w:sz w:val="20"/>
        </w:rPr>
        <w:t xml:space="preserve">the Fund be, and each of them hereby is, authorized and directed on behalf of the Fund and in its name </w:t>
      </w:r>
      <w:r>
        <w:rPr>
          <w:rFonts w:ascii="Times New Roman;Times;Serif" w:hAnsi="Times New Roman;Times;Serif"/>
          <w:b w:val="false"/>
          <w:i w:val="false"/>
          <w:caps w:val="false"/>
          <w:smallCaps w:val="false"/>
          <w:strike/>
          <w:color w:val="FF0000"/>
          <w:sz w:val="20"/>
        </w:rPr>
        <w:t xml:space="preserve">and on behalf of the Fund, </w:t>
      </w:r>
      <w:r>
        <w:rPr>
          <w:rFonts w:ascii="Times New Roman;Times;Serif" w:hAnsi="Times New Roman;Times;Serif"/>
          <w:b w:val="false"/>
          <w:i w:val="false"/>
          <w:caps w:val="false"/>
          <w:smallCaps w:val="false"/>
          <w:sz w:val="20"/>
        </w:rPr>
        <w:t xml:space="preserve">to prepare, execute, and cause to be filed with the Commission an Application for an </w:t>
      </w:r>
      <w:r>
        <w:rPr>
          <w:rFonts w:ascii="Times New Roman;Times;Serif" w:hAnsi="Times New Roman;Times;Serif"/>
          <w:b w:val="false"/>
          <w:i w:val="false"/>
          <w:caps w:val="false"/>
          <w:smallCaps w:val="false"/>
          <w:strike/>
          <w:color w:val="FF0000"/>
          <w:sz w:val="20"/>
        </w:rPr>
        <w:t>Order</w:t>
      </w:r>
      <w:r>
        <w:rPr>
          <w:rFonts w:ascii="Times New Roman;Times;Serif" w:hAnsi="Times New Roman;Times;Serif"/>
          <w:b w:val="false"/>
          <w:i w:val="false"/>
          <w:caps w:val="false"/>
          <w:smallCaps w:val="false"/>
          <w:color w:val="0000FF"/>
          <w:sz w:val="20"/>
          <w:u w:val="single"/>
        </w:rPr>
        <w:t>order</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trike/>
          <w:color w:val="FF0000"/>
          <w:sz w:val="20"/>
        </w:rPr>
        <w:t>Exemption</w:t>
      </w:r>
      <w:r>
        <w:rPr>
          <w:rFonts w:ascii="Times New Roman;Times;Serif" w:hAnsi="Times New Roman;Times;Serif"/>
          <w:b w:val="false"/>
          <w:i w:val="false"/>
          <w:caps w:val="false"/>
          <w:smallCaps w:val="false"/>
          <w:color w:val="0000FF"/>
          <w:sz w:val="20"/>
          <w:u w:val="single"/>
        </w:rPr>
        <w:t>exemption</w:t>
      </w:r>
      <w:r>
        <w:rPr>
          <w:rFonts w:ascii="Times New Roman;Times;Serif" w:hAnsi="Times New Roman;Times;Serif"/>
          <w:b w:val="false"/>
          <w:i w:val="false"/>
          <w:caps w:val="false"/>
          <w:smallCaps w:val="false"/>
          <w:sz w:val="20"/>
        </w:rPr>
        <w:t>, substantially in the form attached hereto as Exhibit A, and any amendments thereto, pursuant to Section 17(d) of the 1940 Act</w:t>
      </w:r>
      <w:r>
        <w:rPr>
          <w:rFonts w:ascii="Times New Roman;Times;Serif" w:hAnsi="Times New Roman;Times;Serif"/>
          <w:b w:val="false"/>
          <w:i w:val="false"/>
          <w:caps w:val="false"/>
          <w:smallCaps w:val="false"/>
          <w:strike/>
          <w:color w:val="FF0000"/>
          <w:sz w:val="20"/>
        </w:rPr>
        <w:t>, and Rule 17d-1 promulgated under the 1940 Act, authorizing certain joint transactions that otherwise may be prohibited by Section 17(d) of the 1940 Act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the officers of the Fund be, and each of them hereby is, authorized and directed to take such further action and execute such other documents as such officer or officers shall deem necessary or advisable in order to effectuate the intent of the foregoing resolution; and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 xml:space="preserve">it </w:t>
      </w:r>
      <w:r>
        <w:rPr>
          <w:rFonts w:ascii="Times New Roman;Times;Serif" w:hAnsi="Times New Roman;Times;Serif"/>
          <w:b w:val="false"/>
          <w:i w:val="false"/>
          <w:caps w:val="false"/>
          <w:smallCaps w:val="false"/>
          <w:strike/>
          <w:color w:val="FF0000"/>
          <w:sz w:val="20"/>
        </w:rPr>
        <w:t xml:space="preserve">is </w:t>
      </w:r>
      <w:r>
        <w:rPr>
          <w:rFonts w:ascii="Times New Roman;Times;Serif" w:hAnsi="Times New Roman;Times;Serif"/>
          <w:b w:val="false"/>
          <w:i w:val="false"/>
          <w:caps w:val="false"/>
          <w:smallCaps w:val="false"/>
          <w:sz w:val="20"/>
        </w:rPr>
        <w:t>further</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that any and all actions previously taken by the Fund or any of its </w:t>
      </w:r>
      <w:r>
        <w:rPr>
          <w:rFonts w:ascii="Times New Roman;Times;Serif" w:hAnsi="Times New Roman;Times;Serif"/>
          <w:b w:val="false"/>
          <w:i w:val="false"/>
          <w:caps w:val="false"/>
          <w:smallCaps w:val="false"/>
          <w:strike/>
          <w:color w:val="FF0000"/>
          <w:sz w:val="20"/>
        </w:rPr>
        <w:t>trustees</w:t>
      </w:r>
      <w:r>
        <w:rPr>
          <w:rFonts w:ascii="Times New Roman;Times;Serif" w:hAnsi="Times New Roman;Times;Serif"/>
          <w:b w:val="false"/>
          <w:i w:val="false"/>
          <w:caps w:val="false"/>
          <w:smallCaps w:val="false"/>
          <w:color w:val="0000FF"/>
          <w:sz w:val="20"/>
          <w:u w:val="single"/>
        </w:rPr>
        <w:t>directors</w:t>
      </w:r>
      <w:r>
        <w:rPr>
          <w:rFonts w:ascii="Times New Roman;Times;Serif" w:hAnsi="Times New Roman;Times;Serif"/>
          <w:b w:val="false"/>
          <w:i w:val="false"/>
          <w:caps w:val="false"/>
          <w:smallCaps w:val="false"/>
          <w:sz w:val="20"/>
        </w:rPr>
        <w:t xml:space="preserve"> or officers in connection with the actions contemplated by the foregoing resolutions be, and each of them hereby is, ratified, confirmed, approved and adopted in all respects as and for the acts and deeds of the Fund.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Adopted July 15, 2026</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jc w:val="left"/>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jc w:val="both"/>
        <w:rPr>
          <w:rFonts w:ascii="Times New Roman;Times;Serif" w:hAnsi="Times New Roman;Times;Serif"/>
          <w:b w:val="false"/>
          <w:i/>
          <w:caps w:val="false"/>
          <w:smallCaps w:val="false"/>
          <w:color w:val="FF0000"/>
          <w:sz w:val="20"/>
          <w:shd w:fill="auto" w:val="clear"/>
        </w:rPr>
      </w:pPr>
      <w:r>
        <w:rPr>
          <w:rFonts w:ascii="Times New Roman;Times;Serif" w:hAnsi="Times New Roman;Times;Serif"/>
          <w:b w:val="false"/>
          <w:i/>
          <w:caps w:val="false"/>
          <w:smallCaps w:val="false"/>
          <w:color w:val="FF0000"/>
          <w:sz w:val="20"/>
          <w:shd w:fill="auto" w:val="clear"/>
        </w:rPr>
        <w:t>[Different first page setting changed from off in original to on in modified.].</w:t>
      </w:r>
    </w:p>
    <w:p>
      <w:pPr>
        <w:pStyle w:val="TextBody"/>
        <w:bidi w:val="0"/>
        <w:spacing w:before="0" w:after="0"/>
        <w:jc w:val="center"/>
        <w:rPr>
          <w:caps w:val="false"/>
          <w:smallCaps w:val="false"/>
          <w:color w:val="0000FF"/>
        </w:rPr>
      </w:pPr>
      <w:r>
        <w:rPr>
          <w:caps w:val="false"/>
          <w:smallCaps w:val="false"/>
          <w:color w:val="0000FF"/>
        </w:rPr>
        <w:t> </w:t>
      </w:r>
    </w:p>
    <w:p>
      <w:pPr>
        <w:pStyle w:val="TextBody"/>
        <w:bidi w:val="0"/>
        <w:spacing w:before="0" w:after="0"/>
        <w:ind w:left="0" w:right="0" w:hanging="0"/>
        <w:jc w:val="right"/>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Exhibit C</w:t>
      </w:r>
    </w:p>
    <w:p>
      <w:pPr>
        <w:pStyle w:val="TextBody"/>
        <w:bidi w:val="0"/>
        <w:spacing w:before="0" w:after="0"/>
        <w:ind w:left="0" w:right="0" w:hanging="0"/>
        <w:jc w:val="right"/>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Marked Copies of the Application Showing Changes from the Final Versions of the Two Applications Identified as Substantially Identical Under Rule 0-5(e)(3)</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val="false"/>
          <w:i/>
          <w:caps w:val="false"/>
          <w:smallCaps w:val="false"/>
          <w:color w:val="FF0000"/>
          <w:sz w:val="20"/>
        </w:rPr>
      </w:pPr>
      <w:r>
        <w:rPr>
          <w:rFonts w:ascii="Times New Roman;Times;Serif" w:hAnsi="Times New Roman;Times;Serif"/>
          <w:b w:val="false"/>
          <w:i/>
          <w:caps w:val="false"/>
          <w:smallCaps w:val="false"/>
          <w:color w:val="FF0000"/>
          <w:sz w:val="20"/>
        </w:rPr>
        <w:t>[Different first page setting changed from off in original to on in modified.].</w:t>
      </w:r>
    </w:p>
    <w:p>
      <w:pPr>
        <w:pStyle w:val="TextBody"/>
        <w:bidi w:val="0"/>
        <w:spacing w:before="0" w:after="0"/>
        <w:ind w:left="0" w:right="0" w:hanging="0"/>
        <w:jc w:val="center"/>
        <w:rPr>
          <w:caps w:val="false"/>
          <w:smallCaps w:val="false"/>
          <w:color w:val="0000FF"/>
        </w:rPr>
      </w:pPr>
      <w:r>
        <w:rPr>
          <w:caps w:val="false"/>
          <w:smallCaps w:val="false"/>
          <w:color w:val="0000FF"/>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33966</Words>
  <Characters>183702</Characters>
  <CharactersWithSpaces>216060</CharactersWithSpaces>
  <Paragraphs>6920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