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2" w:lineRule="auto"/>
        <w:rPr>
          <w:sz w:val="20"/>
          <w:szCs w:val="20"/>
          <w:color w:val="auto"/>
        </w:rPr>
      </w:pPr>
      <w:r>
        <w:rPr>
          <w:rFonts w:ascii="Arial" w:cs="Arial" w:eastAsia="Arial" w:hAnsi="Arial"/>
          <w:sz w:val="16"/>
          <w:szCs w:val="16"/>
          <w:b w:val="1"/>
          <w:bCs w:val="1"/>
          <w:color w:val="auto"/>
        </w:rPr>
        <w:t>Washington, D.C. 20549</w:t>
      </w:r>
    </w:p>
    <w:p>
      <w:pPr>
        <w:ind w:left="4620"/>
        <w:spacing w:after="0"/>
        <w:rPr>
          <w:sz w:val="20"/>
          <w:szCs w:val="20"/>
          <w:color w:val="auto"/>
        </w:rPr>
      </w:pPr>
      <w:r>
        <w:rPr>
          <w:rFonts w:ascii="Arial" w:cs="Arial" w:eastAsia="Arial" w:hAnsi="Arial"/>
          <w:sz w:val="14"/>
          <w:szCs w:val="14"/>
          <w:color w:val="auto"/>
        </w:rPr>
        <w:t>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7"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p>
    <w:p>
      <w:pPr>
        <w:spacing w:after="0" w:line="167"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FOR THE QUARTERLY PERIOD ENDED March 31, 2020</w:t>
      </w:r>
    </w:p>
    <w:p>
      <w:pPr>
        <w:spacing w:after="0" w:line="18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814-00852</w:t>
      </w:r>
    </w:p>
    <w:p>
      <w:pPr>
        <w:spacing w:after="0" w:line="11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Sutter Rock Capital Corp.</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5"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____________________________</w:t>
      </w:r>
    </w:p>
    <w:p>
      <w:pPr>
        <w:spacing w:after="0" w:line="169" w:lineRule="exact"/>
        <w:rPr>
          <w:sz w:val="24"/>
          <w:szCs w:val="24"/>
          <w:color w:val="auto"/>
        </w:rPr>
      </w:pPr>
    </w:p>
    <w:tbl>
      <w:tblPr>
        <w:tblLayout w:type="fixed"/>
        <w:tblInd w:w="1080" w:type="dxa"/>
        <w:tblCellMar>
          <w:top w:w="0" w:type="dxa"/>
          <w:left w:w="0" w:type="dxa"/>
          <w:bottom w:w="0" w:type="dxa"/>
          <w:right w:w="0" w:type="dxa"/>
        </w:tblCellMar>
      </w:tblPr>
      <w:tr>
        <w:trPr>
          <w:trHeight w:val="210"/>
        </w:trPr>
        <w:tc>
          <w:tcPr>
            <w:tcW w:w="6180" w:type="dxa"/>
            <w:vAlign w:val="bottom"/>
          </w:tcPr>
          <w:p>
            <w:pPr>
              <w:jc w:val="center"/>
              <w:ind w:right="2644"/>
              <w:spacing w:after="0"/>
              <w:rPr>
                <w:sz w:val="20"/>
                <w:szCs w:val="20"/>
                <w:color w:val="auto"/>
              </w:rPr>
            </w:pPr>
            <w:r>
              <w:rPr>
                <w:rFonts w:ascii="Arial" w:cs="Arial" w:eastAsia="Arial" w:hAnsi="Arial"/>
                <w:sz w:val="16"/>
                <w:szCs w:val="16"/>
                <w:b w:val="1"/>
                <w:bCs w:val="1"/>
                <w:color w:val="auto"/>
                <w:w w:val="99"/>
              </w:rPr>
              <w:t>Maryland</w:t>
            </w:r>
          </w:p>
        </w:tc>
        <w:tc>
          <w:tcPr>
            <w:tcW w:w="2220" w:type="dxa"/>
            <w:vAlign w:val="bottom"/>
          </w:tcPr>
          <w:p>
            <w:pPr>
              <w:jc w:val="right"/>
              <w:ind w:right="584"/>
              <w:spacing w:after="0"/>
              <w:rPr>
                <w:sz w:val="20"/>
                <w:szCs w:val="20"/>
                <w:color w:val="auto"/>
              </w:rPr>
            </w:pPr>
            <w:r>
              <w:rPr>
                <w:rFonts w:ascii="Arial" w:cs="Arial" w:eastAsia="Arial" w:hAnsi="Arial"/>
                <w:sz w:val="16"/>
                <w:szCs w:val="16"/>
                <w:b w:val="1"/>
                <w:bCs w:val="1"/>
                <w:color w:val="auto"/>
              </w:rPr>
              <w:t>27-4443543</w:t>
            </w:r>
          </w:p>
        </w:tc>
      </w:tr>
      <w:tr>
        <w:trPr>
          <w:trHeight w:val="223"/>
        </w:trPr>
        <w:tc>
          <w:tcPr>
            <w:tcW w:w="6180" w:type="dxa"/>
            <w:vAlign w:val="bottom"/>
          </w:tcPr>
          <w:p>
            <w:pPr>
              <w:jc w:val="center"/>
              <w:ind w:right="2624"/>
              <w:spacing w:after="0"/>
              <w:rPr>
                <w:sz w:val="20"/>
                <w:szCs w:val="20"/>
                <w:color w:val="auto"/>
              </w:rPr>
            </w:pPr>
            <w:r>
              <w:rPr>
                <w:rFonts w:ascii="Arial" w:cs="Arial" w:eastAsia="Arial" w:hAnsi="Arial"/>
                <w:sz w:val="14"/>
                <w:szCs w:val="14"/>
                <w:color w:val="auto"/>
                <w:w w:val="95"/>
              </w:rPr>
              <w:t>(State of incorporation)</w:t>
            </w:r>
          </w:p>
        </w:tc>
        <w:tc>
          <w:tcPr>
            <w:tcW w:w="2220" w:type="dxa"/>
            <w:vAlign w:val="bottom"/>
          </w:tcPr>
          <w:p>
            <w:pPr>
              <w:jc w:val="center"/>
              <w:ind w:left="44"/>
              <w:spacing w:after="0"/>
              <w:rPr>
                <w:sz w:val="20"/>
                <w:szCs w:val="20"/>
                <w:color w:val="auto"/>
              </w:rPr>
            </w:pPr>
            <w:r>
              <w:rPr>
                <w:rFonts w:ascii="Arial" w:cs="Arial" w:eastAsia="Arial" w:hAnsi="Arial"/>
                <w:sz w:val="14"/>
                <w:szCs w:val="14"/>
                <w:color w:val="auto"/>
                <w:w w:val="97"/>
              </w:rPr>
              <w:t>(I.R.S. Employer Identification No.)</w:t>
            </w:r>
          </w:p>
        </w:tc>
      </w:tr>
      <w:tr>
        <w:trPr>
          <w:trHeight w:val="236"/>
        </w:trPr>
        <w:tc>
          <w:tcPr>
            <w:tcW w:w="6180" w:type="dxa"/>
            <w:vAlign w:val="bottom"/>
          </w:tcPr>
          <w:p>
            <w:pPr>
              <w:jc w:val="center"/>
              <w:ind w:right="2624"/>
              <w:spacing w:after="0"/>
              <w:rPr>
                <w:sz w:val="20"/>
                <w:szCs w:val="20"/>
                <w:color w:val="auto"/>
              </w:rPr>
            </w:pPr>
            <w:r>
              <w:rPr>
                <w:rFonts w:ascii="Arial" w:cs="Arial" w:eastAsia="Arial" w:hAnsi="Arial"/>
                <w:sz w:val="16"/>
                <w:szCs w:val="16"/>
                <w:b w:val="1"/>
                <w:bCs w:val="1"/>
                <w:color w:val="auto"/>
                <w:w w:val="90"/>
              </w:rPr>
              <w:t>One Sansome Street, Suite 730, San Francisco, CA</w:t>
            </w:r>
          </w:p>
        </w:tc>
        <w:tc>
          <w:tcPr>
            <w:tcW w:w="2220" w:type="dxa"/>
            <w:vAlign w:val="bottom"/>
          </w:tcPr>
          <w:p>
            <w:pPr>
              <w:jc w:val="right"/>
              <w:ind w:right="764"/>
              <w:spacing w:after="0"/>
              <w:rPr>
                <w:sz w:val="20"/>
                <w:szCs w:val="20"/>
                <w:color w:val="auto"/>
              </w:rPr>
            </w:pPr>
            <w:r>
              <w:rPr>
                <w:rFonts w:ascii="Arial" w:cs="Arial" w:eastAsia="Arial" w:hAnsi="Arial"/>
                <w:sz w:val="16"/>
                <w:szCs w:val="16"/>
                <w:b w:val="1"/>
                <w:bCs w:val="1"/>
                <w:color w:val="auto"/>
              </w:rPr>
              <w:t>94104</w:t>
            </w:r>
          </w:p>
        </w:tc>
      </w:tr>
      <w:tr>
        <w:trPr>
          <w:trHeight w:val="223"/>
        </w:trPr>
        <w:tc>
          <w:tcPr>
            <w:tcW w:w="6180" w:type="dxa"/>
            <w:vAlign w:val="bottom"/>
          </w:tcPr>
          <w:p>
            <w:pPr>
              <w:jc w:val="center"/>
              <w:ind w:right="2624"/>
              <w:spacing w:after="0"/>
              <w:rPr>
                <w:sz w:val="20"/>
                <w:szCs w:val="20"/>
                <w:color w:val="auto"/>
              </w:rPr>
            </w:pPr>
            <w:r>
              <w:rPr>
                <w:rFonts w:ascii="Arial" w:cs="Arial" w:eastAsia="Arial" w:hAnsi="Arial"/>
                <w:sz w:val="14"/>
                <w:szCs w:val="14"/>
                <w:color w:val="auto"/>
                <w:w w:val="95"/>
              </w:rPr>
              <w:t>(Address of principal executive offices)</w:t>
            </w:r>
          </w:p>
        </w:tc>
        <w:tc>
          <w:tcPr>
            <w:tcW w:w="2220" w:type="dxa"/>
            <w:vAlign w:val="bottom"/>
          </w:tcPr>
          <w:p>
            <w:pPr>
              <w:jc w:val="center"/>
              <w:ind w:left="44"/>
              <w:spacing w:after="0"/>
              <w:rPr>
                <w:sz w:val="20"/>
                <w:szCs w:val="20"/>
                <w:color w:val="auto"/>
              </w:rPr>
            </w:pPr>
            <w:r>
              <w:rPr>
                <w:rFonts w:ascii="Arial" w:cs="Arial" w:eastAsia="Arial" w:hAnsi="Arial"/>
                <w:sz w:val="14"/>
                <w:szCs w:val="14"/>
                <w:color w:val="auto"/>
                <w:w w:val="93"/>
              </w:rPr>
              <w:t>(Zip Code)</w:t>
            </w:r>
          </w:p>
        </w:tc>
      </w:tr>
      <w:tr>
        <w:trPr>
          <w:trHeight w:val="357"/>
        </w:trPr>
        <w:tc>
          <w:tcPr>
            <w:tcW w:w="6180" w:type="dxa"/>
            <w:vAlign w:val="bottom"/>
          </w:tcPr>
          <w:p>
            <w:pPr>
              <w:jc w:val="right"/>
              <w:ind w:right="1044"/>
              <w:spacing w:after="0"/>
              <w:rPr>
                <w:sz w:val="20"/>
                <w:szCs w:val="20"/>
                <w:color w:val="auto"/>
              </w:rPr>
            </w:pPr>
            <w:r>
              <w:rPr>
                <w:rFonts w:ascii="Arial" w:cs="Arial" w:eastAsia="Arial" w:hAnsi="Arial"/>
                <w:sz w:val="16"/>
                <w:szCs w:val="16"/>
                <w:b w:val="1"/>
                <w:bCs w:val="1"/>
                <w:color w:val="auto"/>
              </w:rPr>
              <w:t>(650) 235-4769</w:t>
            </w:r>
          </w:p>
        </w:tc>
        <w:tc>
          <w:tcPr>
            <w:tcW w:w="2220" w:type="dxa"/>
            <w:vAlign w:val="bottom"/>
          </w:tcPr>
          <w:p>
            <w:pPr>
              <w:spacing w:after="0"/>
              <w:rPr>
                <w:sz w:val="24"/>
                <w:szCs w:val="24"/>
                <w:color w:val="auto"/>
              </w:rPr>
            </w:pPr>
          </w:p>
        </w:tc>
      </w:tr>
      <w:tr>
        <w:trPr>
          <w:trHeight w:val="223"/>
        </w:trPr>
        <w:tc>
          <w:tcPr>
            <w:tcW w:w="6180" w:type="dxa"/>
            <w:vAlign w:val="bottom"/>
          </w:tcPr>
          <w:p>
            <w:pPr>
              <w:jc w:val="center"/>
              <w:ind w:left="2824"/>
              <w:spacing w:after="0"/>
              <w:rPr>
                <w:sz w:val="20"/>
                <w:szCs w:val="20"/>
                <w:color w:val="auto"/>
              </w:rPr>
            </w:pPr>
            <w:r>
              <w:rPr>
                <w:rFonts w:ascii="Arial" w:cs="Arial" w:eastAsia="Arial" w:hAnsi="Arial"/>
                <w:sz w:val="14"/>
                <w:szCs w:val="14"/>
                <w:color w:val="auto"/>
                <w:w w:val="92"/>
              </w:rPr>
              <w:t>(Registrant’s telephone number, including area code)</w:t>
            </w:r>
          </w:p>
        </w:tc>
        <w:tc>
          <w:tcPr>
            <w:tcW w:w="2220" w:type="dxa"/>
            <w:vAlign w:val="bottom"/>
          </w:tcPr>
          <w:p>
            <w:pPr>
              <w:spacing w:after="0"/>
              <w:rPr>
                <w:sz w:val="19"/>
                <w:szCs w:val="19"/>
                <w:color w:val="auto"/>
              </w:rPr>
            </w:pP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20" w:type="dxa"/>
            <w:vAlign w:val="bottom"/>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00" w:type="dxa"/>
            <w:vAlign w:val="bottom"/>
          </w:tcPr>
          <w:p>
            <w:pPr>
              <w:spacing w:after="0"/>
              <w:rPr>
                <w:sz w:val="16"/>
                <w:szCs w:val="16"/>
                <w:color w:val="auto"/>
              </w:rPr>
            </w:pPr>
          </w:p>
        </w:tc>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36"/>
        </w:trPr>
        <w:tc>
          <w:tcPr>
            <w:tcW w:w="42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Common Stock, par value $0.01 per share</w:t>
            </w:r>
          </w:p>
        </w:tc>
        <w:tc>
          <w:tcPr>
            <w:tcW w:w="2580" w:type="dxa"/>
            <w:vAlign w:val="bottom"/>
            <w:gridSpan w:val="2"/>
          </w:tcPr>
          <w:p>
            <w:pPr>
              <w:jc w:val="center"/>
              <w:ind w:right="100"/>
              <w:spacing w:after="0"/>
              <w:rPr>
                <w:sz w:val="20"/>
                <w:szCs w:val="20"/>
                <w:color w:val="auto"/>
              </w:rPr>
            </w:pPr>
            <w:r>
              <w:rPr>
                <w:rFonts w:ascii="Arial" w:cs="Arial" w:eastAsia="Arial" w:hAnsi="Arial"/>
                <w:sz w:val="16"/>
                <w:szCs w:val="16"/>
                <w:color w:val="auto"/>
                <w:w w:val="84"/>
              </w:rPr>
              <w:t>SSSS</w:t>
            </w:r>
          </w:p>
        </w:tc>
        <w:tc>
          <w:tcPr>
            <w:tcW w:w="4380" w:type="dxa"/>
            <w:vAlign w:val="bottom"/>
          </w:tcPr>
          <w:p>
            <w:pPr>
              <w:jc w:val="center"/>
              <w:spacing w:after="0"/>
              <w:rPr>
                <w:sz w:val="20"/>
                <w:szCs w:val="20"/>
                <w:color w:val="auto"/>
              </w:rPr>
            </w:pPr>
            <w:r>
              <w:rPr>
                <w:rFonts w:ascii="Arial" w:cs="Arial" w:eastAsia="Arial" w:hAnsi="Arial"/>
                <w:sz w:val="16"/>
                <w:szCs w:val="16"/>
                <w:color w:val="auto"/>
                <w:w w:val="92"/>
              </w:rPr>
              <w:t>Nasdaq Capital Market</w:t>
            </w:r>
          </w:p>
        </w:tc>
      </w:tr>
    </w:tbl>
    <w:p>
      <w:pPr>
        <w:spacing w:after="0" w:line="212" w:lineRule="exact"/>
        <w:rPr>
          <w:sz w:val="24"/>
          <w:szCs w:val="24"/>
          <w:color w:val="auto"/>
        </w:rPr>
      </w:pPr>
    </w:p>
    <w:p>
      <w:pPr>
        <w:ind w:right="40" w:firstLine="351"/>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56" w:lineRule="exact"/>
        <w:rPr>
          <w:sz w:val="24"/>
          <w:szCs w:val="24"/>
          <w:color w:val="auto"/>
        </w:rPr>
      </w:pPr>
    </w:p>
    <w:p>
      <w:pPr>
        <w:ind w:right="60" w:firstLine="351"/>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55" w:lineRule="exact"/>
        <w:rPr>
          <w:sz w:val="24"/>
          <w:szCs w:val="24"/>
          <w:color w:val="auto"/>
        </w:rPr>
      </w:pPr>
    </w:p>
    <w:p>
      <w:pPr>
        <w:ind w:right="20" w:firstLine="351"/>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29" w:lineRule="exact"/>
        <w:rPr>
          <w:sz w:val="24"/>
          <w:szCs w:val="24"/>
          <w:color w:val="auto"/>
        </w:rPr>
      </w:pPr>
    </w:p>
    <w:p>
      <w:pPr>
        <w:ind w:left="36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x</w:t>
      </w:r>
    </w:p>
    <w:p>
      <w:pPr>
        <w:spacing w:after="0" w:line="84" w:lineRule="exact"/>
        <w:rPr>
          <w:sz w:val="24"/>
          <w:szCs w:val="24"/>
          <w:color w:val="auto"/>
        </w:rPr>
      </w:pPr>
    </w:p>
    <w:p>
      <w:pPr>
        <w:sectPr>
          <w:pgSz w:w="11900" w:h="16838" w:orient="portrait"/>
          <w:cols w:equalWidth="0" w:num="2">
            <w:col w:w="7080" w:space="720"/>
            <w:col w:w="344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96" w:lineRule="exact"/>
        <w:rPr>
          <w:sz w:val="24"/>
          <w:szCs w:val="24"/>
          <w:color w:val="auto"/>
        </w:rPr>
      </w:pPr>
    </w:p>
    <w:p>
      <w:pPr>
        <w:sectPr>
          <w:pgSz w:w="11900" w:h="16838" w:orient="portrait"/>
          <w:cols w:equalWidth="0" w:num="2">
            <w:col w:w="7080" w:space="720"/>
            <w:col w:w="344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240"/>
          </w:cols>
          <w:pgMar w:left="320" w:top="229" w:right="339" w:bottom="1440" w:gutter="0" w:footer="0" w:header="0"/>
          <w:type w:val="continuous"/>
        </w:sectPr>
      </w:pPr>
    </w:p>
    <w:p>
      <w:pPr>
        <w:spacing w:after="0" w:line="69" w:lineRule="exact"/>
        <w:rPr>
          <w:sz w:val="24"/>
          <w:szCs w:val="24"/>
          <w:color w:val="auto"/>
        </w:rPr>
      </w:pPr>
    </w:p>
    <w:p>
      <w:pPr>
        <w:ind w:right="240" w:firstLine="351"/>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5" w:lineRule="exact"/>
        <w:rPr>
          <w:sz w:val="24"/>
          <w:szCs w:val="24"/>
          <w:color w:val="auto"/>
        </w:r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2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The issuer had 16,279,679 shares of common stock, $0.01 par value per share, outstanding as of May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SUTTER ROCK CAPITAL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1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76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50"/>
        </w:trPr>
        <w:tc>
          <w:tcPr>
            <w:tcW w:w="105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PART I. FINANCIAL INFORMATION</w:t>
            </w: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1140" w:type="dxa"/>
            <w:vAlign w:val="bottom"/>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Financial Statements</w:t>
              </w:r>
            </w:hyperlink>
          </w:p>
        </w:tc>
        <w:tc>
          <w:tcPr>
            <w:tcW w:w="66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7"/>
        </w:trPr>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spacing w:after="0"/>
              <w:rPr>
                <w:sz w:val="21"/>
                <w:szCs w:val="21"/>
                <w:color w:val="auto"/>
              </w:rPr>
            </w:pPr>
          </w:p>
        </w:tc>
        <w:tc>
          <w:tcPr>
            <w:tcW w:w="938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w w:val="97"/>
              </w:rPr>
            </w:pPr>
            <w:hyperlink w:anchor="page3">
              <w:r>
                <w:rPr>
                  <w:rFonts w:ascii="Arial" w:cs="Arial" w:eastAsia="Arial" w:hAnsi="Arial"/>
                  <w:sz w:val="18"/>
                  <w:szCs w:val="18"/>
                  <w:u w:val="single" w:color="auto"/>
                  <w:color w:val="0000EE"/>
                  <w:w w:val="97"/>
                </w:rPr>
                <w:t>Condensed Consolidated Statements of Assets and Liabilities as of March 31, 2020 (Unaudited) and December 31, 2019</w:t>
              </w:r>
            </w:hyperlink>
          </w:p>
        </w:tc>
        <w:tc>
          <w:tcPr>
            <w:tcW w:w="6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r>
      <w:tr>
        <w:trPr>
          <w:trHeight w:val="243"/>
        </w:trPr>
        <w:tc>
          <w:tcPr>
            <w:tcW w:w="1140" w:type="dxa"/>
            <w:vAlign w:val="bottom"/>
          </w:tcPr>
          <w:p>
            <w:pPr>
              <w:spacing w:after="0"/>
              <w:rPr>
                <w:sz w:val="21"/>
                <w:szCs w:val="21"/>
                <w:color w:val="auto"/>
              </w:rPr>
            </w:pPr>
          </w:p>
        </w:tc>
        <w:tc>
          <w:tcPr>
            <w:tcW w:w="9380" w:type="dxa"/>
            <w:vAlign w:val="bottom"/>
            <w:gridSpan w:val="3"/>
          </w:tcPr>
          <w:p>
            <w:pPr>
              <w:spacing w:after="0"/>
              <w:rPr>
                <w:rFonts w:ascii="Arial" w:cs="Arial" w:eastAsia="Arial" w:hAnsi="Arial"/>
                <w:sz w:val="18"/>
                <w:szCs w:val="18"/>
                <w:u w:val="single" w:color="auto"/>
                <w:color w:val="0000EE"/>
                <w:w w:val="98"/>
              </w:rPr>
            </w:pPr>
            <w:hyperlink w:anchor="page4">
              <w:r>
                <w:rPr>
                  <w:rFonts w:ascii="Arial" w:cs="Arial" w:eastAsia="Arial" w:hAnsi="Arial"/>
                  <w:sz w:val="18"/>
                  <w:szCs w:val="18"/>
                  <w:u w:val="single" w:color="auto"/>
                  <w:color w:val="0000EE"/>
                  <w:w w:val="98"/>
                </w:rPr>
                <w:t>Condensed Consolidated Statements of Operations for the Three Months Ended March 31, 2020 and 2019 (Unaudited)</w:t>
              </w:r>
            </w:hyperlink>
          </w:p>
        </w:tc>
        <w:tc>
          <w:tcPr>
            <w:tcW w:w="66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27"/>
        </w:trPr>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02"/>
        </w:trPr>
        <w:tc>
          <w:tcPr>
            <w:tcW w:w="1140" w:type="dxa"/>
            <w:vAlign w:val="bottom"/>
            <w:tcBorders>
              <w:bottom w:val="single" w:sz="8" w:color="CCEEFF"/>
            </w:tcBorders>
            <w:shd w:val="clear" w:color="auto" w:fill="CCEEFF"/>
          </w:tcPr>
          <w:p>
            <w:pPr>
              <w:spacing w:after="0"/>
              <w:rPr>
                <w:sz w:val="17"/>
                <w:szCs w:val="17"/>
                <w:color w:val="auto"/>
              </w:rPr>
            </w:pPr>
          </w:p>
        </w:tc>
        <w:tc>
          <w:tcPr>
            <w:tcW w:w="84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Changes in Net Assets for the Three Months Ended March 31, 2020 and 2019</w:t>
              </w:r>
            </w:hyperlink>
          </w:p>
        </w:tc>
        <w:tc>
          <w:tcPr>
            <w:tcW w:w="9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r>
      <w:tr>
        <w:trPr>
          <w:trHeight w:val="244"/>
        </w:trPr>
        <w:tc>
          <w:tcPr>
            <w:tcW w:w="1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0000EE"/>
            </w:tcBorders>
            <w:shd w:val="clear" w:color="auto" w:fill="CCEEFF"/>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w:t>
              </w:r>
            </w:hyperlink>
          </w:p>
        </w:tc>
        <w:tc>
          <w:tcPr>
            <w:tcW w:w="8500" w:type="dxa"/>
            <w:vAlign w:val="bottom"/>
            <w:tcBorders>
              <w:bottom w:val="single" w:sz="8" w:color="CCEEFF"/>
            </w:tcBorders>
            <w:gridSpan w:val="2"/>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line="196"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43"/>
        </w:trPr>
        <w:tc>
          <w:tcPr>
            <w:tcW w:w="1140" w:type="dxa"/>
            <w:vAlign w:val="bottom"/>
          </w:tcPr>
          <w:p>
            <w:pPr>
              <w:spacing w:after="0"/>
              <w:rPr>
                <w:sz w:val="21"/>
                <w:szCs w:val="21"/>
                <w:color w:val="auto"/>
              </w:rPr>
            </w:pPr>
          </w:p>
        </w:tc>
        <w:tc>
          <w:tcPr>
            <w:tcW w:w="9380" w:type="dxa"/>
            <w:vAlign w:val="bottom"/>
            <w:gridSpan w:val="3"/>
          </w:tcPr>
          <w:p>
            <w:pPr>
              <w:spacing w:after="0"/>
              <w:rPr>
                <w:rFonts w:ascii="Arial" w:cs="Arial" w:eastAsia="Arial" w:hAnsi="Arial"/>
                <w:sz w:val="18"/>
                <w:szCs w:val="18"/>
                <w:u w:val="single" w:color="auto"/>
                <w:color w:val="0000EE"/>
                <w:w w:val="97"/>
              </w:rPr>
            </w:pPr>
            <w:hyperlink w:anchor="page6">
              <w:r>
                <w:rPr>
                  <w:rFonts w:ascii="Arial" w:cs="Arial" w:eastAsia="Arial" w:hAnsi="Arial"/>
                  <w:sz w:val="18"/>
                  <w:szCs w:val="18"/>
                  <w:u w:val="single" w:color="auto"/>
                  <w:color w:val="0000EE"/>
                  <w:w w:val="97"/>
                </w:rPr>
                <w:t>Condensed Consolidated Statements of Cash Flows for the Three Months Ended March 31, 2020 and 2019 (Unaudited)</w:t>
              </w:r>
            </w:hyperlink>
          </w:p>
        </w:tc>
        <w:tc>
          <w:tcPr>
            <w:tcW w:w="66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7"/>
        </w:trPr>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spacing w:after="0"/>
              <w:rPr>
                <w:sz w:val="21"/>
                <w:szCs w:val="21"/>
                <w:color w:val="auto"/>
              </w:rPr>
            </w:pPr>
          </w:p>
        </w:tc>
        <w:tc>
          <w:tcPr>
            <w:tcW w:w="938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Schedule of Investments as of March 31, 2020 (Unaudited)</w:t>
              </w:r>
            </w:hyperlink>
          </w:p>
        </w:tc>
        <w:tc>
          <w:tcPr>
            <w:tcW w:w="6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243"/>
        </w:trPr>
        <w:tc>
          <w:tcPr>
            <w:tcW w:w="1140" w:type="dxa"/>
            <w:vAlign w:val="bottom"/>
          </w:tcPr>
          <w:p>
            <w:pPr>
              <w:spacing w:after="0"/>
              <w:rPr>
                <w:sz w:val="21"/>
                <w:szCs w:val="21"/>
                <w:color w:val="auto"/>
              </w:rPr>
            </w:pPr>
          </w:p>
        </w:tc>
        <w:tc>
          <w:tcPr>
            <w:tcW w:w="9380" w:type="dxa"/>
            <w:vAlign w:val="bottom"/>
            <w:gridSpan w:val="3"/>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Condensed Consolidated Schedule of Investments as of December 31, 2019</w:t>
              </w:r>
            </w:hyperlink>
          </w:p>
        </w:tc>
        <w:tc>
          <w:tcPr>
            <w:tcW w:w="66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9</w:t>
              </w:r>
            </w:hyperlink>
          </w:p>
        </w:tc>
      </w:tr>
      <w:tr>
        <w:trPr>
          <w:trHeight w:val="27"/>
        </w:trPr>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spacing w:after="0"/>
              <w:rPr>
                <w:sz w:val="21"/>
                <w:szCs w:val="21"/>
                <w:color w:val="auto"/>
              </w:rPr>
            </w:pPr>
          </w:p>
        </w:tc>
        <w:tc>
          <w:tcPr>
            <w:tcW w:w="938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Notes to Condensed Consolidated Financial Statements as of March 31, 2020 (Unaudited)</w:t>
              </w:r>
            </w:hyperlink>
          </w:p>
        </w:tc>
        <w:tc>
          <w:tcPr>
            <w:tcW w:w="6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13</w:t>
              </w:r>
            </w:hyperlink>
          </w:p>
        </w:tc>
      </w:tr>
      <w:tr>
        <w:trPr>
          <w:trHeight w:val="243"/>
        </w:trPr>
        <w:tc>
          <w:tcPr>
            <w:tcW w:w="1140" w:type="dxa"/>
            <w:vAlign w:val="bottom"/>
          </w:tcPr>
          <w:p>
            <w:pPr>
              <w:ind w:left="2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2.</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Management’s Discussion and Analysis of Financial Condition and Results of Operations</w:t>
              </w:r>
            </w:hyperlink>
          </w:p>
        </w:tc>
        <w:tc>
          <w:tcPr>
            <w:tcW w:w="66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54</w:t>
              </w:r>
            </w:hyperlink>
          </w:p>
        </w:tc>
      </w:tr>
      <w:tr>
        <w:trPr>
          <w:trHeight w:val="27"/>
        </w:trPr>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3.</w:t>
              </w:r>
            </w:hyperlink>
          </w:p>
        </w:tc>
        <w:tc>
          <w:tcPr>
            <w:tcW w:w="938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Quantitative and Qualitative Disclosures About Market Risk</w:t>
              </w:r>
            </w:hyperlink>
          </w:p>
        </w:tc>
        <w:tc>
          <w:tcPr>
            <w:tcW w:w="6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64</w:t>
              </w:r>
            </w:hyperlink>
          </w:p>
        </w:tc>
      </w:tr>
      <w:tr>
        <w:trPr>
          <w:trHeight w:val="243"/>
        </w:trPr>
        <w:tc>
          <w:tcPr>
            <w:tcW w:w="1140" w:type="dxa"/>
            <w:vAlign w:val="bottom"/>
          </w:tcPr>
          <w:p>
            <w:pPr>
              <w:ind w:left="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4.</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Controls and Procedures</w:t>
              </w:r>
            </w:hyperlink>
          </w:p>
        </w:tc>
        <w:tc>
          <w:tcPr>
            <w:tcW w:w="660" w:type="dxa"/>
            <w:vAlign w:val="bottom"/>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64</w:t>
              </w:r>
            </w:hyperlink>
          </w:p>
        </w:tc>
      </w:tr>
      <w:tr>
        <w:trPr>
          <w:trHeight w:val="27"/>
        </w:trPr>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64"/>
        </w:trPr>
        <w:tc>
          <w:tcPr>
            <w:tcW w:w="105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PART II. OTHER INFORMATION</w:t>
            </w:r>
          </w:p>
        </w:tc>
        <w:tc>
          <w:tcPr>
            <w:tcW w:w="660" w:type="dxa"/>
            <w:vAlign w:val="bottom"/>
            <w:tcBorders>
              <w:bottom w:val="single" w:sz="8" w:color="CCEEFF"/>
            </w:tcBorders>
            <w:shd w:val="clear" w:color="auto" w:fill="CCEEFF"/>
          </w:tcPr>
          <w:p>
            <w:pPr>
              <w:spacing w:after="0"/>
              <w:rPr>
                <w:sz w:val="22"/>
                <w:szCs w:val="22"/>
                <w:color w:val="auto"/>
              </w:rPr>
            </w:pPr>
          </w:p>
        </w:tc>
      </w:tr>
      <w:tr>
        <w:trPr>
          <w:trHeight w:val="243"/>
        </w:trPr>
        <w:tc>
          <w:tcPr>
            <w:tcW w:w="1140" w:type="dxa"/>
            <w:vAlign w:val="bottom"/>
          </w:tcPr>
          <w:p>
            <w:pPr>
              <w:ind w:left="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Item 1.</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Legal Proceedings</w:t>
              </w:r>
            </w:hyperlink>
          </w:p>
        </w:tc>
        <w:tc>
          <w:tcPr>
            <w:tcW w:w="660" w:type="dxa"/>
            <w:vAlign w:val="bottom"/>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65</w:t>
              </w:r>
            </w:hyperlink>
          </w:p>
        </w:tc>
      </w:tr>
      <w:tr>
        <w:trPr>
          <w:trHeight w:val="27"/>
        </w:trPr>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rFonts w:ascii="Arial" w:cs="Arial" w:eastAsia="Arial" w:hAnsi="Arial"/>
                <w:sz w:val="18"/>
                <w:szCs w:val="18"/>
                <w:color w:val="0000EE"/>
              </w:rPr>
            </w:pPr>
            <w:hyperlink w:anchor="page67">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38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Risk Factors</w:t>
              </w:r>
            </w:hyperlink>
          </w:p>
        </w:tc>
        <w:tc>
          <w:tcPr>
            <w:tcW w:w="6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65</w:t>
              </w:r>
            </w:hyperlink>
          </w:p>
        </w:tc>
      </w:tr>
      <w:tr>
        <w:trPr>
          <w:trHeight w:val="243"/>
        </w:trPr>
        <w:tc>
          <w:tcPr>
            <w:tcW w:w="1140" w:type="dxa"/>
            <w:vAlign w:val="bottom"/>
          </w:tcPr>
          <w:p>
            <w:pPr>
              <w:ind w:left="2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Item 2.</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Unregistered Sales of Equity Securities and Use of Proceeds</w:t>
              </w:r>
            </w:hyperlink>
          </w:p>
        </w:tc>
        <w:tc>
          <w:tcPr>
            <w:tcW w:w="660" w:type="dxa"/>
            <w:vAlign w:val="bottom"/>
          </w:tcPr>
          <w:p>
            <w:pPr>
              <w:jc w:val="right"/>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66</w:t>
              </w:r>
            </w:hyperlink>
          </w:p>
        </w:tc>
      </w:tr>
      <w:tr>
        <w:trPr>
          <w:trHeight w:val="27"/>
        </w:trPr>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3.</w:t>
              </w:r>
            </w:hyperlink>
          </w:p>
        </w:tc>
        <w:tc>
          <w:tcPr>
            <w:tcW w:w="938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Defaults Upon Senior Securities</w:t>
              </w:r>
            </w:hyperlink>
          </w:p>
        </w:tc>
        <w:tc>
          <w:tcPr>
            <w:tcW w:w="6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68</w:t>
              </w:r>
            </w:hyperlink>
          </w:p>
        </w:tc>
      </w:tr>
      <w:tr>
        <w:trPr>
          <w:trHeight w:val="243"/>
        </w:trPr>
        <w:tc>
          <w:tcPr>
            <w:tcW w:w="1140" w:type="dxa"/>
            <w:vAlign w:val="bottom"/>
          </w:tcPr>
          <w:p>
            <w:pPr>
              <w:ind w:left="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4.</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Mine Safety Disclosures</w:t>
              </w:r>
            </w:hyperlink>
          </w:p>
        </w:tc>
        <w:tc>
          <w:tcPr>
            <w:tcW w:w="660" w:type="dxa"/>
            <w:vAlign w:val="bottom"/>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68</w:t>
              </w:r>
            </w:hyperlink>
          </w:p>
        </w:tc>
      </w:tr>
      <w:tr>
        <w:trPr>
          <w:trHeight w:val="27"/>
        </w:trPr>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114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5.</w:t>
              </w:r>
            </w:hyperlink>
          </w:p>
        </w:tc>
        <w:tc>
          <w:tcPr>
            <w:tcW w:w="938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Other Information</w:t>
              </w:r>
            </w:hyperlink>
          </w:p>
        </w:tc>
        <w:tc>
          <w:tcPr>
            <w:tcW w:w="660" w:type="dxa"/>
            <w:vAlign w:val="bottom"/>
            <w:tcBorders>
              <w:bottom w:val="single" w:sz="8" w:color="CCEEFF"/>
            </w:tcBorders>
            <w:shd w:val="clear" w:color="auto" w:fill="CCEEFF"/>
          </w:tcPr>
          <w:p>
            <w:pPr>
              <w:jc w:val="right"/>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68</w:t>
              </w:r>
            </w:hyperlink>
          </w:p>
        </w:tc>
      </w:tr>
      <w:tr>
        <w:trPr>
          <w:trHeight w:val="243"/>
        </w:trPr>
        <w:tc>
          <w:tcPr>
            <w:tcW w:w="1140" w:type="dxa"/>
            <w:vAlign w:val="bottom"/>
          </w:tcPr>
          <w:p>
            <w:pPr>
              <w:ind w:left="2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Item 6.</w:t>
              </w:r>
            </w:hyperlink>
          </w:p>
        </w:tc>
        <w:tc>
          <w:tcPr>
            <w:tcW w:w="9380" w:type="dxa"/>
            <w:vAlign w:val="bottom"/>
            <w:gridSpan w:val="3"/>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Exhibits</w:t>
              </w:r>
            </w:hyperlink>
          </w:p>
        </w:tc>
        <w:tc>
          <w:tcPr>
            <w:tcW w:w="660" w:type="dxa"/>
            <w:vAlign w:val="bottom"/>
          </w:tcPr>
          <w:p>
            <w:pPr>
              <w:jc w:val="right"/>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69</w:t>
              </w:r>
            </w:hyperlink>
          </w:p>
        </w:tc>
      </w:tr>
      <w:tr>
        <w:trPr>
          <w:trHeight w:val="27"/>
        </w:trPr>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1140" w:type="dxa"/>
            <w:vAlign w:val="bottom"/>
            <w:shd w:val="clear" w:color="auto" w:fill="CCEEFF"/>
          </w:tcPr>
          <w:p>
            <w:pPr>
              <w:ind w:left="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Signatures</w:t>
              </w:r>
            </w:hyperlink>
          </w:p>
        </w:tc>
        <w:tc>
          <w:tcPr>
            <w:tcW w:w="880" w:type="dxa"/>
            <w:vAlign w:val="bottom"/>
            <w:shd w:val="clear" w:color="auto" w:fill="CCEEFF"/>
          </w:tcPr>
          <w:p>
            <w:pPr>
              <w:spacing w:after="0"/>
              <w:rPr>
                <w:sz w:val="21"/>
                <w:szCs w:val="21"/>
                <w:color w:val="auto"/>
              </w:rPr>
            </w:pPr>
          </w:p>
        </w:tc>
        <w:tc>
          <w:tcPr>
            <w:tcW w:w="76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70</w:t>
              </w:r>
            </w:hyperlink>
          </w:p>
        </w:tc>
      </w:tr>
      <w:tr>
        <w:trPr>
          <w:trHeight w:val="27"/>
        </w:trPr>
        <w:tc>
          <w:tcPr>
            <w:tcW w:w="1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6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-1551305</wp:posOffset>
            </wp:positionV>
            <wp:extent cx="66776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-3754120</wp:posOffset>
            </wp:positionV>
            <wp:extent cx="6677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ASSETS AND LIABILITIES (UNAUDITED)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2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Investments at fair value:</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Non-controlled/non-affiliate investments (cost of $86,566,059 and $90,567,041, respectively)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131,324,194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152,866,112</w:t>
            </w:r>
          </w:p>
        </w:tc>
        <w:tc>
          <w:tcPr>
            <w:tcW w:w="0" w:type="dxa"/>
            <w:vAlign w:val="bottom"/>
          </w:tcPr>
          <w:p>
            <w:pPr>
              <w:spacing w:after="0"/>
              <w:rPr>
                <w:sz w:val="1"/>
                <w:szCs w:val="1"/>
                <w:color w:val="auto"/>
              </w:rPr>
            </w:pPr>
          </w:p>
        </w:tc>
      </w:tr>
      <w:tr>
        <w:trPr>
          <w:trHeight w:val="237"/>
        </w:trPr>
        <w:tc>
          <w:tcPr>
            <w:tcW w:w="8220" w:type="dxa"/>
            <w:vAlign w:val="bottom"/>
          </w:tcPr>
          <w:p>
            <w:pPr>
              <w:ind w:left="220"/>
              <w:spacing w:after="0"/>
              <w:rPr>
                <w:sz w:val="20"/>
                <w:szCs w:val="20"/>
                <w:color w:val="auto"/>
              </w:rPr>
            </w:pPr>
            <w:r>
              <w:rPr>
                <w:rFonts w:ascii="Arial" w:cs="Arial" w:eastAsia="Arial" w:hAnsi="Arial"/>
                <w:sz w:val="16"/>
                <w:szCs w:val="16"/>
                <w:color w:val="auto"/>
              </w:rPr>
              <w:t>Non-controlled/affiliate investments (cost of $52,857,243 and $52,857,243, respectively)</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27,868,854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37,944,268</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Controlled investments (cost of $7,161,412 and $7,161,412, respectively)</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729,500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775,198</w:t>
            </w:r>
          </w:p>
        </w:tc>
        <w:tc>
          <w:tcPr>
            <w:tcW w:w="0" w:type="dxa"/>
            <w:vAlign w:val="bottom"/>
          </w:tcPr>
          <w:p>
            <w:pPr>
              <w:spacing w:after="0"/>
              <w:rPr>
                <w:sz w:val="1"/>
                <w:szCs w:val="1"/>
                <w:color w:val="auto"/>
              </w:rPr>
            </w:pPr>
          </w:p>
        </w:tc>
      </w:tr>
      <w:tr>
        <w:trPr>
          <w:trHeight w:val="217"/>
        </w:trPr>
        <w:tc>
          <w:tcPr>
            <w:tcW w:w="8220" w:type="dxa"/>
            <w:vAlign w:val="bottom"/>
          </w:tcPr>
          <w:p>
            <w:pPr>
              <w:ind w:left="340"/>
              <w:spacing w:after="0"/>
              <w:rPr>
                <w:sz w:val="20"/>
                <w:szCs w:val="20"/>
                <w:color w:val="auto"/>
              </w:rPr>
            </w:pPr>
            <w:r>
              <w:rPr>
                <w:rFonts w:ascii="Arial" w:cs="Arial" w:eastAsia="Arial" w:hAnsi="Arial"/>
                <w:sz w:val="16"/>
                <w:szCs w:val="16"/>
                <w:color w:val="auto"/>
              </w:rPr>
              <w:t>Total Portfolio Investments</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159,922,548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191,585,578</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Investments in U.S. Treasury bills (cost of $50,000,556 and $49,996,667, respectively)</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50,000,000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50,000,000</w:t>
            </w:r>
          </w:p>
        </w:tc>
        <w:tc>
          <w:tcPr>
            <w:tcW w:w="0" w:type="dxa"/>
            <w:vAlign w:val="bottom"/>
          </w:tcPr>
          <w:p>
            <w:pPr>
              <w:spacing w:after="0"/>
              <w:rPr>
                <w:sz w:val="1"/>
                <w:szCs w:val="1"/>
                <w:color w:val="auto"/>
              </w:rPr>
            </w:pPr>
          </w:p>
        </w:tc>
      </w:tr>
      <w:tr>
        <w:trPr>
          <w:trHeight w:val="217"/>
        </w:trPr>
        <w:tc>
          <w:tcPr>
            <w:tcW w:w="8220" w:type="dxa"/>
            <w:vAlign w:val="bottom"/>
          </w:tcPr>
          <w:p>
            <w:pPr>
              <w:ind w:left="380"/>
              <w:spacing w:after="0"/>
              <w:rPr>
                <w:sz w:val="20"/>
                <w:szCs w:val="20"/>
                <w:color w:val="auto"/>
              </w:rPr>
            </w:pPr>
            <w:r>
              <w:rPr>
                <w:rFonts w:ascii="Arial" w:cs="Arial" w:eastAsia="Arial" w:hAnsi="Arial"/>
                <w:sz w:val="16"/>
                <w:szCs w:val="16"/>
                <w:color w:val="auto"/>
              </w:rPr>
              <w:t>Total Investments (cost of $196,585,270 and $200,582,363, respectively)</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209,922,548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241,585,578</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46,095,103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44,861,263</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Escrow proceeds receivable</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207,375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265,303</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and dividends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84,799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84,630</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Deferred financing costs</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11,382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11,382</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Prepaid expenses and other assets</w:t>
            </w:r>
            <w:r>
              <w:rPr>
                <w:rFonts w:ascii="Arial" w:cs="Arial" w:eastAsia="Arial" w:hAnsi="Arial"/>
                <w:sz w:val="21"/>
                <w:szCs w:val="21"/>
                <w:color w:val="auto"/>
                <w:vertAlign w:val="superscript"/>
              </w:rPr>
              <w:t>(1)</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1,721,265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1,755,933</w:t>
            </w:r>
          </w:p>
        </w:tc>
        <w:tc>
          <w:tcPr>
            <w:tcW w:w="0" w:type="dxa"/>
            <w:vAlign w:val="bottom"/>
          </w:tcPr>
          <w:p>
            <w:pPr>
              <w:spacing w:after="0"/>
              <w:rPr>
                <w:sz w:val="1"/>
                <w:szCs w:val="1"/>
                <w:color w:val="auto"/>
              </w:rPr>
            </w:pPr>
          </w:p>
        </w:tc>
      </w:tr>
      <w:tr>
        <w:trPr>
          <w:trHeight w:val="217"/>
        </w:trPr>
        <w:tc>
          <w:tcPr>
            <w:tcW w:w="8220" w:type="dxa"/>
            <w:vAlign w:val="bottom"/>
          </w:tcPr>
          <w:p>
            <w:pPr>
              <w:ind w:left="38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258,042,472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288,564,089</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20" w:type="dxa"/>
            <w:vAlign w:val="bottom"/>
          </w:tcPr>
          <w:p>
            <w:pPr>
              <w:ind w:left="40"/>
              <w:spacing w:after="0"/>
              <w:rPr>
                <w:sz w:val="20"/>
                <w:szCs w:val="20"/>
                <w:color w:val="auto"/>
              </w:rPr>
            </w:pPr>
            <w:r>
              <w:rPr>
                <w:rFonts w:ascii="Arial" w:cs="Arial" w:eastAsia="Arial" w:hAnsi="Arial"/>
                <w:sz w:val="16"/>
                <w:szCs w:val="16"/>
                <w:color w:val="auto"/>
              </w:rPr>
              <w:t>Accounts payable and accrued expenses</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1,526,212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1,143,923</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Payable to executive officers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1,369,873</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Accrued interest payable</w:t>
            </w:r>
          </w:p>
        </w:tc>
        <w:tc>
          <w:tcPr>
            <w:tcW w:w="2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475,000</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payable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2,107,709</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Payable for securities purchased</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45,101,259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44,746,660</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4.75% Convertible Senior Notes due March 28, 2023</w:t>
            </w:r>
            <w:r>
              <w:rPr>
                <w:rFonts w:ascii="Arial" w:cs="Arial" w:eastAsia="Arial" w:hAnsi="Arial"/>
                <w:sz w:val="21"/>
                <w:szCs w:val="21"/>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38,897,646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38,803,635</w:t>
            </w:r>
          </w:p>
        </w:tc>
        <w:tc>
          <w:tcPr>
            <w:tcW w:w="0" w:type="dxa"/>
            <w:vAlign w:val="bottom"/>
          </w:tcPr>
          <w:p>
            <w:pPr>
              <w:spacing w:after="0"/>
              <w:rPr>
                <w:sz w:val="1"/>
                <w:szCs w:val="1"/>
                <w:color w:val="auto"/>
              </w:rPr>
            </w:pPr>
          </w:p>
        </w:tc>
      </w:tr>
      <w:tr>
        <w:trPr>
          <w:trHeight w:val="217"/>
        </w:trPr>
        <w:tc>
          <w:tcPr>
            <w:tcW w:w="8220" w:type="dxa"/>
            <w:vAlign w:val="bottom"/>
          </w:tcPr>
          <w:p>
            <w:pPr>
              <w:ind w:left="38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Pr>
          <w:p>
            <w:pPr>
              <w:spacing w:after="0"/>
              <w:rPr>
                <w:sz w:val="18"/>
                <w:szCs w:val="18"/>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85,526,674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88,646,800</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 (Notes 7 and 10)</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172,515,798</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199,917,289</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ASSETS</w:t>
            </w: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8220" w:type="dxa"/>
            <w:vAlign w:val="bottom"/>
          </w:tcPr>
          <w:p>
            <w:pPr>
              <w:ind w:left="40"/>
              <w:spacing w:after="0"/>
              <w:rPr>
                <w:sz w:val="20"/>
                <w:szCs w:val="20"/>
                <w:color w:val="auto"/>
              </w:rPr>
            </w:pPr>
            <w:r>
              <w:rPr>
                <w:rFonts w:ascii="Arial" w:cs="Arial" w:eastAsia="Arial" w:hAnsi="Arial"/>
                <w:sz w:val="16"/>
                <w:szCs w:val="16"/>
                <w:color w:val="auto"/>
                <w:w w:val="95"/>
              </w:rPr>
              <w:t>Common stock, par value $0.01 per share (100,000,000 authorized; 16,874,316 and 17,564,244 issued and outstanding,</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220" w:type="dxa"/>
            <w:vAlign w:val="bottom"/>
          </w:tcPr>
          <w:p>
            <w:pPr>
              <w:ind w:left="200"/>
              <w:spacing w:after="0"/>
              <w:rPr>
                <w:sz w:val="20"/>
                <w:szCs w:val="20"/>
                <w:color w:val="auto"/>
              </w:rPr>
            </w:pPr>
            <w:r>
              <w:rPr>
                <w:rFonts w:ascii="Arial" w:cs="Arial" w:eastAsia="Arial" w:hAnsi="Arial"/>
                <w:sz w:val="16"/>
                <w:szCs w:val="16"/>
                <w:color w:val="auto"/>
              </w:rPr>
              <w:t>respectively)</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168,743</w:t>
            </w:r>
          </w:p>
        </w:tc>
        <w:tc>
          <w:tcPr>
            <w:tcW w:w="120" w:type="dxa"/>
            <w:vAlign w:val="bottom"/>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175,642</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Paid-in capital in excess of par</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174,848,029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178,550,374</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Accumulated net investment loss</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(28,683,915)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(25,679,362)</w:t>
            </w:r>
          </w:p>
        </w:tc>
        <w:tc>
          <w:tcPr>
            <w:tcW w:w="0" w:type="dxa"/>
            <w:vAlign w:val="bottom"/>
          </w:tcPr>
          <w:p>
            <w:pPr>
              <w:spacing w:after="0"/>
              <w:rPr>
                <w:sz w:val="1"/>
                <w:szCs w:val="1"/>
                <w:color w:val="auto"/>
              </w:rPr>
            </w:pPr>
          </w:p>
        </w:tc>
      </w:tr>
      <w:tr>
        <w:trPr>
          <w:trHeight w:val="33"/>
        </w:trPr>
        <w:tc>
          <w:tcPr>
            <w:tcW w:w="8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net realized gain/(loss) on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12,845,657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5,867,417</w:t>
            </w:r>
          </w:p>
        </w:tc>
        <w:tc>
          <w:tcPr>
            <w:tcW w:w="0" w:type="dxa"/>
            <w:vAlign w:val="bottom"/>
          </w:tcPr>
          <w:p>
            <w:pPr>
              <w:spacing w:after="0"/>
              <w:rPr>
                <w:sz w:val="1"/>
                <w:szCs w:val="1"/>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Accumulated net unrealized appreciation/(depreciation) of investments</w:t>
            </w:r>
          </w:p>
        </w:tc>
        <w:tc>
          <w:tcPr>
            <w:tcW w:w="26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13,337,284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41,003,218</w:t>
            </w:r>
          </w:p>
        </w:tc>
        <w:tc>
          <w:tcPr>
            <w:tcW w:w="0" w:type="dxa"/>
            <w:vAlign w:val="bottom"/>
          </w:tcPr>
          <w:p>
            <w:pPr>
              <w:spacing w:after="0"/>
              <w:rPr>
                <w:sz w:val="1"/>
                <w:szCs w:val="1"/>
                <w:color w:val="auto"/>
              </w:rPr>
            </w:pPr>
          </w:p>
        </w:tc>
      </w:tr>
      <w:tr>
        <w:trPr>
          <w:trHeight w:val="33"/>
        </w:trPr>
        <w:tc>
          <w:tcPr>
            <w:tcW w:w="8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Net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172,515,798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199,917,289</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b w:val="1"/>
                <w:bCs w:val="1"/>
                <w:color w:val="auto"/>
              </w:rPr>
              <w:t>Net Asset Value Per Share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0"/>
        </w:trPr>
        <w:tc>
          <w:tcPr>
            <w:tcW w:w="8220" w:type="dxa"/>
            <w:vAlign w:val="bottom"/>
            <w:vMerge w:val="restart"/>
          </w:tcPr>
          <w:p>
            <w:pPr>
              <w:ind w:left="3520"/>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82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220" w:type="dxa"/>
            <w:vAlign w:val="bottom"/>
          </w:tcPr>
          <w:p>
            <w:pPr>
              <w:spacing w:after="0"/>
              <w:rPr>
                <w:sz w:val="20"/>
                <w:szCs w:val="20"/>
                <w:color w:val="auto"/>
              </w:rPr>
            </w:pPr>
            <w:r>
              <w:rPr>
                <w:rFonts w:ascii="Arial" w:cs="Arial" w:eastAsia="Arial" w:hAnsi="Arial"/>
                <w:sz w:val="11"/>
                <w:szCs w:val="11"/>
                <w:color w:val="auto"/>
              </w:rPr>
              <w:t>__________________________________________________</w:t>
            </w: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5212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-2085340</wp:posOffset>
            </wp:positionV>
            <wp:extent cx="5212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-4836795</wp:posOffset>
            </wp:positionV>
            <wp:extent cx="5212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-5874385</wp:posOffset>
            </wp:positionV>
            <wp:extent cx="5212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ind w:left="340" w:hanging="332"/>
        <w:spacing w:after="0" w:line="246"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balance includes a right of use asset and corresponding operating lease liability, respectively. Refer to "Note 7—Commitments and Contingencies—</w:t>
      </w:r>
      <w:r>
        <w:rPr>
          <w:rFonts w:ascii="Arial" w:cs="Arial" w:eastAsia="Arial" w:hAnsi="Arial"/>
          <w:sz w:val="16"/>
          <w:szCs w:val="16"/>
          <w:i w:val="1"/>
          <w:iCs w:val="1"/>
          <w:color w:val="auto"/>
        </w:rPr>
        <w:t>Operating</w:t>
      </w:r>
      <w:r>
        <w:rPr>
          <w:rFonts w:ascii="Arial" w:cs="Arial" w:eastAsia="Arial" w:hAnsi="Arial"/>
          <w:sz w:val="16"/>
          <w:szCs w:val="16"/>
          <w:color w:val="auto"/>
        </w:rPr>
        <w:t xml:space="preserve"> </w:t>
      </w:r>
      <w:r>
        <w:rPr>
          <w:rFonts w:ascii="Arial" w:cs="Arial" w:eastAsia="Arial" w:hAnsi="Arial"/>
          <w:sz w:val="16"/>
          <w:szCs w:val="16"/>
          <w:i w:val="1"/>
          <w:iCs w:val="1"/>
          <w:color w:val="auto"/>
        </w:rPr>
        <w:t>Leases and Related Deposits</w:t>
      </w:r>
      <w:r>
        <w:rPr>
          <w:rFonts w:ascii="Arial" w:cs="Arial" w:eastAsia="Arial" w:hAnsi="Arial"/>
          <w:sz w:val="16"/>
          <w:szCs w:val="16"/>
          <w:color w:val="auto"/>
        </w:rPr>
        <w:t>" for more detail.</w:t>
      </w:r>
    </w:p>
    <w:p>
      <w:pPr>
        <w:ind w:left="340" w:right="20" w:hanging="332"/>
        <w:spacing w:after="0" w:line="257" w:lineRule="auto"/>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of March 31, 2020 and December 31, 2019, the 4.75% Convertible Senior Notes due March 28, 2023 had a face value of $40,000,000. Refer to “Note 10—Debt Capital Activities” for a reconciliation of the carrying value to the face value.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54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2019</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INVESTMENT INCOME</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Non-controlled/non-affiliate investments:</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155,085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138,497</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Dividend income</w:t>
            </w:r>
          </w:p>
        </w:tc>
        <w:tc>
          <w:tcPr>
            <w:tcW w:w="4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Non-controlled/affiliate investments: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20,428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59,466</w:t>
            </w:r>
          </w:p>
        </w:tc>
      </w:tr>
      <w:tr>
        <w:trPr>
          <w:trHeight w:val="33"/>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Dividend income</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26,250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4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income</w:t>
            </w: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29,287</w:t>
            </w:r>
          </w:p>
        </w:tc>
      </w:tr>
      <w:tr>
        <w:trPr>
          <w:trHeight w:val="217"/>
        </w:trPr>
        <w:tc>
          <w:tcPr>
            <w:tcW w:w="7540" w:type="dxa"/>
            <w:vAlign w:val="bottom"/>
          </w:tcPr>
          <w:p>
            <w:pPr>
              <w:ind w:left="180"/>
              <w:spacing w:after="0"/>
              <w:rPr>
                <w:sz w:val="20"/>
                <w:szCs w:val="20"/>
                <w:color w:val="auto"/>
              </w:rPr>
            </w:pPr>
            <w:r>
              <w:rPr>
                <w:rFonts w:ascii="Arial" w:cs="Arial" w:eastAsia="Arial" w:hAnsi="Arial"/>
                <w:sz w:val="16"/>
                <w:szCs w:val="16"/>
                <w:b w:val="1"/>
                <w:bCs w:val="1"/>
                <w:color w:val="auto"/>
              </w:rPr>
              <w:t>Total Investment Income</w:t>
            </w:r>
          </w:p>
        </w:tc>
        <w:tc>
          <w:tcPr>
            <w:tcW w:w="4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251,763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227,250</w:t>
            </w:r>
          </w:p>
        </w:tc>
      </w:tr>
      <w:tr>
        <w:trPr>
          <w:trHeight w:val="33"/>
        </w:trPr>
        <w:tc>
          <w:tcPr>
            <w:tcW w:w="7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70"/>
        </w:trPr>
        <w:tc>
          <w:tcPr>
            <w:tcW w:w="7540" w:type="dxa"/>
            <w:vAlign w:val="bottom"/>
          </w:tcPr>
          <w:p>
            <w:pPr>
              <w:ind w:left="40"/>
              <w:spacing w:after="0"/>
              <w:rPr>
                <w:sz w:val="20"/>
                <w:szCs w:val="20"/>
                <w:color w:val="auto"/>
              </w:rPr>
            </w:pPr>
            <w:r>
              <w:rPr>
                <w:rFonts w:ascii="Arial" w:cs="Arial" w:eastAsia="Arial" w:hAnsi="Arial"/>
                <w:sz w:val="16"/>
                <w:szCs w:val="16"/>
                <w:color w:val="auto"/>
              </w:rPr>
              <w:t>Management fees</w:t>
            </w:r>
            <w:r>
              <w:rPr>
                <w:rFonts w:ascii="Arial" w:cs="Arial" w:eastAsia="Arial" w:hAnsi="Arial"/>
                <w:sz w:val="21"/>
                <w:szCs w:val="21"/>
                <w:color w:val="auto"/>
                <w:vertAlign w:val="superscript"/>
              </w:rPr>
              <w:t>(1)</w:t>
            </w:r>
          </w:p>
        </w:tc>
        <w:tc>
          <w:tcPr>
            <w:tcW w:w="4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848,723</w:t>
            </w:r>
          </w:p>
        </w:tc>
      </w:tr>
      <w:tr>
        <w:trPr>
          <w:trHeight w:val="270"/>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Incentive fees/(Reversal of incentive fee accrual)</w:t>
            </w:r>
            <w:r>
              <w:rPr>
                <w:rFonts w:ascii="Arial" w:cs="Arial" w:eastAsia="Arial" w:hAnsi="Arial"/>
                <w:sz w:val="21"/>
                <w:szCs w:val="21"/>
                <w:color w:val="auto"/>
                <w:vertAlign w:val="superscript"/>
              </w:rPr>
              <w:t>(1)</w:t>
            </w:r>
          </w:p>
        </w:tc>
        <w:tc>
          <w:tcPr>
            <w:tcW w:w="4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(4,660,472)</w:t>
            </w:r>
          </w:p>
        </w:tc>
      </w:tr>
      <w:tr>
        <w:trPr>
          <w:trHeight w:val="270"/>
        </w:trPr>
        <w:tc>
          <w:tcPr>
            <w:tcW w:w="7540" w:type="dxa"/>
            <w:vAlign w:val="bottom"/>
          </w:tcPr>
          <w:p>
            <w:pPr>
              <w:ind w:left="40"/>
              <w:spacing w:after="0"/>
              <w:rPr>
                <w:sz w:val="20"/>
                <w:szCs w:val="20"/>
                <w:color w:val="auto"/>
              </w:rPr>
            </w:pPr>
            <w:r>
              <w:rPr>
                <w:rFonts w:ascii="Arial" w:cs="Arial" w:eastAsia="Arial" w:hAnsi="Arial"/>
                <w:sz w:val="16"/>
                <w:szCs w:val="16"/>
                <w:color w:val="auto"/>
              </w:rPr>
              <w:t>Costs incurred under Administration Agreement</w:t>
            </w:r>
            <w:r>
              <w:rPr>
                <w:rFonts w:ascii="Arial" w:cs="Arial" w:eastAsia="Arial" w:hAnsi="Arial"/>
                <w:sz w:val="21"/>
                <w:szCs w:val="21"/>
                <w:color w:val="auto"/>
                <w:vertAlign w:val="superscript"/>
              </w:rPr>
              <w:t>(1)</w:t>
            </w:r>
          </w:p>
        </w:tc>
        <w:tc>
          <w:tcPr>
            <w:tcW w:w="440" w:type="dxa"/>
            <w:vAlign w:val="bottom"/>
          </w:tcPr>
          <w:p>
            <w:pPr>
              <w:spacing w:after="0"/>
              <w:rPr>
                <w:sz w:val="23"/>
                <w:szCs w:val="23"/>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306,084</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expense</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924,916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Directors’ fees</w:t>
            </w:r>
          </w:p>
        </w:tc>
        <w:tc>
          <w:tcPr>
            <w:tcW w:w="4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111,250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86,250</w:t>
            </w:r>
          </w:p>
        </w:tc>
      </w:tr>
      <w:tr>
        <w:trPr>
          <w:trHeight w:val="33"/>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1,139,366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2,061,922</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4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573,400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604,168</w:t>
            </w:r>
          </w:p>
        </w:tc>
      </w:tr>
      <w:tr>
        <w:trPr>
          <w:trHeight w:val="33"/>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3,763</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Other expenses</w:t>
            </w:r>
          </w:p>
        </w:tc>
        <w:tc>
          <w:tcPr>
            <w:tcW w:w="4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498,719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357,110</w:t>
            </w:r>
          </w:p>
        </w:tc>
      </w:tr>
      <w:tr>
        <w:trPr>
          <w:trHeight w:val="33"/>
        </w:trPr>
        <w:tc>
          <w:tcPr>
            <w:tcW w:w="7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Operating Expenses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3,256,316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(392,452)</w:t>
            </w:r>
          </w:p>
        </w:tc>
      </w:tr>
      <w:tr>
        <w:trPr>
          <w:trHeight w:val="217"/>
        </w:trPr>
        <w:tc>
          <w:tcPr>
            <w:tcW w:w="7540" w:type="dxa"/>
            <w:vAlign w:val="bottom"/>
          </w:tcPr>
          <w:p>
            <w:pPr>
              <w:ind w:left="180"/>
              <w:spacing w:after="0"/>
              <w:rPr>
                <w:sz w:val="20"/>
                <w:szCs w:val="20"/>
                <w:color w:val="auto"/>
              </w:rPr>
            </w:pPr>
            <w:r>
              <w:rPr>
                <w:rFonts w:ascii="Arial" w:cs="Arial" w:eastAsia="Arial" w:hAnsi="Arial"/>
                <w:sz w:val="16"/>
                <w:szCs w:val="16"/>
                <w:b w:val="1"/>
                <w:bCs w:val="1"/>
                <w:color w:val="auto"/>
              </w:rPr>
              <w:t>Net Investment Income/(Loss)</w:t>
            </w:r>
          </w:p>
        </w:tc>
        <w:tc>
          <w:tcPr>
            <w:tcW w:w="4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(3,004,553)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619,702</w:t>
            </w:r>
          </w:p>
        </w:tc>
      </w:tr>
      <w:tr>
        <w:trPr>
          <w:trHeight w:val="33"/>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Realized Gains/(Losses) on Investments: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Non-controlled/non-affiliated investments</w:t>
            </w:r>
          </w:p>
        </w:tc>
        <w:tc>
          <w:tcPr>
            <w:tcW w:w="4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6,978,240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8,269,138</w:t>
            </w:r>
          </w:p>
        </w:tc>
      </w:tr>
      <w:tr>
        <w:trPr>
          <w:trHeight w:val="33"/>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Non-controlled/affiliate investments</w:t>
            </w:r>
          </w:p>
        </w:tc>
        <w:tc>
          <w:tcPr>
            <w:tcW w:w="4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(12,334,831)</w:t>
            </w:r>
          </w:p>
        </w:tc>
      </w:tr>
      <w:tr>
        <w:trPr>
          <w:trHeight w:val="217"/>
        </w:trPr>
        <w:tc>
          <w:tcPr>
            <w:tcW w:w="7540" w:type="dxa"/>
            <w:vAlign w:val="bottom"/>
          </w:tcPr>
          <w:p>
            <w:pPr>
              <w:ind w:left="180"/>
              <w:spacing w:after="0"/>
              <w:rPr>
                <w:sz w:val="20"/>
                <w:szCs w:val="20"/>
                <w:color w:val="auto"/>
              </w:rPr>
            </w:pPr>
            <w:r>
              <w:rPr>
                <w:rFonts w:ascii="Arial" w:cs="Arial" w:eastAsia="Arial" w:hAnsi="Arial"/>
                <w:sz w:val="16"/>
                <w:szCs w:val="16"/>
                <w:b w:val="1"/>
                <w:bCs w:val="1"/>
                <w:color w:val="auto"/>
              </w:rPr>
              <w:t>Net Realized Gain/(Loss) on Investments</w:t>
            </w:r>
          </w:p>
        </w:tc>
        <w:tc>
          <w:tcPr>
            <w:tcW w:w="4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6,978,240</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(4,065,693)</w:t>
            </w:r>
          </w:p>
        </w:tc>
      </w:tr>
      <w:tr>
        <w:trPr>
          <w:trHeight w:val="33"/>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Unrealized Appreciation/(Depreciation) of Investments: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Non-controlled/non-affiliated investments</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(17,544,822)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17,028,343</w:t>
            </w:r>
          </w:p>
        </w:tc>
      </w:tr>
      <w:tr>
        <w:trPr>
          <w:trHeight w:val="33"/>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Non-controlled/affiliate investments</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(10,075,414)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9,022,648</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Controlled investments</w:t>
            </w:r>
          </w:p>
        </w:tc>
        <w:tc>
          <w:tcPr>
            <w:tcW w:w="4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(45,698)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(5,351,240)</w:t>
            </w:r>
          </w:p>
        </w:tc>
      </w:tr>
      <w:tr>
        <w:trPr>
          <w:trHeight w:val="33"/>
        </w:trPr>
        <w:tc>
          <w:tcPr>
            <w:tcW w:w="7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Change in Unrealized Appreciation/(Depreciation) of Investments</w:t>
            </w: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(27,665,934)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20,699,751</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Provision for taxes on unrealized appreciation of investments</w:t>
            </w:r>
          </w:p>
        </w:tc>
        <w:tc>
          <w:tcPr>
            <w:tcW w:w="44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(94,147)</w:t>
            </w:r>
          </w:p>
        </w:tc>
      </w:tr>
      <w:tr>
        <w:trPr>
          <w:trHeight w:val="33"/>
        </w:trPr>
        <w:tc>
          <w:tcPr>
            <w:tcW w:w="7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3"/>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Change in Net Assets Resulting from Operations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(23,692,247)</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17,159,613</w:t>
            </w:r>
          </w:p>
        </w:tc>
      </w:tr>
      <w:tr>
        <w:trPr>
          <w:trHeight w:val="224"/>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Net Change in Net Assets Resulting from Operations per Common Share:</w:t>
            </w:r>
          </w:p>
        </w:tc>
        <w:tc>
          <w:tcPr>
            <w:tcW w:w="4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3"/>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0.87</w:t>
            </w:r>
          </w:p>
        </w:tc>
      </w:tr>
      <w:tr>
        <w:trPr>
          <w:trHeight w:val="20"/>
        </w:trPr>
        <w:tc>
          <w:tcPr>
            <w:tcW w:w="7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83"/>
        </w:trPr>
        <w:tc>
          <w:tcPr>
            <w:tcW w:w="75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0.75</w:t>
            </w:r>
          </w:p>
        </w:tc>
      </w:tr>
      <w:tr>
        <w:trPr>
          <w:trHeight w:val="231"/>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Weighted-Average Common Shares Outstanding</w:t>
            </w:r>
          </w:p>
        </w:tc>
        <w:tc>
          <w:tcPr>
            <w:tcW w:w="4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Basic</w:t>
            </w:r>
          </w:p>
        </w:tc>
        <w:tc>
          <w:tcPr>
            <w:tcW w:w="4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17,440,994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19,762,647</w:t>
            </w:r>
          </w:p>
        </w:tc>
      </w:tr>
      <w:tr>
        <w:trPr>
          <w:trHeight w:val="296"/>
        </w:trPr>
        <w:tc>
          <w:tcPr>
            <w:tcW w:w="7540" w:type="dxa"/>
            <w:vAlign w:val="bottom"/>
          </w:tcPr>
          <w:p>
            <w:pPr>
              <w:ind w:left="380"/>
              <w:spacing w:after="0"/>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(2)</w:t>
            </w:r>
          </w:p>
        </w:tc>
        <w:tc>
          <w:tcPr>
            <w:tcW w:w="440" w:type="dxa"/>
            <w:vAlign w:val="bottom"/>
          </w:tcPr>
          <w:p>
            <w:pPr>
              <w:spacing w:after="0"/>
              <w:rPr>
                <w:sz w:val="24"/>
                <w:szCs w:val="24"/>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17,440,994</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23,493,991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-2969895</wp:posOffset>
            </wp:positionV>
            <wp:extent cx="47834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16" w:lineRule="auto"/>
        <w:rPr>
          <w:sz w:val="20"/>
          <w:szCs w:val="20"/>
          <w:color w:val="auto"/>
        </w:rPr>
      </w:pPr>
      <w:r>
        <w:rPr>
          <w:rFonts w:ascii="Arial" w:cs="Arial" w:eastAsia="Arial" w:hAnsi="Arial"/>
          <w:sz w:val="4"/>
          <w:szCs w:val="4"/>
          <w:color w:val="auto"/>
        </w:rPr>
        <w:t>____________________________________________________________________________________________________________________________</w:t>
      </w: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balance references a related-party transaction. Refer to “Note 3—Related-Party Arrangements” for more detail.</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months ended March 31, 2020 and 2019, 3,917,792 and 0 potentially dilutive common shares, respectively, were excluded from the weighted-average common shares outstanding for diluted net increase in net assets resulting from operations per common share because the effect of these shares would have been anti-dilutive. Refer to “Note 6—Net Change in Net Assets Resulting from Operations per Common Share—Basic and Diluted”.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NET ASSETS (UNAUDITED)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7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2019</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Net Assets Resulting from Operations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Net investment income/(loss)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(3,004,553)</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619,702</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realized gains/(losses) on 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6,978,240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(4,065,693)</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Net change in unrealized appreciation/(depreciation) of investments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(27,665,934)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20,699,751</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taxes on unrealized appreciation of investments</w:t>
            </w: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(94,147)</w:t>
            </w:r>
          </w:p>
        </w:tc>
      </w:tr>
      <w:tr>
        <w:trPr>
          <w:trHeight w:val="217"/>
        </w:trPr>
        <w:tc>
          <w:tcPr>
            <w:tcW w:w="7780" w:type="dxa"/>
            <w:vAlign w:val="bottom"/>
          </w:tcPr>
          <w:p>
            <w:pPr>
              <w:ind w:left="280"/>
              <w:spacing w:after="0"/>
              <w:rPr>
                <w:sz w:val="20"/>
                <w:szCs w:val="20"/>
                <w:color w:val="auto"/>
              </w:rPr>
            </w:pPr>
            <w:r>
              <w:rPr>
                <w:rFonts w:ascii="Arial" w:cs="Arial" w:eastAsia="Arial" w:hAnsi="Arial"/>
                <w:sz w:val="16"/>
                <w:szCs w:val="16"/>
                <w:b w:val="1"/>
                <w:bCs w:val="1"/>
                <w:color w:val="auto"/>
              </w:rPr>
              <w:t>Net Change in Net Assets Resulting from Operations</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(23,692,247)</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17,159,613</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Net Assets Resulting from Capital Transactions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(3,709,244)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b w:val="1"/>
                <w:bCs w:val="1"/>
                <w:color w:val="auto"/>
              </w:rPr>
              <w:t>Net Decrease in Net Assets Resulting from Capital Transactions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(3,709,244)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Change in Net Assets</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(27,401,491)</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17,159,613</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at Beginning of Year</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199,917,289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195,378,159</w:t>
            </w:r>
          </w:p>
        </w:tc>
      </w:tr>
      <w:tr>
        <w:trPr>
          <w:trHeight w:val="283"/>
        </w:trPr>
        <w:tc>
          <w:tcPr>
            <w:tcW w:w="778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Net Assets at End of Period</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172,515,798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212,537,772</w:t>
            </w:r>
          </w:p>
        </w:tc>
      </w:tr>
      <w:tr>
        <w:trPr>
          <w:trHeight w:val="23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Capital Share Activity</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Shares outstanding at beginning of year</w:t>
            </w: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17,564,244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19,762,647</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Shares issued</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Shares repurchased</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(689,928)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Shares Outstanding at End of Period</w:t>
            </w: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16,874,316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19,762,647</w:t>
            </w:r>
          </w:p>
        </w:tc>
      </w:tr>
      <w:tr>
        <w:trPr>
          <w:trHeight w:val="20"/>
        </w:trPr>
        <w:tc>
          <w:tcPr>
            <w:tcW w:w="7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-1250950</wp:posOffset>
            </wp:positionV>
            <wp:extent cx="4928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7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2019</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change in net assets resulting from operations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(23,692,247)</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17,159,613</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Adjustments to reconcile net change in net assets resulting from operations to net cash provided by/(used in) operating</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9"/>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activities:</w:t>
            </w: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spacing w:after="0"/>
              <w:rPr>
                <w:sz w:val="19"/>
                <w:szCs w:val="19"/>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Net realized (gain)/loss on investments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(6,978,240)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4,065,693</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unrealized (appreciation)/depreciation of 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27,665,934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(20,699,751)</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Change in deferred tax liability</w:t>
            </w:r>
          </w:p>
        </w:tc>
        <w:tc>
          <w:tcPr>
            <w:tcW w:w="4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94,147</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discount on 4.75% Convertible Senior Notes due 2023</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94,011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91,017</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Amortization of fixed income security premiums and discounts</w:t>
            </w:r>
          </w:p>
        </w:tc>
        <w:tc>
          <w:tcPr>
            <w:tcW w:w="4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(1,191)</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escrow proceeds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189,546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(8,359)</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Purchases of investments in:</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Portfolio investments</w:t>
            </w: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(10,008,040)</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U.S. Treasury bills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(50,000,556)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(99,961,333)</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sales or maturity of investments in:</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Portfolio investments</w:t>
            </w: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10,786,346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11,871,346</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U.S. Treasury bills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50,000,000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100,000,000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Change in operating assets and liabilities:</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34,668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(491,345)</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Interest and dividends receivable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(90,214)</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Escrow proceeds receivable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57,928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317,027</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Receivable from unsettled trades</w:t>
            </w:r>
          </w:p>
        </w:tc>
        <w:tc>
          <w:tcPr>
            <w:tcW w:w="400" w:type="dxa"/>
            <w:vAlign w:val="bottom"/>
          </w:tcPr>
          <w:p>
            <w:pPr>
              <w:spacing w:after="0"/>
              <w:rPr>
                <w:sz w:val="20"/>
                <w:szCs w:val="20"/>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(2,017,423)</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Due to GSV Asset Management</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207,710</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Payable for securities purchased</w:t>
            </w: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354,599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(19,449)</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 and accrued expenses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382,289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1,854,399</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Payable to executive officers</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(1,368,316)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incentive fees</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(4,660,472)</w:t>
            </w:r>
          </w:p>
        </w:tc>
      </w:tr>
      <w:tr>
        <w:trPr>
          <w:trHeight w:val="270"/>
        </w:trPr>
        <w:tc>
          <w:tcPr>
            <w:tcW w:w="7780" w:type="dxa"/>
            <w:vAlign w:val="bottom"/>
          </w:tcPr>
          <w:p>
            <w:pPr>
              <w:ind w:left="180"/>
              <w:spacing w:after="0"/>
              <w:rPr>
                <w:sz w:val="20"/>
                <w:szCs w:val="20"/>
                <w:color w:val="auto"/>
              </w:rPr>
            </w:pPr>
            <w:r>
              <w:rPr>
                <w:rFonts w:ascii="Arial" w:cs="Arial" w:eastAsia="Arial" w:hAnsi="Arial"/>
                <w:sz w:val="16"/>
                <w:szCs w:val="16"/>
                <w:color w:val="auto"/>
              </w:rPr>
              <w:t>Accrued management fees</w:t>
            </w:r>
            <w:r>
              <w:rPr>
                <w:rFonts w:ascii="Arial" w:cs="Arial" w:eastAsia="Arial" w:hAnsi="Arial"/>
                <w:sz w:val="21"/>
                <w:szCs w:val="21"/>
                <w:color w:val="auto"/>
                <w:vertAlign w:val="superscript"/>
              </w:rPr>
              <w:t>(1)</w:t>
            </w:r>
          </w:p>
        </w:tc>
        <w:tc>
          <w:tcPr>
            <w:tcW w:w="4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(415,056)</w:t>
            </w: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interest payable</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(475,000)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(475,000)</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Cash Provided by/(Used in) Operating Activities</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7,050,793</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(3,186,681)</w:t>
            </w:r>
          </w:p>
        </w:tc>
      </w:tr>
      <w:tr>
        <w:trPr>
          <w:trHeight w:val="33"/>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Repurchases of common stock</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(3,709,244)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paid</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(2,107,709)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Net Cash Used in Financing Activities</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(5,816,953)</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18,061,873</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10"/>
        </w:trPr>
        <w:tc>
          <w:tcPr>
            <w:tcW w:w="778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spacing w:after="0"/>
              <w:rPr>
                <w:sz w:val="24"/>
                <w:szCs w:val="24"/>
                <w:color w:val="auto"/>
              </w:rPr>
            </w:pP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Increase/(Decrease) in Cash Balance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1,233,840</w:t>
            </w:r>
          </w:p>
        </w:tc>
        <w:tc>
          <w:tcPr>
            <w:tcW w:w="10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(3,186,681)</w:t>
            </w: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Balance at Beginning of Year</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44,861,263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28,184,163</w:t>
            </w:r>
          </w:p>
        </w:tc>
      </w:tr>
      <w:tr>
        <w:trPr>
          <w:trHeight w:val="217"/>
        </w:trPr>
        <w:tc>
          <w:tcPr>
            <w:tcW w:w="778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Cash Balance at End of Period</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46,095,103</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24,997,482</w:t>
            </w:r>
          </w:p>
        </w:tc>
      </w:tr>
      <w:tr>
        <w:trPr>
          <w:trHeight w:val="33"/>
        </w:trPr>
        <w:tc>
          <w:tcPr>
            <w:tcW w:w="77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91"/>
        </w:trPr>
        <w:tc>
          <w:tcPr>
            <w:tcW w:w="77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956,190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974,932</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Taxes paid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8,665</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4928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288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9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balance references a related-party transaction. Refer to “Note 3—Related-Party Arrangements” for more detail.</w:t>
      </w:r>
    </w:p>
    <w:p>
      <w:pPr>
        <w:sectPr>
          <w:pgSz w:w="11900" w:h="16838" w:orient="portrait"/>
          <w:cols w:equalWidth="0" w:num="1">
            <w:col w:w="11240"/>
          </w:cols>
          <w:pgMar w:left="320" w:top="121" w:right="3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79"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SUTTER ROCK CAPITAL CORP. AND SUBSIDIARIES CONDENSED CONSOLIDATED SCHEDULE OF INVESTMENTS (UNAUDITED) March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6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Headquarters/</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Date of Initial</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Shares/</w:t>
            </w:r>
          </w:p>
        </w:tc>
        <w:tc>
          <w:tcPr>
            <w:tcW w:w="22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60" w:type="dxa"/>
            <w:vAlign w:val="bottom"/>
            <w:gridSpan w:val="15"/>
            <w:vMerge w:val="continue"/>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Industry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69"/>
        </w:trPr>
        <w:tc>
          <w:tcPr>
            <w:tcW w:w="40" w:type="dxa"/>
            <w:vAlign w:val="bottom"/>
            <w:tcBorders>
              <w:top w:val="single" w:sz="8" w:color="auto"/>
            </w:tcBorders>
            <w:shd w:val="clear" w:color="auto" w:fill="CCEEFF"/>
          </w:tcPr>
          <w:p>
            <w:pPr>
              <w:spacing w:after="0"/>
              <w:rPr>
                <w:sz w:val="23"/>
                <w:szCs w:val="23"/>
                <w:color w:val="auto"/>
              </w:rPr>
            </w:pPr>
          </w:p>
        </w:tc>
        <w:tc>
          <w:tcPr>
            <w:tcW w:w="3460" w:type="dxa"/>
            <w:vAlign w:val="bottom"/>
            <w:tcBorders>
              <w:top w:val="single" w:sz="8" w:color="auto"/>
            </w:tcBorders>
            <w:gridSpan w:val="15"/>
            <w:shd w:val="clear" w:color="auto" w:fill="CCEEFF"/>
          </w:tcPr>
          <w:p>
            <w:pPr>
              <w:spacing w:after="0"/>
              <w:rPr>
                <w:sz w:val="20"/>
                <w:szCs w:val="20"/>
                <w:color w:val="auto"/>
              </w:rPr>
            </w:pPr>
            <w:r>
              <w:rPr>
                <w:rFonts w:ascii="Arial" w:cs="Arial" w:eastAsia="Arial" w:hAnsi="Arial"/>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23"/>
                <w:szCs w:val="23"/>
                <w:color w:val="auto"/>
              </w:rPr>
            </w:pPr>
          </w:p>
        </w:tc>
        <w:tc>
          <w:tcPr>
            <w:tcW w:w="2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15"/>
          </w:tcPr>
          <w:p>
            <w:pPr>
              <w:spacing w:after="0"/>
              <w:rPr>
                <w:sz w:val="20"/>
                <w:szCs w:val="20"/>
                <w:color w:val="auto"/>
              </w:rPr>
            </w:pPr>
            <w:r>
              <w:rPr>
                <w:rFonts w:ascii="Arial" w:cs="Arial" w:eastAsia="Arial" w:hAnsi="Arial"/>
                <w:sz w:val="14"/>
                <w:szCs w:val="14"/>
                <w:b w:val="1"/>
                <w:bCs w:val="1"/>
                <w:color w:val="auto"/>
              </w:rPr>
              <w:t>Coursera, Inc.</w:t>
            </w:r>
          </w:p>
        </w:tc>
        <w:tc>
          <w:tcPr>
            <w:tcW w:w="12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Mountain View, CA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B 8%</w:t>
            </w:r>
          </w:p>
        </w:tc>
        <w:tc>
          <w:tcPr>
            <w:tcW w:w="1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Online Education</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6/9/2013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2,961,399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14,519,519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34,707,596</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15"/>
          </w:tcPr>
          <w:p>
            <w:pPr>
              <w:spacing w:after="0"/>
              <w:rPr>
                <w:sz w:val="20"/>
                <w:szCs w:val="20"/>
                <w:color w:val="auto"/>
              </w:rPr>
            </w:pPr>
            <w:r>
              <w:rPr>
                <w:rFonts w:ascii="Arial" w:cs="Arial" w:eastAsia="Arial" w:hAnsi="Arial"/>
                <w:sz w:val="14"/>
                <w:szCs w:val="14"/>
                <w:b w:val="1"/>
                <w:bCs w:val="1"/>
                <w:color w:val="auto"/>
              </w:rPr>
              <w:t>Palantir Technologies, Inc.</w:t>
            </w:r>
          </w:p>
        </w:tc>
        <w:tc>
          <w:tcPr>
            <w:tcW w:w="120" w:type="dxa"/>
            <w:vAlign w:val="bottom"/>
          </w:tcPr>
          <w:p>
            <w:pPr>
              <w:spacing w:after="0"/>
              <w:rPr>
                <w:sz w:val="19"/>
                <w:szCs w:val="19"/>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Palo Alto, CA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34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 Class A</w:t>
            </w:r>
          </w:p>
        </w:tc>
        <w:tc>
          <w:tcPr>
            <w:tcW w:w="12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Data Analysis</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5/7/2012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5,773,690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16,189,935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30,542,820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15"/>
          </w:tcPr>
          <w:p>
            <w:pPr>
              <w:spacing w:after="0"/>
              <w:rPr>
                <w:sz w:val="20"/>
                <w:szCs w:val="20"/>
                <w:color w:val="auto"/>
              </w:rPr>
            </w:pPr>
            <w:r>
              <w:rPr>
                <w:rFonts w:ascii="Arial" w:cs="Arial" w:eastAsia="Arial" w:hAnsi="Arial"/>
                <w:sz w:val="14"/>
                <w:szCs w:val="14"/>
                <w:b w:val="1"/>
                <w:bCs w:val="1"/>
                <w:color w:val="auto"/>
              </w:rPr>
              <w:t>Course Hero, Inc.</w:t>
            </w:r>
          </w:p>
        </w:tc>
        <w:tc>
          <w:tcPr>
            <w:tcW w:w="120" w:type="dxa"/>
            <w:vAlign w:val="bottom"/>
          </w:tcPr>
          <w:p>
            <w:pPr>
              <w:spacing w:after="0"/>
              <w:rPr>
                <w:sz w:val="19"/>
                <w:szCs w:val="19"/>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Redwood City, CA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34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Online Education</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9/18/2014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2,145,509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24,635,508</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460" w:type="dxa"/>
            <w:vAlign w:val="bottom"/>
            <w:gridSpan w:val="15"/>
          </w:tcPr>
          <w:p>
            <w:pPr>
              <w:spacing w:after="0"/>
              <w:rPr>
                <w:sz w:val="20"/>
                <w:szCs w:val="20"/>
                <w:color w:val="auto"/>
              </w:rPr>
            </w:pPr>
            <w:r>
              <w:rPr>
                <w:rFonts w:ascii="Arial" w:cs="Arial" w:eastAsia="Arial" w:hAnsi="Arial"/>
                <w:sz w:val="14"/>
                <w:szCs w:val="14"/>
                <w:b w:val="1"/>
                <w:bCs w:val="1"/>
                <w:color w:val="auto"/>
              </w:rPr>
              <w:t>Nextdoor.com, Inc.</w:t>
            </w:r>
          </w:p>
        </w:tc>
        <w:tc>
          <w:tcPr>
            <w:tcW w:w="120" w:type="dxa"/>
            <w:vAlign w:val="bottom"/>
          </w:tcPr>
          <w:p>
            <w:pPr>
              <w:spacing w:after="0"/>
              <w:rPr>
                <w:sz w:val="18"/>
                <w:szCs w:val="18"/>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San Francisco, CA</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6"/>
              </w:rPr>
              <w:t>Social Networking</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9/27/2018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580,360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10,006,578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10,753,200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15"/>
          </w:tcPr>
          <w:p>
            <w:pPr>
              <w:spacing w:after="0"/>
              <w:rPr>
                <w:sz w:val="20"/>
                <w:szCs w:val="20"/>
                <w:color w:val="auto"/>
              </w:rPr>
            </w:pPr>
            <w:r>
              <w:rPr>
                <w:rFonts w:ascii="Arial" w:cs="Arial" w:eastAsia="Arial" w:hAnsi="Arial"/>
                <w:sz w:val="14"/>
                <w:szCs w:val="14"/>
                <w:b w:val="1"/>
                <w:bCs w:val="1"/>
                <w:color w:val="auto"/>
              </w:rPr>
              <w:t>Enjoy Technology, Inc.</w:t>
            </w:r>
          </w:p>
        </w:tc>
        <w:tc>
          <w:tcPr>
            <w:tcW w:w="120" w:type="dxa"/>
            <w:vAlign w:val="bottom"/>
          </w:tcPr>
          <w:p>
            <w:pPr>
              <w:spacing w:after="0"/>
              <w:rPr>
                <w:sz w:val="19"/>
                <w:szCs w:val="19"/>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Menlo Park, CA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34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2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On-Demand Commerce</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7/29/2015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1,681,520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4,000,280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4,758,702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251"/>
        </w:trPr>
        <w:tc>
          <w:tcPr>
            <w:tcW w:w="4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gridSpan w:val="15"/>
          </w:tcPr>
          <w:p>
            <w:pPr>
              <w:spacing w:after="0"/>
              <w:rPr>
                <w:sz w:val="20"/>
                <w:szCs w:val="20"/>
                <w:color w:val="auto"/>
              </w:rPr>
            </w:pPr>
            <w:r>
              <w:rPr>
                <w:rFonts w:ascii="Arial" w:cs="Arial" w:eastAsia="Arial" w:hAnsi="Arial"/>
                <w:sz w:val="14"/>
                <w:szCs w:val="14"/>
                <w:color w:val="auto"/>
              </w:rPr>
              <w:t>Preferred shares, Series A 6%</w:t>
            </w:r>
          </w:p>
        </w:tc>
        <w:tc>
          <w:tcPr>
            <w:tcW w:w="120" w:type="dxa"/>
            <w:vAlign w:val="bottom"/>
            <w:tcBorders>
              <w:bottom w:val="single" w:sz="8" w:color="CCEEFF"/>
            </w:tcBorders>
          </w:tcPr>
          <w:p>
            <w:pPr>
              <w:spacing w:after="0"/>
              <w:rPr>
                <w:sz w:val="21"/>
                <w:szCs w:val="21"/>
                <w:color w:val="auto"/>
              </w:rPr>
            </w:pPr>
          </w:p>
        </w:tc>
        <w:tc>
          <w:tcPr>
            <w:tcW w:w="20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1"/>
              </w:rPr>
              <w:t>10/16/2014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879,198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1,002,440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2,488,130</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69"/>
        </w:trPr>
        <w:tc>
          <w:tcPr>
            <w:tcW w:w="40" w:type="dxa"/>
            <w:vAlign w:val="bottom"/>
            <w:shd w:val="clear" w:color="auto" w:fill="CCEEFF"/>
          </w:tcPr>
          <w:p>
            <w:pPr>
              <w:spacing w:after="0"/>
              <w:rPr>
                <w:sz w:val="23"/>
                <w:szCs w:val="23"/>
                <w:color w:val="auto"/>
              </w:rPr>
            </w:pPr>
          </w:p>
        </w:tc>
        <w:tc>
          <w:tcPr>
            <w:tcW w:w="3460" w:type="dxa"/>
            <w:vAlign w:val="bottom"/>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5,002,720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7,246,832</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60" w:type="dxa"/>
            <w:vAlign w:val="bottom"/>
            <w:gridSpan w:val="15"/>
          </w:tcPr>
          <w:p>
            <w:pPr>
              <w:spacing w:after="0"/>
              <w:rPr>
                <w:sz w:val="20"/>
                <w:szCs w:val="20"/>
                <w:color w:val="auto"/>
              </w:rPr>
            </w:pPr>
            <w:r>
              <w:rPr>
                <w:rFonts w:ascii="Arial" w:cs="Arial" w:eastAsia="Arial" w:hAnsi="Arial"/>
                <w:sz w:val="14"/>
                <w:szCs w:val="14"/>
                <w:b w:val="1"/>
                <w:bCs w:val="1"/>
                <w:color w:val="auto"/>
              </w:rPr>
              <w:t>Treehouse Real Estate Investment Trust, Inc.</w:t>
            </w:r>
          </w:p>
        </w:tc>
        <w:tc>
          <w:tcPr>
            <w:tcW w:w="12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Chicago, IL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(8)</w:t>
            </w:r>
          </w:p>
        </w:tc>
        <w:tc>
          <w:tcPr>
            <w:tcW w:w="1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Cannabis REIT</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9/11/2019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312,500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7,500,000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6,592,922</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60" w:type="dxa"/>
            <w:vAlign w:val="bottom"/>
            <w:gridSpan w:val="15"/>
          </w:tcPr>
          <w:p>
            <w:pPr>
              <w:spacing w:after="0"/>
              <w:rPr>
                <w:sz w:val="20"/>
                <w:szCs w:val="20"/>
                <w:color w:val="auto"/>
              </w:rPr>
            </w:pPr>
            <w:r>
              <w:rPr>
                <w:rFonts w:ascii="Arial" w:cs="Arial" w:eastAsia="Arial" w:hAnsi="Arial"/>
                <w:sz w:val="14"/>
                <w:szCs w:val="14"/>
                <w:b w:val="1"/>
                <w:bCs w:val="1"/>
                <w:color w:val="auto"/>
              </w:rPr>
              <w:t>Aspiration Partners, Inc.</w:t>
            </w:r>
          </w:p>
        </w:tc>
        <w:tc>
          <w:tcPr>
            <w:tcW w:w="120" w:type="dxa"/>
            <w:vAlign w:val="bottom"/>
          </w:tcPr>
          <w:p>
            <w:pPr>
              <w:spacing w:after="0"/>
              <w:rPr>
                <w:sz w:val="19"/>
                <w:szCs w:val="19"/>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Marina Del Rey, CA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34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Financial Services</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8/11/2015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540,270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1,001,815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5,160,592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460" w:type="dxa"/>
            <w:vAlign w:val="bottom"/>
            <w:tcBorders>
              <w:bottom w:val="single" w:sz="8" w:color="CCEEFF"/>
            </w:tcBorders>
            <w:gridSpan w:val="15"/>
          </w:tcPr>
          <w:p>
            <w:pPr>
              <w:spacing w:after="0"/>
              <w:rPr>
                <w:sz w:val="20"/>
                <w:szCs w:val="20"/>
                <w:color w:val="auto"/>
              </w:rPr>
            </w:pPr>
            <w:r>
              <w:rPr>
                <w:rFonts w:ascii="Arial" w:cs="Arial" w:eastAsia="Arial" w:hAnsi="Arial"/>
                <w:sz w:val="14"/>
                <w:szCs w:val="14"/>
                <w:color w:val="auto"/>
              </w:rPr>
              <w:t>Convertible Promissory Note 5%, Due 1/31/2021***</w:t>
            </w:r>
          </w:p>
        </w:tc>
        <w:tc>
          <w:tcPr>
            <w:tcW w:w="12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8/12/2019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280,000</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281,190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356,168</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1,283,005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5,516,760</w:t>
            </w:r>
          </w:p>
        </w:tc>
        <w:tc>
          <w:tcPr>
            <w:tcW w:w="10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60" w:type="dxa"/>
            <w:vAlign w:val="bottom"/>
            <w:gridSpan w:val="15"/>
          </w:tcPr>
          <w:p>
            <w:pPr>
              <w:spacing w:after="0"/>
              <w:rPr>
                <w:sz w:val="20"/>
                <w:szCs w:val="20"/>
                <w:color w:val="auto"/>
              </w:rPr>
            </w:pPr>
            <w:r>
              <w:rPr>
                <w:rFonts w:ascii="Arial" w:cs="Arial" w:eastAsia="Arial" w:hAnsi="Arial"/>
                <w:sz w:val="14"/>
                <w:szCs w:val="14"/>
                <w:b w:val="1"/>
                <w:bCs w:val="1"/>
                <w:color w:val="auto"/>
              </w:rPr>
              <w:t>SharesPost, Inc.</w:t>
            </w:r>
          </w:p>
        </w:tc>
        <w:tc>
          <w:tcPr>
            <w:tcW w:w="12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San Francisco, CA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34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2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Online Marketplace Finance</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7/19/2011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1,771,653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2,259,716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3,958,470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460" w:type="dxa"/>
            <w:vAlign w:val="bottom"/>
            <w:tcBorders>
              <w:bottom w:val="single" w:sz="8" w:color="CCEEFF"/>
            </w:tcBorders>
            <w:gridSpan w:val="15"/>
          </w:tcPr>
          <w:p>
            <w:pPr>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7/20/2011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770,934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123,987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569,654</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46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2,383,703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4,528,124</w:t>
            </w:r>
          </w:p>
        </w:tc>
        <w:tc>
          <w:tcPr>
            <w:tcW w:w="100" w:type="dxa"/>
            <w:vAlign w:val="bottom"/>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460" w:type="dxa"/>
            <w:vAlign w:val="bottom"/>
            <w:gridSpan w:val="15"/>
          </w:tcPr>
          <w:p>
            <w:pPr>
              <w:spacing w:after="0"/>
              <w:rPr>
                <w:sz w:val="20"/>
                <w:szCs w:val="20"/>
                <w:color w:val="auto"/>
              </w:rPr>
            </w:pPr>
            <w:r>
              <w:rPr>
                <w:rFonts w:ascii="Arial" w:cs="Arial" w:eastAsia="Arial" w:hAnsi="Arial"/>
                <w:sz w:val="14"/>
                <w:szCs w:val="14"/>
                <w:b w:val="1"/>
                <w:bCs w:val="1"/>
                <w:color w:val="auto"/>
              </w:rPr>
              <w:t>Neutron Holdings, Inc. (d/b/a/ Lime)</w:t>
            </w:r>
          </w:p>
        </w:tc>
        <w:tc>
          <w:tcPr>
            <w:tcW w:w="12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San Francisco, CA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D 6%</w:t>
            </w:r>
          </w:p>
        </w:tc>
        <w:tc>
          <w:tcPr>
            <w:tcW w:w="1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Micromobility</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1/25/2019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41,237,113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10,006,800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3,548,387</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15"/>
          </w:tcPr>
          <w:p>
            <w:pPr>
              <w:spacing w:after="0"/>
              <w:rPr>
                <w:sz w:val="20"/>
                <w:szCs w:val="20"/>
                <w:color w:val="auto"/>
              </w:rPr>
            </w:pPr>
            <w:r>
              <w:rPr>
                <w:rFonts w:ascii="Arial" w:cs="Arial" w:eastAsia="Arial" w:hAnsi="Arial"/>
                <w:sz w:val="14"/>
                <w:szCs w:val="14"/>
                <w:b w:val="1"/>
                <w:bCs w:val="1"/>
                <w:color w:val="auto"/>
              </w:rPr>
              <w:t>Clever, Inc.</w:t>
            </w:r>
          </w:p>
        </w:tc>
        <w:tc>
          <w:tcPr>
            <w:tcW w:w="12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San Francisco, CA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34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B 8%</w:t>
            </w:r>
          </w:p>
        </w:tc>
        <w:tc>
          <w:tcPr>
            <w:tcW w:w="120" w:type="dxa"/>
            <w:vAlign w:val="bottom"/>
            <w:shd w:val="clear" w:color="auto" w:fill="CCEEFF"/>
          </w:tcPr>
          <w:p>
            <w:pPr>
              <w:spacing w:after="0"/>
              <w:rPr>
                <w:sz w:val="24"/>
                <w:szCs w:val="24"/>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Education Software</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12/5/2014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1,799,047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2,000,601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15"/>
          </w:tcPr>
          <w:p>
            <w:pPr>
              <w:spacing w:after="0"/>
              <w:rPr>
                <w:sz w:val="20"/>
                <w:szCs w:val="20"/>
                <w:color w:val="auto"/>
              </w:rPr>
            </w:pPr>
            <w:r>
              <w:rPr>
                <w:rFonts w:ascii="Arial" w:cs="Arial" w:eastAsia="Arial" w:hAnsi="Arial"/>
                <w:sz w:val="14"/>
                <w:szCs w:val="14"/>
                <w:b w:val="1"/>
                <w:bCs w:val="1"/>
                <w:color w:val="auto"/>
              </w:rPr>
              <w:t>Tynker (f/k/a Neuron Fuel, Inc.)</w:t>
            </w:r>
          </w:p>
        </w:tc>
        <w:tc>
          <w:tcPr>
            <w:tcW w:w="12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Mountain View, CA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Computer Software</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8/8/2012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534,162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309,310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791,361</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15"/>
          </w:tcPr>
          <w:p>
            <w:pPr>
              <w:spacing w:after="0"/>
              <w:rPr>
                <w:sz w:val="20"/>
                <w:szCs w:val="20"/>
                <w:color w:val="auto"/>
              </w:rPr>
            </w:pPr>
            <w:r>
              <w:rPr>
                <w:rFonts w:ascii="Arial" w:cs="Arial" w:eastAsia="Arial" w:hAnsi="Arial"/>
                <w:sz w:val="14"/>
                <w:szCs w:val="14"/>
                <w:b w:val="1"/>
                <w:bCs w:val="1"/>
                <w:color w:val="auto"/>
              </w:rPr>
              <w:t>A Place for Rover Inc. (f/k/a DogVacay, Inc.)</w:t>
            </w:r>
          </w:p>
        </w:tc>
        <w:tc>
          <w:tcPr>
            <w:tcW w:w="12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Seattle, WA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89"/>
              </w:rPr>
              <w:t>Peer-to-Peer Pet Services</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11/3/2014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707,991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2,506,119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460,683</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15"/>
          </w:tcPr>
          <w:p>
            <w:pPr>
              <w:spacing w:after="0"/>
              <w:rPr>
                <w:sz w:val="20"/>
                <w:szCs w:val="20"/>
                <w:color w:val="auto"/>
              </w:rPr>
            </w:pPr>
            <w:r>
              <w:rPr>
                <w:rFonts w:ascii="Arial" w:cs="Arial" w:eastAsia="Arial" w:hAnsi="Arial"/>
                <w:sz w:val="14"/>
                <w:szCs w:val="14"/>
                <w:b w:val="1"/>
                <w:bCs w:val="1"/>
                <w:color w:val="auto"/>
              </w:rPr>
              <w:t>4C Insights (f/k/a The Echo Systems Corp.)</w:t>
            </w:r>
          </w:p>
        </w:tc>
        <w:tc>
          <w:tcPr>
            <w:tcW w:w="12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Chicago, IL</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Social Data Platform</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3/30/2012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436,219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1,436,404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15"/>
          </w:tcPr>
          <w:p>
            <w:pPr>
              <w:spacing w:after="0"/>
              <w:rPr>
                <w:sz w:val="20"/>
                <w:szCs w:val="20"/>
                <w:color w:val="auto"/>
              </w:rPr>
            </w:pPr>
            <w:r>
              <w:rPr>
                <w:rFonts w:ascii="Arial" w:cs="Arial" w:eastAsia="Arial" w:hAnsi="Arial"/>
                <w:sz w:val="14"/>
                <w:szCs w:val="14"/>
                <w:b w:val="1"/>
                <w:bCs w:val="1"/>
                <w:color w:val="auto"/>
              </w:rPr>
              <w:t>Fullbridge, Inc.</w:t>
            </w:r>
          </w:p>
        </w:tc>
        <w:tc>
          <w:tcPr>
            <w:tcW w:w="120" w:type="dxa"/>
            <w:vAlign w:val="bottom"/>
          </w:tcPr>
          <w:p>
            <w:pPr>
              <w:spacing w:after="0"/>
              <w:rPr>
                <w:sz w:val="19"/>
                <w:szCs w:val="19"/>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Cambridge, MA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Business Education</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5/13/2012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517,917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6,150,506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460" w:type="dxa"/>
            <w:vAlign w:val="bottom"/>
            <w:tcBorders>
              <w:bottom w:val="single" w:sz="8" w:color="CCEEFF"/>
            </w:tcBorders>
            <w:gridSpan w:val="15"/>
          </w:tcPr>
          <w:p>
            <w:pPr>
              <w:spacing w:after="0"/>
              <w:rPr>
                <w:sz w:val="20"/>
                <w:szCs w:val="20"/>
                <w:color w:val="auto"/>
              </w:rPr>
            </w:pPr>
            <w:r>
              <w:rPr>
                <w:rFonts w:ascii="Arial" w:cs="Arial" w:eastAsia="Arial" w:hAnsi="Arial"/>
                <w:sz w:val="14"/>
                <w:szCs w:val="14"/>
                <w:color w:val="auto"/>
              </w:rPr>
              <w:t>Promissory Note 1.47%, Due 11/9/2021</w:t>
            </w:r>
            <w:r>
              <w:rPr>
                <w:rFonts w:ascii="Arial" w:cs="Arial" w:eastAsia="Arial" w:hAnsi="Arial"/>
                <w:sz w:val="8"/>
                <w:szCs w:val="8"/>
                <w:color w:val="auto"/>
              </w:rPr>
              <w:t>(4)</w:t>
            </w:r>
          </w:p>
        </w:tc>
        <w:tc>
          <w:tcPr>
            <w:tcW w:w="12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3/3/2016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2,270,458</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2,270,858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3460" w:type="dxa"/>
            <w:vAlign w:val="bottom"/>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8,421,364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7"/>
        </w:trPr>
        <w:tc>
          <w:tcPr>
            <w:tcW w:w="40" w:type="dxa"/>
            <w:vAlign w:val="bottom"/>
            <w:tcBorders>
              <w:top w:val="single" w:sz="8" w:color="CCEEFF"/>
            </w:tcBorders>
          </w:tcPr>
          <w:p>
            <w:pPr>
              <w:spacing w:after="0"/>
              <w:rPr>
                <w:sz w:val="24"/>
                <w:szCs w:val="24"/>
                <w:color w:val="auto"/>
              </w:rPr>
            </w:pPr>
          </w:p>
        </w:tc>
        <w:tc>
          <w:tcPr>
            <w:tcW w:w="3460" w:type="dxa"/>
            <w:vAlign w:val="bottom"/>
            <w:tcBorders>
              <w:top w:val="single" w:sz="8" w:color="CCEEFF"/>
            </w:tcBorders>
            <w:gridSpan w:val="15"/>
          </w:tcPr>
          <w:p>
            <w:pPr>
              <w:ind w:left="140"/>
              <w:spacing w:after="0"/>
              <w:rPr>
                <w:sz w:val="20"/>
                <w:szCs w:val="20"/>
                <w:color w:val="auto"/>
              </w:rPr>
            </w:pPr>
            <w:r>
              <w:rPr>
                <w:rFonts w:ascii="Arial" w:cs="Arial" w:eastAsia="Arial" w:hAnsi="Arial"/>
                <w:sz w:val="14"/>
                <w:szCs w:val="14"/>
                <w:b w:val="1"/>
                <w:bCs w:val="1"/>
                <w:color w:val="auto"/>
              </w:rPr>
              <w:t>Total Non-controlled/Non-affiliate</w:t>
            </w:r>
          </w:p>
        </w:tc>
        <w:tc>
          <w:tcPr>
            <w:tcW w:w="12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86,566,059</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131,324,194</w:t>
            </w:r>
          </w:p>
        </w:tc>
        <w:tc>
          <w:tcPr>
            <w:tcW w:w="10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76.12%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42862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-2931795</wp:posOffset>
            </wp:positionV>
            <wp:extent cx="42862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-3643630</wp:posOffset>
            </wp:positionV>
            <wp:extent cx="42862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862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-4706620</wp:posOffset>
            </wp:positionV>
            <wp:extent cx="42862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7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SUTTER ROCK CAPITAL CORP. AND SUBSIDIARIES CONDENSED CONSOLIDATED SCHEDULE OF INVESTMENTS (UNAUDITED) - continued March 31, 2020</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Headquarters/</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Date of Initial</w:t>
            </w: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Shares/</w:t>
            </w:r>
          </w:p>
        </w:tc>
        <w:tc>
          <w:tcPr>
            <w:tcW w:w="22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460" w:type="dxa"/>
            <w:vAlign w:val="bottom"/>
            <w:gridSpan w:val="7"/>
            <w:vMerge w:val="continue"/>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Industry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Investment</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70"/>
        </w:trPr>
        <w:tc>
          <w:tcPr>
            <w:tcW w:w="40" w:type="dxa"/>
            <w:vAlign w:val="bottom"/>
            <w:tcBorders>
              <w:top w:val="single" w:sz="8" w:color="auto"/>
            </w:tcBorders>
            <w:shd w:val="clear" w:color="auto" w:fill="CCEEFF"/>
          </w:tcPr>
          <w:p>
            <w:pPr>
              <w:spacing w:after="0"/>
              <w:rPr>
                <w:sz w:val="23"/>
                <w:szCs w:val="23"/>
                <w:color w:val="auto"/>
              </w:rPr>
            </w:pPr>
          </w:p>
        </w:tc>
        <w:tc>
          <w:tcPr>
            <w:tcW w:w="346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8"/>
                <w:szCs w:val="8"/>
                <w:color w:val="auto"/>
              </w:rPr>
              <w:t>(1)</w:t>
            </w:r>
          </w:p>
        </w:tc>
        <w:tc>
          <w:tcPr>
            <w:tcW w:w="120" w:type="dxa"/>
            <w:vAlign w:val="bottom"/>
            <w:tcBorders>
              <w:top w:val="single" w:sz="8" w:color="CCEEFF"/>
            </w:tcBorders>
            <w:shd w:val="clear" w:color="auto" w:fill="CCEEFF"/>
          </w:tcPr>
          <w:p>
            <w:pPr>
              <w:spacing w:after="0"/>
              <w:rPr>
                <w:sz w:val="23"/>
                <w:szCs w:val="23"/>
                <w:color w:val="auto"/>
              </w:rPr>
            </w:pPr>
          </w:p>
        </w:tc>
        <w:tc>
          <w:tcPr>
            <w:tcW w:w="2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460" w:type="dxa"/>
            <w:vAlign w:val="bottom"/>
            <w:gridSpan w:val="7"/>
          </w:tcPr>
          <w:p>
            <w:pPr>
              <w:spacing w:after="0"/>
              <w:rPr>
                <w:sz w:val="20"/>
                <w:szCs w:val="20"/>
                <w:color w:val="auto"/>
              </w:rPr>
            </w:pPr>
            <w:r>
              <w:rPr>
                <w:rFonts w:ascii="Arial" w:cs="Arial" w:eastAsia="Arial" w:hAnsi="Arial"/>
                <w:sz w:val="14"/>
                <w:szCs w:val="14"/>
                <w:b w:val="1"/>
                <w:bCs w:val="1"/>
                <w:color w:val="auto"/>
              </w:rPr>
              <w:t>Ozy Media, Inc.</w:t>
            </w:r>
          </w:p>
        </w:tc>
        <w:tc>
          <w:tcPr>
            <w:tcW w:w="12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Mountain View, CA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C-2 6%</w:t>
            </w:r>
          </w:p>
        </w:tc>
        <w:tc>
          <w:tcPr>
            <w:tcW w:w="1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Digital Media Platform</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9/11/2019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683,482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2,414,178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1,856,266</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460" w:type="dxa"/>
            <w:vAlign w:val="bottom"/>
            <w:gridSpan w:val="7"/>
          </w:tcPr>
          <w:p>
            <w:pPr>
              <w:spacing w:after="0" w:line="157" w:lineRule="exact"/>
              <w:rPr>
                <w:sz w:val="20"/>
                <w:szCs w:val="20"/>
                <w:color w:val="auto"/>
              </w:rPr>
            </w:pPr>
            <w:r>
              <w:rPr>
                <w:rFonts w:ascii="Arial" w:cs="Arial" w:eastAsia="Arial" w:hAnsi="Arial"/>
                <w:sz w:val="14"/>
                <w:szCs w:val="14"/>
                <w:color w:val="auto"/>
              </w:rPr>
              <w:t>Common Warrants, Strike Price $0.01, Expiration Date</w:t>
            </w: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20" w:type="dxa"/>
            <w:vAlign w:val="bottom"/>
            <w:gridSpan w:val="2"/>
          </w:tcPr>
          <w:p>
            <w:pPr>
              <w:ind w:left="40"/>
              <w:spacing w:after="0"/>
              <w:rPr>
                <w:sz w:val="20"/>
                <w:szCs w:val="20"/>
                <w:color w:val="auto"/>
              </w:rPr>
            </w:pPr>
            <w:r>
              <w:rPr>
                <w:rFonts w:ascii="Arial" w:cs="Arial" w:eastAsia="Arial" w:hAnsi="Arial"/>
                <w:sz w:val="14"/>
                <w:szCs w:val="14"/>
                <w:color w:val="auto"/>
              </w:rPr>
              <w:t>4/9/2028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4/9/2018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295,565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30,647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529,061</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10/3/2014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922,509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4,999,999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3,334,280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460" w:type="dxa"/>
            <w:vAlign w:val="bottom"/>
            <w:gridSpan w:val="7"/>
          </w:tcPr>
          <w:p>
            <w:pPr>
              <w:spacing w:after="0"/>
              <w:rPr>
                <w:sz w:val="20"/>
                <w:szCs w:val="20"/>
                <w:color w:val="auto"/>
              </w:rPr>
            </w:pPr>
            <w:r>
              <w:rPr>
                <w:rFonts w:ascii="Arial" w:cs="Arial" w:eastAsia="Arial" w:hAnsi="Arial"/>
                <w:sz w:val="14"/>
                <w:szCs w:val="14"/>
                <w:color w:val="auto"/>
              </w:rPr>
              <w:t>Preferred shares, Series A 6%</w:t>
            </w: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12/11/2013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1,090,909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3,000,200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2,679,159</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Seed 6%</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11/2/2012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936,281</w:t>
            </w:r>
          </w:p>
        </w:tc>
        <w:tc>
          <w:tcPr>
            <w:tcW w:w="10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460" w:type="dxa"/>
            <w:vAlign w:val="bottom"/>
            <w:tcBorders>
              <w:bottom w:val="single" w:sz="8" w:color="CCEEFF"/>
            </w:tcBorders>
            <w:gridSpan w:val="7"/>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10,945,024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9,335,047</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StormWind, LLC</w:t>
            </w:r>
            <w:r>
              <w:rPr>
                <w:rFonts w:ascii="Arial" w:cs="Arial" w:eastAsia="Arial" w:hAnsi="Arial"/>
                <w:sz w:val="8"/>
                <w:szCs w:val="8"/>
                <w:color w:val="auto"/>
              </w:rPr>
              <w:t>(5)</w:t>
            </w:r>
          </w:p>
        </w:tc>
        <w:tc>
          <w:tcPr>
            <w:tcW w:w="12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Scottsdale, AZ</w:t>
            </w: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460" w:type="dxa"/>
            <w:vAlign w:val="bottom"/>
            <w:gridSpan w:val="7"/>
          </w:tcPr>
          <w:p>
            <w:pPr>
              <w:spacing w:after="0"/>
              <w:rPr>
                <w:sz w:val="20"/>
                <w:szCs w:val="20"/>
                <w:color w:val="auto"/>
              </w:rPr>
            </w:pPr>
            <w:r>
              <w:rPr>
                <w:rFonts w:ascii="Arial" w:cs="Arial" w:eastAsia="Arial" w:hAnsi="Arial"/>
                <w:sz w:val="14"/>
                <w:szCs w:val="14"/>
                <w:color w:val="auto"/>
              </w:rPr>
              <w:t>Preferred shares, Series D 8%</w:t>
            </w:r>
          </w:p>
        </w:tc>
        <w:tc>
          <w:tcPr>
            <w:tcW w:w="120" w:type="dxa"/>
            <w:vAlign w:val="bottom"/>
          </w:tcPr>
          <w:p>
            <w:pPr>
              <w:spacing w:after="0"/>
              <w:rPr>
                <w:sz w:val="22"/>
                <w:szCs w:val="22"/>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Interactive Learning</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11/26/2019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329,337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257,267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481,017</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C 8%</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1/7/2014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2,779,134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4,000,787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5,183,837</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460" w:type="dxa"/>
            <w:vAlign w:val="bottom"/>
            <w:gridSpan w:val="7"/>
          </w:tcPr>
          <w:p>
            <w:pPr>
              <w:spacing w:after="0"/>
              <w:rPr>
                <w:sz w:val="20"/>
                <w:szCs w:val="20"/>
                <w:color w:val="auto"/>
              </w:rPr>
            </w:pPr>
            <w:r>
              <w:rPr>
                <w:rFonts w:ascii="Arial" w:cs="Arial" w:eastAsia="Arial" w:hAnsi="Arial"/>
                <w:sz w:val="14"/>
                <w:szCs w:val="14"/>
                <w:color w:val="auto"/>
              </w:rPr>
              <w:t>Preferred shares, Series B 8%</w:t>
            </w: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12/16/2011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3,279,629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2,019,687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3,028,699</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2/25/2014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366,666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133,341</w:t>
            </w:r>
          </w:p>
        </w:tc>
        <w:tc>
          <w:tcPr>
            <w:tcW w:w="10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460" w:type="dxa"/>
            <w:vAlign w:val="bottom"/>
            <w:tcBorders>
              <w:bottom w:val="single" w:sz="8" w:color="CCEEFF"/>
            </w:tcBorders>
            <w:gridSpan w:val="7"/>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6,387,741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8,826,894</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249"/>
        </w:trPr>
        <w:tc>
          <w:tcPr>
            <w:tcW w:w="40" w:type="dxa"/>
            <w:vAlign w:val="bottom"/>
            <w:shd w:val="clear" w:color="auto" w:fill="CCEEFF"/>
          </w:tcPr>
          <w:p>
            <w:pPr>
              <w:spacing w:after="0"/>
              <w:rPr>
                <w:sz w:val="21"/>
                <w:szCs w:val="21"/>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GreenAcreage Real Estate Corp.</w:t>
            </w:r>
          </w:p>
        </w:tc>
        <w:tc>
          <w:tcPr>
            <w:tcW w:w="12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New York, NY</w:t>
            </w: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200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(9)</w:t>
            </w:r>
          </w:p>
        </w:tc>
        <w:tc>
          <w:tcPr>
            <w:tcW w:w="1460" w:type="dxa"/>
            <w:vAlign w:val="bottom"/>
            <w:tcBorders>
              <w:top w:val="single" w:sz="8" w:color="CCEEFF"/>
            </w:tcBorders>
            <w:gridSpan w:val="2"/>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14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4"/>
              </w:rPr>
              <w:t>Cannabis REIT</w:t>
            </w:r>
          </w:p>
        </w:tc>
        <w:tc>
          <w:tcPr>
            <w:tcW w:w="100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6"/>
              </w:rPr>
              <w:t>8/12/2019</w:t>
            </w:r>
          </w:p>
        </w:tc>
        <w:tc>
          <w:tcPr>
            <w:tcW w:w="1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375,000</w:t>
            </w:r>
          </w:p>
        </w:tc>
        <w:tc>
          <w:tcPr>
            <w:tcW w:w="12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7,501,530</w:t>
            </w:r>
          </w:p>
        </w:tc>
        <w:tc>
          <w:tcPr>
            <w:tcW w:w="1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6,750,000</w:t>
            </w:r>
          </w:p>
        </w:tc>
        <w:tc>
          <w:tcPr>
            <w:tcW w:w="10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4"/>
                <w:szCs w:val="14"/>
                <w:b w:val="1"/>
                <w:bCs w:val="1"/>
                <w:color w:val="auto"/>
                <w:w w:val="94"/>
              </w:rPr>
              <w:t>NestGSV, Inc. (d/b/a GSV Labs, Inc.)</w:t>
            </w: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San Mateo, CA</w:t>
            </w: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460" w:type="dxa"/>
            <w:vAlign w:val="bottom"/>
            <w:gridSpan w:val="7"/>
          </w:tcPr>
          <w:p>
            <w:pPr>
              <w:spacing w:after="0"/>
              <w:rPr>
                <w:sz w:val="20"/>
                <w:szCs w:val="20"/>
                <w:color w:val="auto"/>
              </w:rPr>
            </w:pPr>
            <w:r>
              <w:rPr>
                <w:rFonts w:ascii="Arial" w:cs="Arial" w:eastAsia="Arial" w:hAnsi="Arial"/>
                <w:sz w:val="14"/>
                <w:szCs w:val="14"/>
                <w:color w:val="auto"/>
              </w:rPr>
              <w:t>Derivative Security, Expiration Date 8/23/2024</w:t>
            </w:r>
            <w:r>
              <w:rPr>
                <w:rFonts w:ascii="Arial" w:cs="Arial" w:eastAsia="Arial" w:hAnsi="Arial"/>
                <w:sz w:val="8"/>
                <w:szCs w:val="8"/>
                <w:color w:val="auto"/>
              </w:rPr>
              <w:t>(7)</w:t>
            </w:r>
          </w:p>
        </w:tc>
        <w:tc>
          <w:tcPr>
            <w:tcW w:w="120" w:type="dxa"/>
            <w:vAlign w:val="bottom"/>
          </w:tcPr>
          <w:p>
            <w:pPr>
              <w:spacing w:after="0"/>
              <w:rPr>
                <w:sz w:val="22"/>
                <w:szCs w:val="22"/>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Global Innovation Platform</w:t>
            </w: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8/23/2019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8,555,124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1,996,070</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Convertible Promissory Note 8% Due 8/23/2024</w:t>
            </w:r>
            <w:r>
              <w:rPr>
                <w:rFonts w:ascii="Arial" w:cs="Arial" w:eastAsia="Arial" w:hAnsi="Arial"/>
                <w:sz w:val="8"/>
                <w:szCs w:val="8"/>
                <w:color w:val="auto"/>
              </w:rPr>
              <w:t>(4)(7)</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2/17/2016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1,010,198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1,030,176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505,099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460" w:type="dxa"/>
            <w:vAlign w:val="bottom"/>
            <w:gridSpan w:val="7"/>
          </w:tcPr>
          <w:p>
            <w:pPr>
              <w:spacing w:after="0" w:line="157" w:lineRule="exact"/>
              <w:rPr>
                <w:sz w:val="20"/>
                <w:szCs w:val="20"/>
                <w:color w:val="auto"/>
              </w:rPr>
            </w:pPr>
            <w:r>
              <w:rPr>
                <w:rFonts w:ascii="Arial" w:cs="Arial" w:eastAsia="Arial" w:hAnsi="Arial"/>
                <w:sz w:val="14"/>
                <w:szCs w:val="14"/>
                <w:color w:val="auto"/>
              </w:rPr>
              <w:t>Preferred Warrants Series A-3, Strike Price $1.33,</w:t>
            </w: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460" w:type="dxa"/>
            <w:vAlign w:val="bottom"/>
            <w:gridSpan w:val="7"/>
          </w:tcPr>
          <w:p>
            <w:pPr>
              <w:spacing w:after="0"/>
              <w:rPr>
                <w:sz w:val="20"/>
                <w:szCs w:val="20"/>
                <w:color w:val="auto"/>
              </w:rPr>
            </w:pPr>
            <w:r>
              <w:rPr>
                <w:rFonts w:ascii="Arial" w:cs="Arial" w:eastAsia="Arial" w:hAnsi="Arial"/>
                <w:sz w:val="14"/>
                <w:szCs w:val="14"/>
                <w:color w:val="auto"/>
              </w:rPr>
              <w:t>Expiration Date 4/4/2021</w:t>
            </w: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4/4/2014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187,500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10,313</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Warrants Series A-4, Strike Price $1.33,</w:t>
            </w:r>
          </w:p>
        </w:tc>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Expiration Date 10/6/2021</w:t>
            </w:r>
          </w:p>
        </w:tc>
        <w:tc>
          <w:tcPr>
            <w:tcW w:w="1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10/6/2014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70,000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460" w:type="dxa"/>
            <w:vAlign w:val="bottom"/>
            <w:gridSpan w:val="7"/>
          </w:tcPr>
          <w:p>
            <w:pPr>
              <w:spacing w:after="0" w:line="157" w:lineRule="exact"/>
              <w:rPr>
                <w:sz w:val="20"/>
                <w:szCs w:val="20"/>
                <w:color w:val="auto"/>
              </w:rPr>
            </w:pPr>
            <w:r>
              <w:rPr>
                <w:rFonts w:ascii="Arial" w:cs="Arial" w:eastAsia="Arial" w:hAnsi="Arial"/>
                <w:sz w:val="14"/>
                <w:szCs w:val="14"/>
                <w:color w:val="auto"/>
              </w:rPr>
              <w:t>Preferred Warrants Series A-4, Strike Price $1.33,</w:t>
            </w: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460" w:type="dxa"/>
            <w:vAlign w:val="bottom"/>
            <w:gridSpan w:val="7"/>
          </w:tcPr>
          <w:p>
            <w:pPr>
              <w:spacing w:after="0"/>
              <w:rPr>
                <w:sz w:val="20"/>
                <w:szCs w:val="20"/>
                <w:color w:val="auto"/>
              </w:rPr>
            </w:pPr>
            <w:r>
              <w:rPr>
                <w:rFonts w:ascii="Arial" w:cs="Arial" w:eastAsia="Arial" w:hAnsi="Arial"/>
                <w:sz w:val="14"/>
                <w:szCs w:val="14"/>
                <w:color w:val="auto"/>
              </w:rPr>
              <w:t>Expiration Date 7/18/2021</w:t>
            </w: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7/8/2016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74,380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32,500</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color w:val="auto"/>
                <w:w w:val="94"/>
              </w:rPr>
              <w:t>Preferred Warrants Series B, Strike Price $2.31, Expiration</w:t>
            </w:r>
          </w:p>
        </w:tc>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Date 11/29/2021</w:t>
            </w:r>
          </w:p>
        </w:tc>
        <w:tc>
          <w:tcPr>
            <w:tcW w:w="1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11/29/2016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460" w:type="dxa"/>
            <w:vAlign w:val="bottom"/>
            <w:gridSpan w:val="7"/>
          </w:tcPr>
          <w:p>
            <w:pPr>
              <w:spacing w:after="0" w:line="157" w:lineRule="exact"/>
              <w:rPr>
                <w:sz w:val="20"/>
                <w:szCs w:val="20"/>
                <w:color w:val="auto"/>
              </w:rPr>
            </w:pPr>
            <w:r>
              <w:rPr>
                <w:rFonts w:ascii="Arial" w:cs="Arial" w:eastAsia="Arial" w:hAnsi="Arial"/>
                <w:sz w:val="14"/>
                <w:szCs w:val="14"/>
                <w:color w:val="auto"/>
                <w:w w:val="96"/>
              </w:rPr>
              <w:t>Preferred Warrant Series B, Strike Price $2.31, Expiration</w:t>
            </w: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460" w:type="dxa"/>
            <w:vAlign w:val="bottom"/>
            <w:gridSpan w:val="7"/>
          </w:tcPr>
          <w:p>
            <w:pPr>
              <w:spacing w:after="0"/>
              <w:rPr>
                <w:sz w:val="20"/>
                <w:szCs w:val="20"/>
                <w:color w:val="auto"/>
              </w:rPr>
            </w:pPr>
            <w:r>
              <w:rPr>
                <w:rFonts w:ascii="Arial" w:cs="Arial" w:eastAsia="Arial" w:hAnsi="Arial"/>
                <w:sz w:val="14"/>
                <w:szCs w:val="14"/>
                <w:color w:val="auto"/>
              </w:rPr>
              <w:t>Date 5/29/2022</w:t>
            </w:r>
          </w:p>
        </w:tc>
        <w:tc>
          <w:tcPr>
            <w:tcW w:w="1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5/29/2017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125,000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70,379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color w:val="auto"/>
                <w:w w:val="96"/>
              </w:rPr>
              <w:t>Preferred Warrant Series B, Strike Price $2.31, Expiration</w:t>
            </w:r>
          </w:p>
        </w:tc>
        <w:tc>
          <w:tcPr>
            <w:tcW w:w="120" w:type="dxa"/>
            <w:vAlign w:val="bottom"/>
            <w:shd w:val="clear" w:color="auto" w:fill="CCEEFF"/>
          </w:tcPr>
          <w:p>
            <w:pPr>
              <w:spacing w:after="0"/>
              <w:rPr>
                <w:sz w:val="14"/>
                <w:szCs w:val="14"/>
                <w:color w:val="auto"/>
              </w:rPr>
            </w:pPr>
          </w:p>
        </w:tc>
        <w:tc>
          <w:tcPr>
            <w:tcW w:w="2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Date 12/31/2023</w:t>
            </w:r>
          </w:p>
        </w:tc>
        <w:tc>
          <w:tcPr>
            <w:tcW w:w="12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12/31/2018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5,080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3460" w:type="dxa"/>
            <w:vAlign w:val="bottom"/>
            <w:tcBorders>
              <w:bottom w:val="single" w:sz="8" w:color="CCEEFF"/>
            </w:tcBorders>
            <w:gridSpan w:val="7"/>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1"/>
                <w:szCs w:val="21"/>
                <w:color w:val="auto"/>
              </w:rPr>
            </w:pPr>
          </w:p>
        </w:tc>
        <w:tc>
          <w:tcPr>
            <w:tcW w:w="20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9,764,414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2,616,482</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49"/>
        </w:trPr>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w w:val="97"/>
              </w:rPr>
              <w:t>CUX, Inc. (d/b/a CorpU)</w:t>
            </w:r>
          </w:p>
        </w:tc>
        <w:tc>
          <w:tcPr>
            <w:tcW w:w="1940" w:type="dxa"/>
            <w:vAlign w:val="bottom"/>
            <w:tcBorders>
              <w:bottom w:val="single" w:sz="8" w:color="CCEEFF"/>
            </w:tcBorders>
            <w:gridSpan w:val="3"/>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Philadelphia, PA</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460" w:type="dxa"/>
            <w:vAlign w:val="bottom"/>
            <w:gridSpan w:val="7"/>
          </w:tcPr>
          <w:p>
            <w:pPr>
              <w:spacing w:after="0" w:line="157" w:lineRule="exact"/>
              <w:rPr>
                <w:sz w:val="20"/>
                <w:szCs w:val="20"/>
                <w:color w:val="auto"/>
              </w:rPr>
            </w:pPr>
            <w:r>
              <w:rPr>
                <w:rFonts w:ascii="Arial" w:cs="Arial" w:eastAsia="Arial" w:hAnsi="Arial"/>
                <w:sz w:val="14"/>
                <w:szCs w:val="14"/>
                <w:color w:val="auto"/>
                <w:w w:val="94"/>
              </w:rPr>
              <w:t>Senior Subordinated Convertible Promissory Note 4% Due</w:t>
            </w:r>
          </w:p>
        </w:tc>
        <w:tc>
          <w:tcPr>
            <w:tcW w:w="1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020" w:type="dxa"/>
            <w:vAlign w:val="bottom"/>
            <w:gridSpan w:val="2"/>
          </w:tcPr>
          <w:p>
            <w:pPr>
              <w:ind w:left="40"/>
              <w:spacing w:after="0"/>
              <w:rPr>
                <w:sz w:val="20"/>
                <w:szCs w:val="20"/>
                <w:color w:val="auto"/>
              </w:rPr>
            </w:pPr>
            <w:r>
              <w:rPr>
                <w:rFonts w:ascii="Arial" w:cs="Arial" w:eastAsia="Arial" w:hAnsi="Arial"/>
                <w:sz w:val="14"/>
                <w:szCs w:val="14"/>
                <w:color w:val="auto"/>
              </w:rPr>
              <w:t>2/14/2023</w:t>
            </w:r>
            <w:r>
              <w:rPr>
                <w:rFonts w:ascii="Arial" w:cs="Arial" w:eastAsia="Arial" w:hAnsi="Arial"/>
                <w:sz w:val="8"/>
                <w:szCs w:val="8"/>
                <w:color w:val="auto"/>
              </w:rPr>
              <w:t>(4)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Corporate Education</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11/26/2014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1,251,158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1,256,191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312,789</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Convertible preferred shares, Series D 6%</w:t>
            </w:r>
          </w:p>
        </w:tc>
        <w:tc>
          <w:tcPr>
            <w:tcW w:w="1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5/31/2013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169,033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778,607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27,642</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460" w:type="dxa"/>
            <w:vAlign w:val="bottom"/>
            <w:gridSpan w:val="7"/>
          </w:tcPr>
          <w:p>
            <w:pPr>
              <w:spacing w:after="0"/>
              <w:rPr>
                <w:sz w:val="20"/>
                <w:szCs w:val="20"/>
                <w:color w:val="auto"/>
              </w:rPr>
            </w:pPr>
            <w:r>
              <w:rPr>
                <w:rFonts w:ascii="Arial" w:cs="Arial" w:eastAsia="Arial" w:hAnsi="Arial"/>
                <w:sz w:val="14"/>
                <w:szCs w:val="14"/>
                <w:color w:val="auto"/>
              </w:rPr>
              <w:t>Convertible preferred shares, Series C 8%</w:t>
            </w: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3/29/2012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615,763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2,006,077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0" w:type="dxa"/>
            <w:vAlign w:val="bottom"/>
            <w:tcBorders>
              <w:top w:val="single" w:sz="8" w:color="CCEEFF"/>
            </w:tcBorders>
            <w:shd w:val="clear" w:color="auto" w:fill="CCEEFF"/>
          </w:tcPr>
          <w:p>
            <w:pPr>
              <w:spacing w:after="0"/>
              <w:rPr>
                <w:sz w:val="22"/>
                <w:szCs w:val="22"/>
                <w:color w:val="auto"/>
              </w:rPr>
            </w:pPr>
          </w:p>
        </w:tc>
        <w:tc>
          <w:tcPr>
            <w:tcW w:w="3460" w:type="dxa"/>
            <w:vAlign w:val="bottom"/>
            <w:tcBorders>
              <w:top w:val="single" w:sz="8" w:color="CCEEFF"/>
            </w:tcBorders>
            <w:gridSpan w:val="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tcBorders>
            <w:shd w:val="clear" w:color="auto" w:fill="CCEEFF"/>
          </w:tcPr>
          <w:p>
            <w:pPr>
              <w:spacing w:after="0"/>
              <w:rPr>
                <w:sz w:val="22"/>
                <w:szCs w:val="22"/>
                <w:color w:val="auto"/>
              </w:rPr>
            </w:pPr>
          </w:p>
        </w:tc>
        <w:tc>
          <w:tcPr>
            <w:tcW w:w="20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4,040,875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340,431</w:t>
            </w: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60" w:type="dxa"/>
            <w:vAlign w:val="bottom"/>
            <w:gridSpan w:val="7"/>
          </w:tcPr>
          <w:p>
            <w:pPr>
              <w:spacing w:after="0"/>
              <w:rPr>
                <w:sz w:val="20"/>
                <w:szCs w:val="20"/>
                <w:color w:val="auto"/>
              </w:rPr>
            </w:pPr>
            <w:r>
              <w:rPr>
                <w:rFonts w:ascii="Arial" w:cs="Arial" w:eastAsia="Arial" w:hAnsi="Arial"/>
                <w:sz w:val="14"/>
                <w:szCs w:val="14"/>
                <w:b w:val="1"/>
                <w:bCs w:val="1"/>
                <w:color w:val="auto"/>
              </w:rPr>
              <w:t>Maven Research, Inc.</w:t>
            </w:r>
          </w:p>
        </w:tc>
        <w:tc>
          <w:tcPr>
            <w:tcW w:w="120" w:type="dxa"/>
            <w:vAlign w:val="bottom"/>
          </w:tcPr>
          <w:p>
            <w:pPr>
              <w:spacing w:after="0"/>
              <w:rPr>
                <w:sz w:val="19"/>
                <w:szCs w:val="19"/>
                <w:color w:val="auto"/>
              </w:rPr>
            </w:pP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San Francisco, CA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C 8%</w:t>
            </w:r>
          </w:p>
        </w:tc>
        <w:tc>
          <w:tcPr>
            <w:tcW w:w="1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Knowledge Networks</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7/2/2012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318,979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2,000,447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460" w:type="dxa"/>
            <w:vAlign w:val="bottom"/>
            <w:tcBorders>
              <w:bottom w:val="single" w:sz="8" w:color="CCEEFF"/>
            </w:tcBorders>
            <w:gridSpan w:val="7"/>
          </w:tcPr>
          <w:p>
            <w:pPr>
              <w:spacing w:after="0"/>
              <w:rPr>
                <w:sz w:val="20"/>
                <w:szCs w:val="20"/>
                <w:color w:val="auto"/>
              </w:rPr>
            </w:pPr>
            <w:r>
              <w:rPr>
                <w:rFonts w:ascii="Arial" w:cs="Arial" w:eastAsia="Arial" w:hAnsi="Arial"/>
                <w:sz w:val="14"/>
                <w:szCs w:val="14"/>
                <w:color w:val="auto"/>
              </w:rPr>
              <w:t>Preferred shares, Series B 5%</w:t>
            </w:r>
          </w:p>
        </w:tc>
        <w:tc>
          <w:tcPr>
            <w:tcW w:w="12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2/28/2012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49,505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217,206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7"/>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2,217,653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460" w:type="dxa"/>
            <w:vAlign w:val="bottom"/>
            <w:gridSpan w:val="7"/>
          </w:tcPr>
          <w:p>
            <w:pPr>
              <w:spacing w:after="0"/>
              <w:rPr>
                <w:sz w:val="20"/>
                <w:szCs w:val="20"/>
                <w:color w:val="auto"/>
              </w:rPr>
            </w:pPr>
            <w:r>
              <w:rPr>
                <w:rFonts w:ascii="Arial" w:cs="Arial" w:eastAsia="Arial" w:hAnsi="Arial"/>
                <w:sz w:val="14"/>
                <w:szCs w:val="14"/>
                <w:b w:val="1"/>
                <w:bCs w:val="1"/>
                <w:color w:val="auto"/>
              </w:rPr>
              <w:t>Curious.com, Inc.</w:t>
            </w:r>
          </w:p>
        </w:tc>
        <w:tc>
          <w:tcPr>
            <w:tcW w:w="120" w:type="dxa"/>
            <w:vAlign w:val="bottom"/>
            <w:tcBorders>
              <w:top w:val="single" w:sz="8" w:color="CCEEFF"/>
            </w:tcBorders>
          </w:tcPr>
          <w:p>
            <w:pPr>
              <w:spacing w:after="0"/>
              <w:rPr>
                <w:sz w:val="19"/>
                <w:szCs w:val="19"/>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Menlo Park, CA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1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Online Education</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11/22/2013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1,135,944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12,000,006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460" w:type="dxa"/>
            <w:vAlign w:val="bottom"/>
            <w:gridSpan w:val="7"/>
            <w:shd w:val="clear" w:color="auto" w:fill="CCEEFF"/>
          </w:tcPr>
          <w:p>
            <w:pPr>
              <w:ind w:left="140"/>
              <w:spacing w:after="0"/>
              <w:rPr>
                <w:sz w:val="20"/>
                <w:szCs w:val="20"/>
                <w:color w:val="auto"/>
              </w:rPr>
            </w:pPr>
            <w:r>
              <w:rPr>
                <w:rFonts w:ascii="Arial" w:cs="Arial" w:eastAsia="Arial" w:hAnsi="Arial"/>
                <w:sz w:val="14"/>
                <w:szCs w:val="14"/>
                <w:b w:val="1"/>
                <w:bCs w:val="1"/>
                <w:color w:val="auto"/>
              </w:rPr>
              <w:t>Total Non-controlled/Affiliate</w:t>
            </w:r>
          </w:p>
        </w:tc>
        <w:tc>
          <w:tcPr>
            <w:tcW w:w="120" w:type="dxa"/>
            <w:vAlign w:val="bottom"/>
            <w:shd w:val="clear" w:color="auto" w:fill="CCEEFF"/>
          </w:tcPr>
          <w:p>
            <w:pPr>
              <w:spacing w:after="0"/>
              <w:rPr>
                <w:sz w:val="23"/>
                <w:szCs w:val="23"/>
                <w:color w:val="auto"/>
              </w:rPr>
            </w:pP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52,857,243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27,868,854</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-6102985</wp:posOffset>
            </wp:positionV>
            <wp:extent cx="35744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79"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SUTTER ROCK CAPITAL CORP. AND SUBSIDIARIES CONDENSED CONSOLIDATED SCHEDULE OF INVESTMENTS (UNAUDITED) - continued March 31, 2020</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vMerge w:val="restart"/>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Headquarters/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Date of Initial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69"/>
        </w:trPr>
        <w:tc>
          <w:tcPr>
            <w:tcW w:w="40" w:type="dxa"/>
            <w:vAlign w:val="bottom"/>
            <w:shd w:val="clear" w:color="auto" w:fill="CCEEFF"/>
          </w:tcPr>
          <w:p>
            <w:pPr>
              <w:spacing w:after="0"/>
              <w:rPr>
                <w:sz w:val="23"/>
                <w:szCs w:val="23"/>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CONTROLLED</w:t>
            </w:r>
            <w:r>
              <w:rPr>
                <w:rFonts w:ascii="Arial" w:cs="Arial" w:eastAsia="Arial" w:hAnsi="Arial"/>
                <w:sz w:val="8"/>
                <w:szCs w:val="8"/>
                <w:b w:val="1"/>
                <w:bCs w:val="1"/>
                <w:color w:val="auto"/>
              </w:rPr>
              <w:t>(2)</w:t>
            </w: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SPBRX, INC. (f/k/a GSV Sustainability Partners, Inc.)</w:t>
            </w:r>
          </w:p>
        </w:tc>
        <w:tc>
          <w:tcPr>
            <w:tcW w:w="214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Cupertino, CA</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Preferred shares, Class A***</w:t>
            </w:r>
            <w:r>
              <w:rPr>
                <w:rFonts w:ascii="Arial" w:cs="Arial" w:eastAsia="Arial" w:hAnsi="Arial"/>
                <w:sz w:val="8"/>
                <w:szCs w:val="8"/>
                <w:color w:val="auto"/>
              </w:rPr>
              <w:t>(6)</w:t>
            </w:r>
          </w:p>
        </w:tc>
        <w:tc>
          <w:tcPr>
            <w:tcW w:w="214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2"/>
              </w:rPr>
              <w:t>Clean Technology</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4/15/2014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14,300,000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7,151,412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729,500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580" w:type="dxa"/>
            <w:vAlign w:val="bottom"/>
            <w:gridSpan w:val="4"/>
          </w:tcPr>
          <w:p>
            <w:pPr>
              <w:spacing w:after="0"/>
              <w:rPr>
                <w:sz w:val="20"/>
                <w:szCs w:val="20"/>
                <w:color w:val="auto"/>
              </w:rPr>
            </w:pPr>
            <w:r>
              <w:rPr>
                <w:rFonts w:ascii="Arial" w:cs="Arial" w:eastAsia="Arial" w:hAnsi="Arial"/>
                <w:sz w:val="14"/>
                <w:szCs w:val="14"/>
                <w:color w:val="auto"/>
              </w:rPr>
              <w:t>Common shares</w:t>
            </w: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4/15/2014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346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tcBorders>
            <w:shd w:val="clear" w:color="auto" w:fill="CCEEFF"/>
          </w:tcPr>
          <w:p>
            <w:pPr>
              <w:spacing w:after="0"/>
              <w:rPr>
                <w:sz w:val="22"/>
                <w:szCs w:val="22"/>
                <w:color w:val="auto"/>
              </w:rPr>
            </w:pPr>
          </w:p>
        </w:tc>
        <w:tc>
          <w:tcPr>
            <w:tcW w:w="20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7,161,412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729,500</w:t>
            </w:r>
          </w:p>
        </w:tc>
        <w:tc>
          <w:tcPr>
            <w:tcW w:w="100" w:type="dxa"/>
            <w:vAlign w:val="bottom"/>
            <w:tcBorders>
              <w:top w:val="single" w:sz="8" w:color="CCEEFF"/>
            </w:tcBorders>
            <w:shd w:val="clear" w:color="auto" w:fill="CCEEFF"/>
          </w:tcPr>
          <w:p>
            <w:pPr>
              <w:spacing w:after="0"/>
              <w:rPr>
                <w:sz w:val="22"/>
                <w:szCs w:val="22"/>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580" w:type="dxa"/>
            <w:vAlign w:val="bottom"/>
            <w:gridSpan w:val="4"/>
            <w:shd w:val="clear" w:color="auto" w:fill="CCEEFF"/>
          </w:tcPr>
          <w:p>
            <w:pPr>
              <w:ind w:left="140"/>
              <w:spacing w:after="0"/>
              <w:rPr>
                <w:sz w:val="20"/>
                <w:szCs w:val="20"/>
                <w:color w:val="auto"/>
              </w:rPr>
            </w:pPr>
            <w:r>
              <w:rPr>
                <w:rFonts w:ascii="Arial" w:cs="Arial" w:eastAsia="Arial" w:hAnsi="Arial"/>
                <w:sz w:val="14"/>
                <w:szCs w:val="14"/>
                <w:b w:val="1"/>
                <w:bCs w:val="1"/>
                <w:color w:val="auto"/>
              </w:rPr>
              <w:t>Total Controlled</w:t>
            </w:r>
          </w:p>
        </w:tc>
        <w:tc>
          <w:tcPr>
            <w:tcW w:w="2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7,161,412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729,500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0.42%</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580" w:type="dxa"/>
            <w:vAlign w:val="bottom"/>
            <w:gridSpan w:val="4"/>
            <w:shd w:val="clear" w:color="auto" w:fill="CCEEFF"/>
          </w:tcPr>
          <w:p>
            <w:pPr>
              <w:ind w:left="140"/>
              <w:spacing w:after="0"/>
              <w:rPr>
                <w:sz w:val="20"/>
                <w:szCs w:val="20"/>
                <w:color w:val="auto"/>
              </w:rPr>
            </w:pPr>
            <w:r>
              <w:rPr>
                <w:rFonts w:ascii="Arial" w:cs="Arial" w:eastAsia="Arial" w:hAnsi="Arial"/>
                <w:sz w:val="14"/>
                <w:szCs w:val="14"/>
                <w:b w:val="1"/>
                <w:bCs w:val="1"/>
                <w:color w:val="auto"/>
              </w:rPr>
              <w:t>Total Portfolio Investments</w:t>
            </w:r>
          </w:p>
        </w:tc>
        <w:tc>
          <w:tcPr>
            <w:tcW w:w="2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146,584,714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159,922,548</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92.70%</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U.S. Treasury</w:t>
            </w: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80" w:type="dxa"/>
            <w:vAlign w:val="bottom"/>
            <w:gridSpan w:val="4"/>
          </w:tcPr>
          <w:p>
            <w:pPr>
              <w:spacing w:after="0"/>
              <w:rPr>
                <w:sz w:val="20"/>
                <w:szCs w:val="20"/>
                <w:color w:val="auto"/>
              </w:rPr>
            </w:pPr>
            <w:r>
              <w:rPr>
                <w:rFonts w:ascii="Arial" w:cs="Arial" w:eastAsia="Arial" w:hAnsi="Arial"/>
                <w:sz w:val="14"/>
                <w:szCs w:val="14"/>
                <w:color w:val="auto"/>
              </w:rPr>
              <w:t>U.S. Treasury bill, 0%, due 4/2/2020***</w:t>
            </w:r>
            <w:r>
              <w:rPr>
                <w:rFonts w:ascii="Arial" w:cs="Arial" w:eastAsia="Arial" w:hAnsi="Arial"/>
                <w:sz w:val="8"/>
                <w:szCs w:val="8"/>
                <w:color w:val="auto"/>
              </w:rPr>
              <w:t>(3)</w:t>
            </w: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6"/>
              </w:rPr>
              <w:t>3/30/2020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50,000,000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50,000,556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50,000,000</w:t>
            </w: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303"/>
        </w:trPr>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5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TOTAL INVESTMENTS</w:t>
            </w:r>
          </w:p>
        </w:tc>
        <w:tc>
          <w:tcPr>
            <w:tcW w:w="2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196,585,270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209,922,548</w:t>
            </w:r>
          </w:p>
        </w:tc>
        <w:tc>
          <w:tcPr>
            <w:tcW w:w="100" w:type="dxa"/>
            <w:vAlign w:val="bottom"/>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121.68%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-385445</wp:posOffset>
            </wp:positionV>
            <wp:extent cx="6343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43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22117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-1807845</wp:posOffset>
            </wp:positionV>
            <wp:extent cx="49891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89195"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condensed consolidated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w:t>
      </w:r>
    </w:p>
    <w:p>
      <w:pPr>
        <w:spacing w:after="0" w:line="2" w:lineRule="exact"/>
        <w:rPr>
          <w:sz w:val="20"/>
          <w:szCs w:val="20"/>
          <w:color w:val="auto"/>
        </w:rPr>
      </w:pPr>
    </w:p>
    <w:p>
      <w:pPr>
        <w:jc w:val="both"/>
        <w:ind w:left="500" w:hanging="492"/>
        <w:spacing w:after="0" w:line="313"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4"/>
          <w:szCs w:val="14"/>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 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w:t>
      </w:r>
    </w:p>
    <w:p>
      <w:pPr>
        <w:ind w:left="500"/>
        <w:spacing w:after="0"/>
        <w:rPr>
          <w:sz w:val="20"/>
          <w:szCs w:val="20"/>
          <w:color w:val="auto"/>
        </w:rPr>
      </w:pPr>
      <w:r>
        <w:rPr>
          <w:rFonts w:ascii="Arial" w:cs="Arial" w:eastAsia="Arial" w:hAnsi="Arial"/>
          <w:sz w:val="16"/>
          <w:szCs w:val="16"/>
          <w:color w:val="auto"/>
        </w:rPr>
        <w:t>determined in good faith by the Company’s Board of Directors.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w:t>
      </w:r>
    </w:p>
    <w:p>
      <w:pPr>
        <w:spacing w:after="0" w:line="22" w:lineRule="exact"/>
        <w:rPr>
          <w:sz w:val="20"/>
          <w:szCs w:val="20"/>
          <w:color w:val="auto"/>
        </w:rPr>
      </w:pPr>
    </w:p>
    <w:p>
      <w:pPr>
        <w:ind w:left="500" w:right="20" w:hanging="492"/>
        <w:spacing w:after="0" w:line="253"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Indicates assets that Sutter Rock Capital Corp. believes do not represent “qualifying assets” under Section 55(a) of the Investment Company Act of 1940, as amended (the “1940 Act”). Of the Company’s total investments as of March 31, 2020, 0.00% of its total investments are non-qualifying assets.</w:t>
      </w: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180" w:lineRule="exact"/>
        <w:rPr>
          <w:sz w:val="20"/>
          <w:szCs w:val="20"/>
          <w:color w:val="auto"/>
        </w:rPr>
      </w:pPr>
    </w:p>
    <w:p>
      <w:pPr>
        <w:jc w:val="both"/>
        <w:ind w:left="500" w:hanging="492"/>
        <w:spacing w:after="0" w:line="256"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Sutter Rock Capital Corp., as defined in the 1940 Act. In general, a company is deemed to be an “Affiliate” of Sutter Rock Capital Corp. if Sutter Rock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159" w:lineRule="exact"/>
        <w:rPr>
          <w:rFonts w:ascii="Arial" w:cs="Arial" w:eastAsia="Arial" w:hAnsi="Arial"/>
          <w:sz w:val="16"/>
          <w:szCs w:val="16"/>
          <w:color w:val="auto"/>
        </w:rPr>
      </w:pPr>
    </w:p>
    <w:p>
      <w:pPr>
        <w:jc w:val="both"/>
        <w:ind w:left="500" w:hanging="492"/>
        <w:spacing w:after="0" w:line="278" w:lineRule="auto"/>
        <w:tabs>
          <w:tab w:leader="none" w:pos="50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“Control Investments” are investments in those companies that are “Controlled Companies” of Sutter Rock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45" w:lineRule="exact"/>
        <w:rPr>
          <w:rFonts w:ascii="Arial" w:cs="Arial" w:eastAsia="Arial" w:hAnsi="Arial"/>
          <w:sz w:val="15"/>
          <w:szCs w:val="15"/>
          <w:color w:val="auto"/>
        </w:rPr>
      </w:pPr>
    </w:p>
    <w:p>
      <w:pPr>
        <w:ind w:left="500" w:hanging="492"/>
        <w:spacing w:after="0" w:line="275"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Denotes an investment considered Level 1 or Level 2 and valued using observable inputs. As of March 31, 2020, no investments held by Sutter Rock Capital Corp. were considered Level 1 or Level 2. Refer to “Note 4—Investments at Fair Value”.</w:t>
      </w:r>
    </w:p>
    <w:p>
      <w:pPr>
        <w:spacing w:after="0" w:line="145" w:lineRule="exact"/>
        <w:rPr>
          <w:rFonts w:ascii="Arial" w:cs="Arial" w:eastAsia="Arial" w:hAnsi="Arial"/>
          <w:sz w:val="16"/>
          <w:szCs w:val="16"/>
          <w:color w:val="auto"/>
        </w:rPr>
      </w:pPr>
    </w:p>
    <w:p>
      <w:pPr>
        <w:ind w:left="500" w:hanging="492"/>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 of March 31, 2020, the investments noted had been placed on non-accrual status.</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8"/>
        </w:numPr>
        <w:rPr>
          <w:rFonts w:ascii="Arial" w:cs="Arial" w:eastAsia="Arial" w:hAnsi="Arial"/>
          <w:sz w:val="15"/>
          <w:szCs w:val="15"/>
          <w:color w:val="auto"/>
        </w:rPr>
      </w:pPr>
      <w:r>
        <w:rPr>
          <w:rFonts w:ascii="Arial" w:cs="Arial" w:eastAsia="Arial" w:hAnsi="Arial"/>
          <w:sz w:val="15"/>
          <w:szCs w:val="15"/>
          <w:color w:val="auto"/>
        </w:rPr>
        <w:t>Sutter Rock Capital Corp.’s investments in StormWind, LLC are held through Sutter Rock Capital Corp.'s wholly owned subsidiary, GSVC SW Holdings, Inc.</w:t>
      </w:r>
    </w:p>
    <w:p>
      <w:pPr>
        <w:spacing w:after="0" w:line="205" w:lineRule="exact"/>
        <w:rPr>
          <w:rFonts w:ascii="Arial" w:cs="Arial" w:eastAsia="Arial" w:hAnsi="Arial"/>
          <w:sz w:val="15"/>
          <w:szCs w:val="15"/>
          <w:color w:val="auto"/>
        </w:rPr>
      </w:pPr>
    </w:p>
    <w:p>
      <w:pPr>
        <w:jc w:val="both"/>
        <w:ind w:left="500" w:hanging="492"/>
        <w:spacing w:after="0" w:line="256" w:lineRule="auto"/>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SPBRX, INC. (f/k/a GSV Sustainability Partners, Inc.) preferred shares held by Sutter Rock Capital Corp. do not entitle Sutter Rock Capital Corp. to a preferred dividend rate. During the three months ended March 31, 2020, SPBRX, INC. (f/k/a GSV Sustainability Partners, Inc.) declared, and Sutter Rock Capital Corp. received, an aggregate of $0 in dividend distributions. Sutter Rock Capital Corp. does not anticipate that SPBRX, INC. will pay distributions on a quarterly or regular basis or become a predictable distributor of distributions.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79" w:lineRule="exact"/>
        <w:rPr>
          <w:sz w:val="20"/>
          <w:szCs w:val="20"/>
          <w:color w:val="auto"/>
        </w:rPr>
      </w:pPr>
    </w:p>
    <w:p>
      <w:pPr>
        <w:jc w:val="center"/>
        <w:ind w:left="340" w:right="2500"/>
        <w:spacing w:after="0" w:line="266" w:lineRule="auto"/>
        <w:rPr>
          <w:sz w:val="20"/>
          <w:szCs w:val="20"/>
          <w:color w:val="auto"/>
        </w:rPr>
      </w:pPr>
      <w:r>
        <w:rPr>
          <w:rFonts w:ascii="Arial" w:cs="Arial" w:eastAsia="Arial" w:hAnsi="Arial"/>
          <w:sz w:val="18"/>
          <w:szCs w:val="18"/>
          <w:b w:val="1"/>
          <w:bCs w:val="1"/>
          <w:color w:val="auto"/>
        </w:rPr>
        <w:t>SUTTER ROCK CAPITAL CORP. AND SUBSIDIARIES CONDENSED CONSOLIDATED SCHEDULE OF INVESTMENTS - continued March 31, 2020</w:t>
      </w:r>
    </w:p>
    <w:p>
      <w:pPr>
        <w:spacing w:after="0" w:line="157" w:lineRule="exact"/>
        <w:rPr>
          <w:sz w:val="20"/>
          <w:szCs w:val="20"/>
          <w:color w:val="auto"/>
        </w:rPr>
      </w:pPr>
    </w:p>
    <w:p>
      <w:pPr>
        <w:jc w:val="both"/>
        <w:ind w:left="500" w:hanging="492"/>
        <w:spacing w:after="0" w:line="256"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On August 23, 2019, Sutter Rock Capital Corp. amended the structure of its investment in NestGSV, Inc. (d/b/a GSV Labs, Inc.). As part of the agreement, Sutter Rock Capital Corp’s equity holdings (warrants notwithstanding) were restructured into a derivative security. NestGSV, Inc. (d/b/a GSV Labs,Inc.) has the right to call the position at any time over a five year period, while Sutter Rock Capital Corp. can put the shares to NestGSV, Inc. (d/b/a GSV Labs, Inc.) at the end of the five year period.</w:t>
      </w:r>
    </w:p>
    <w:p>
      <w:pPr>
        <w:spacing w:after="0" w:line="159"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three months ended March 31, 2020, Treehouse Real Estate Investment Trust Inc. declared, and Sutter Rock Capital Corp. received, an aggregate of $50,000 in dividend distributions. Sutter Rock Capital Corp. does not anticipate that Treehouse Real Estate Investment Trust Inc. will pay distributions on a recurring or regular basis or become a predictable distributor of distributions.</w:t>
      </w:r>
    </w:p>
    <w:p>
      <w:pPr>
        <w:spacing w:after="0" w:line="155" w:lineRule="exact"/>
        <w:rPr>
          <w:rFonts w:ascii="Arial" w:cs="Arial" w:eastAsia="Arial" w:hAnsi="Arial"/>
          <w:sz w:val="16"/>
          <w:szCs w:val="16"/>
          <w:color w:val="auto"/>
        </w:rPr>
      </w:pPr>
    </w:p>
    <w:p>
      <w:pPr>
        <w:ind w:left="500" w:hanging="492"/>
        <w:spacing w:after="0" w:line="310" w:lineRule="auto"/>
        <w:tabs>
          <w:tab w:leader="none" w:pos="500" w:val="left"/>
        </w:tabs>
        <w:numPr>
          <w:ilvl w:val="0"/>
          <w:numId w:val="9"/>
        </w:numPr>
        <w:rPr>
          <w:rFonts w:ascii="Arial" w:cs="Arial" w:eastAsia="Arial" w:hAnsi="Arial"/>
          <w:sz w:val="15"/>
          <w:szCs w:val="15"/>
          <w:color w:val="auto"/>
        </w:rPr>
      </w:pPr>
      <w:r>
        <w:rPr>
          <w:rFonts w:ascii="Arial" w:cs="Arial" w:eastAsia="Arial" w:hAnsi="Arial"/>
          <w:sz w:val="15"/>
          <w:szCs w:val="15"/>
          <w:color w:val="auto"/>
        </w:rPr>
        <w:t>During the three months ended March 31, 2020, GreenAcreage Real Estate Corp. declared a $26,250 dividend distribution. Sutter Rock Capital Corp. does not anticipate that Green Acreage Real Estate Corp. will pay distributions on a recurring or regular basis or become a predictable distributor of distributions.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00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Headquarters/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of Initial</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Shares/</w:t>
            </w:r>
          </w:p>
        </w:tc>
        <w:tc>
          <w:tcPr>
            <w:tcW w:w="18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000" w:type="dxa"/>
            <w:vAlign w:val="bottom"/>
            <w:gridSpan w:val="15"/>
            <w:vMerge w:val="continue"/>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Principal</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69"/>
        </w:trPr>
        <w:tc>
          <w:tcPr>
            <w:tcW w:w="40" w:type="dxa"/>
            <w:vAlign w:val="bottom"/>
            <w:tcBorders>
              <w:top w:val="single" w:sz="8" w:color="auto"/>
            </w:tcBorders>
            <w:shd w:val="clear" w:color="auto" w:fill="CCEEFF"/>
          </w:tcPr>
          <w:p>
            <w:pPr>
              <w:spacing w:after="0"/>
              <w:rPr>
                <w:sz w:val="23"/>
                <w:szCs w:val="23"/>
                <w:color w:val="auto"/>
              </w:rPr>
            </w:pPr>
          </w:p>
        </w:tc>
        <w:tc>
          <w:tcPr>
            <w:tcW w:w="3000" w:type="dxa"/>
            <w:vAlign w:val="bottom"/>
            <w:tcBorders>
              <w:top w:val="single" w:sz="8" w:color="auto"/>
            </w:tcBorders>
            <w:gridSpan w:val="15"/>
            <w:shd w:val="clear" w:color="auto" w:fill="CCEEFF"/>
          </w:tcPr>
          <w:p>
            <w:pPr>
              <w:spacing w:after="0"/>
              <w:rPr>
                <w:sz w:val="20"/>
                <w:szCs w:val="20"/>
                <w:color w:val="auto"/>
              </w:rPr>
            </w:pPr>
            <w:r>
              <w:rPr>
                <w:rFonts w:ascii="Arial" w:cs="Arial" w:eastAsia="Arial" w:hAnsi="Arial"/>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23"/>
                <w:szCs w:val="23"/>
                <w:color w:val="auto"/>
              </w:rPr>
            </w:pPr>
          </w:p>
        </w:tc>
        <w:tc>
          <w:tcPr>
            <w:tcW w:w="2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00" w:type="dxa"/>
            <w:vAlign w:val="bottom"/>
            <w:gridSpan w:val="15"/>
          </w:tcPr>
          <w:p>
            <w:pPr>
              <w:spacing w:after="0"/>
              <w:rPr>
                <w:sz w:val="20"/>
                <w:szCs w:val="20"/>
                <w:color w:val="auto"/>
              </w:rPr>
            </w:pPr>
            <w:r>
              <w:rPr>
                <w:rFonts w:ascii="Arial" w:cs="Arial" w:eastAsia="Arial" w:hAnsi="Arial"/>
                <w:sz w:val="14"/>
                <w:szCs w:val="14"/>
                <w:b w:val="1"/>
                <w:bCs w:val="1"/>
                <w:color w:val="auto"/>
              </w:rPr>
              <w:t>Coursera, Inc.</w:t>
            </w:r>
          </w:p>
        </w:tc>
        <w:tc>
          <w:tcPr>
            <w:tcW w:w="120" w:type="dxa"/>
            <w:vAlign w:val="bottom"/>
          </w:tcPr>
          <w:p>
            <w:pPr>
              <w:spacing w:after="0"/>
              <w:rPr>
                <w:sz w:val="19"/>
                <w:szCs w:val="19"/>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Mountain View,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00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B 8%</w:t>
            </w:r>
          </w:p>
        </w:tc>
        <w:tc>
          <w:tcPr>
            <w:tcW w:w="120" w:type="dxa"/>
            <w:vAlign w:val="bottom"/>
            <w:shd w:val="clear" w:color="auto" w:fill="CCEEFF"/>
          </w:tcPr>
          <w:p>
            <w:pPr>
              <w:spacing w:after="0"/>
              <w:rPr>
                <w:sz w:val="23"/>
                <w:szCs w:val="23"/>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Online Education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6/9/2013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2,961,399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14,519,519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33,569,902</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00" w:type="dxa"/>
            <w:vAlign w:val="bottom"/>
            <w:gridSpan w:val="15"/>
          </w:tcPr>
          <w:p>
            <w:pPr>
              <w:spacing w:after="0"/>
              <w:rPr>
                <w:sz w:val="20"/>
                <w:szCs w:val="20"/>
                <w:color w:val="auto"/>
              </w:rPr>
            </w:pPr>
            <w:r>
              <w:rPr>
                <w:rFonts w:ascii="Arial" w:cs="Arial" w:eastAsia="Arial" w:hAnsi="Arial"/>
                <w:sz w:val="14"/>
                <w:szCs w:val="14"/>
                <w:b w:val="1"/>
                <w:bCs w:val="1"/>
                <w:color w:val="auto"/>
              </w:rPr>
              <w:t>Palantir Technologies, Inc.</w:t>
            </w:r>
          </w:p>
        </w:tc>
        <w:tc>
          <w:tcPr>
            <w:tcW w:w="120" w:type="dxa"/>
            <w:vAlign w:val="bottom"/>
          </w:tcPr>
          <w:p>
            <w:pPr>
              <w:spacing w:after="0"/>
              <w:rPr>
                <w:sz w:val="19"/>
                <w:szCs w:val="19"/>
                <w:color w:val="auto"/>
              </w:rPr>
            </w:pPr>
          </w:p>
        </w:tc>
        <w:tc>
          <w:tcPr>
            <w:tcW w:w="246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Palo Alto,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300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 Class A</w:t>
            </w:r>
          </w:p>
        </w:tc>
        <w:tc>
          <w:tcPr>
            <w:tcW w:w="120" w:type="dxa"/>
            <w:vAlign w:val="bottom"/>
            <w:shd w:val="clear" w:color="auto" w:fill="CCEEFF"/>
          </w:tcPr>
          <w:p>
            <w:pPr>
              <w:spacing w:after="0"/>
              <w:rPr>
                <w:sz w:val="24"/>
                <w:szCs w:val="24"/>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Data Analysis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5/7/2012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16,189,935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31,582,084</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00" w:type="dxa"/>
            <w:vAlign w:val="bottom"/>
            <w:gridSpan w:val="15"/>
          </w:tcPr>
          <w:p>
            <w:pPr>
              <w:spacing w:after="0"/>
              <w:rPr>
                <w:sz w:val="20"/>
                <w:szCs w:val="20"/>
                <w:color w:val="auto"/>
              </w:rPr>
            </w:pPr>
            <w:r>
              <w:rPr>
                <w:rFonts w:ascii="Arial" w:cs="Arial" w:eastAsia="Arial" w:hAnsi="Arial"/>
                <w:sz w:val="14"/>
                <w:szCs w:val="14"/>
                <w:b w:val="1"/>
                <w:bCs w:val="1"/>
                <w:color w:val="auto"/>
              </w:rPr>
              <w:t>Course Hero, Inc.</w:t>
            </w:r>
          </w:p>
        </w:tc>
        <w:tc>
          <w:tcPr>
            <w:tcW w:w="120" w:type="dxa"/>
            <w:vAlign w:val="bottom"/>
          </w:tcPr>
          <w:p>
            <w:pPr>
              <w:spacing w:after="0"/>
              <w:rPr>
                <w:sz w:val="19"/>
                <w:szCs w:val="19"/>
                <w:color w:val="auto"/>
              </w:rPr>
            </w:pPr>
          </w:p>
        </w:tc>
        <w:tc>
          <w:tcPr>
            <w:tcW w:w="24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Redwood City,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0" w:type="dxa"/>
            <w:vAlign w:val="bottom"/>
            <w:shd w:val="clear" w:color="auto" w:fill="CCEEFF"/>
          </w:tcPr>
          <w:p>
            <w:pPr>
              <w:spacing w:after="0"/>
              <w:rPr>
                <w:sz w:val="24"/>
                <w:szCs w:val="24"/>
                <w:color w:val="auto"/>
              </w:rPr>
            </w:pPr>
          </w:p>
        </w:tc>
        <w:tc>
          <w:tcPr>
            <w:tcW w:w="300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24"/>
                <w:szCs w:val="24"/>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Online Education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9/18/2014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5,000,001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25,674,019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00" w:type="dxa"/>
            <w:vAlign w:val="bottom"/>
            <w:gridSpan w:val="15"/>
          </w:tcPr>
          <w:p>
            <w:pPr>
              <w:spacing w:after="0"/>
              <w:rPr>
                <w:sz w:val="20"/>
                <w:szCs w:val="20"/>
                <w:color w:val="auto"/>
              </w:rPr>
            </w:pPr>
            <w:r>
              <w:rPr>
                <w:rFonts w:ascii="Arial" w:cs="Arial" w:eastAsia="Arial" w:hAnsi="Arial"/>
                <w:sz w:val="14"/>
                <w:szCs w:val="14"/>
                <w:b w:val="1"/>
                <w:bCs w:val="1"/>
                <w:color w:val="auto"/>
              </w:rPr>
              <w:t>Parchment, Inc.</w:t>
            </w:r>
          </w:p>
        </w:tc>
        <w:tc>
          <w:tcPr>
            <w:tcW w:w="120" w:type="dxa"/>
            <w:vAlign w:val="bottom"/>
          </w:tcPr>
          <w:p>
            <w:pPr>
              <w:spacing w:after="0"/>
              <w:rPr>
                <w:sz w:val="19"/>
                <w:szCs w:val="19"/>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Scottsdale, AZ</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300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D 8%</w:t>
            </w:r>
          </w:p>
        </w:tc>
        <w:tc>
          <w:tcPr>
            <w:tcW w:w="120" w:type="dxa"/>
            <w:vAlign w:val="bottom"/>
            <w:shd w:val="clear" w:color="auto" w:fill="CCEEFF"/>
          </w:tcPr>
          <w:p>
            <w:pPr>
              <w:spacing w:after="0"/>
              <w:rPr>
                <w:sz w:val="24"/>
                <w:szCs w:val="24"/>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E-Transcript Exchange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10/1/2012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3,200,512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4,000,982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10,896,585</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00" w:type="dxa"/>
            <w:vAlign w:val="bottom"/>
            <w:gridSpan w:val="15"/>
          </w:tcPr>
          <w:p>
            <w:pPr>
              <w:spacing w:after="0"/>
              <w:rPr>
                <w:sz w:val="20"/>
                <w:szCs w:val="20"/>
                <w:color w:val="auto"/>
              </w:rPr>
            </w:pPr>
            <w:r>
              <w:rPr>
                <w:rFonts w:ascii="Arial" w:cs="Arial" w:eastAsia="Arial" w:hAnsi="Arial"/>
                <w:sz w:val="14"/>
                <w:szCs w:val="14"/>
                <w:b w:val="1"/>
                <w:bCs w:val="1"/>
                <w:color w:val="auto"/>
              </w:rPr>
              <w:t>Nextdoor.com, Inc.</w:t>
            </w:r>
          </w:p>
        </w:tc>
        <w:tc>
          <w:tcPr>
            <w:tcW w:w="120" w:type="dxa"/>
            <w:vAlign w:val="bottom"/>
          </w:tcPr>
          <w:p>
            <w:pPr>
              <w:spacing w:after="0"/>
              <w:rPr>
                <w:sz w:val="19"/>
                <w:szCs w:val="19"/>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00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Social Networking</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9/27/2018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580,360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10,006,578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10,867,365</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00" w:type="dxa"/>
            <w:vAlign w:val="bottom"/>
            <w:gridSpan w:val="15"/>
          </w:tcPr>
          <w:p>
            <w:pPr>
              <w:spacing w:after="0"/>
              <w:rPr>
                <w:sz w:val="20"/>
                <w:szCs w:val="20"/>
                <w:color w:val="auto"/>
              </w:rPr>
            </w:pPr>
            <w:r>
              <w:rPr>
                <w:rFonts w:ascii="Arial" w:cs="Arial" w:eastAsia="Arial" w:hAnsi="Arial"/>
                <w:sz w:val="14"/>
                <w:szCs w:val="14"/>
                <w:b w:val="1"/>
                <w:bCs w:val="1"/>
                <w:color w:val="auto"/>
              </w:rPr>
              <w:t>Neutron Holdings, Inc. (d/b/a/ Lime)</w:t>
            </w:r>
          </w:p>
        </w:tc>
        <w:tc>
          <w:tcPr>
            <w:tcW w:w="120" w:type="dxa"/>
            <w:vAlign w:val="bottom"/>
          </w:tcPr>
          <w:p>
            <w:pPr>
              <w:spacing w:after="0"/>
              <w:rPr>
                <w:sz w:val="19"/>
                <w:szCs w:val="19"/>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00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D 6%</w:t>
            </w:r>
          </w:p>
        </w:tc>
        <w:tc>
          <w:tcPr>
            <w:tcW w:w="120" w:type="dxa"/>
            <w:vAlign w:val="bottom"/>
            <w:shd w:val="clear" w:color="auto" w:fill="CCEEFF"/>
          </w:tcPr>
          <w:p>
            <w:pPr>
              <w:spacing w:after="0"/>
              <w:rPr>
                <w:sz w:val="23"/>
                <w:szCs w:val="23"/>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Micromobility</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1/25/2019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41,237,113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9"/>
              </w:rPr>
              <w:t>10,006,800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10,000,000</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00" w:type="dxa"/>
            <w:vAlign w:val="bottom"/>
            <w:gridSpan w:val="15"/>
          </w:tcPr>
          <w:p>
            <w:pPr>
              <w:spacing w:after="0"/>
              <w:rPr>
                <w:sz w:val="20"/>
                <w:szCs w:val="20"/>
                <w:color w:val="auto"/>
              </w:rPr>
            </w:pPr>
            <w:r>
              <w:rPr>
                <w:rFonts w:ascii="Arial" w:cs="Arial" w:eastAsia="Arial" w:hAnsi="Arial"/>
                <w:sz w:val="14"/>
                <w:szCs w:val="14"/>
                <w:b w:val="1"/>
                <w:bCs w:val="1"/>
                <w:color w:val="auto"/>
                <w:w w:val="99"/>
              </w:rPr>
              <w:t>Treehouse Real Estate Investment Trust, Inc.</w:t>
            </w:r>
          </w:p>
        </w:tc>
        <w:tc>
          <w:tcPr>
            <w:tcW w:w="120" w:type="dxa"/>
            <w:vAlign w:val="bottom"/>
          </w:tcPr>
          <w:p>
            <w:pPr>
              <w:spacing w:after="0"/>
              <w:rPr>
                <w:sz w:val="19"/>
                <w:szCs w:val="19"/>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Chicago, IL</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00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r>
              <w:rPr>
                <w:rFonts w:ascii="Arial" w:cs="Arial" w:eastAsia="Arial" w:hAnsi="Arial"/>
                <w:sz w:val="8"/>
                <w:szCs w:val="8"/>
                <w:color w:val="auto"/>
              </w:rPr>
              <w:t>(11)</w:t>
            </w:r>
          </w:p>
        </w:tc>
        <w:tc>
          <w:tcPr>
            <w:tcW w:w="120" w:type="dxa"/>
            <w:vAlign w:val="bottom"/>
            <w:shd w:val="clear" w:color="auto" w:fill="CCEEFF"/>
          </w:tcPr>
          <w:p>
            <w:pPr>
              <w:spacing w:after="0"/>
              <w:rPr>
                <w:sz w:val="23"/>
                <w:szCs w:val="23"/>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Cannabis REIT</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9/11/2019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312,500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7,500,000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7,384,738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00" w:type="dxa"/>
            <w:vAlign w:val="bottom"/>
            <w:gridSpan w:val="15"/>
          </w:tcPr>
          <w:p>
            <w:pPr>
              <w:spacing w:after="0"/>
              <w:rPr>
                <w:sz w:val="20"/>
                <w:szCs w:val="20"/>
                <w:color w:val="auto"/>
              </w:rPr>
            </w:pPr>
            <w:r>
              <w:rPr>
                <w:rFonts w:ascii="Arial" w:cs="Arial" w:eastAsia="Arial" w:hAnsi="Arial"/>
                <w:sz w:val="14"/>
                <w:szCs w:val="14"/>
                <w:b w:val="1"/>
                <w:bCs w:val="1"/>
                <w:color w:val="auto"/>
              </w:rPr>
              <w:t>Enjoy Technology, Inc.</w:t>
            </w:r>
          </w:p>
        </w:tc>
        <w:tc>
          <w:tcPr>
            <w:tcW w:w="120" w:type="dxa"/>
            <w:vAlign w:val="bottom"/>
          </w:tcPr>
          <w:p>
            <w:pPr>
              <w:spacing w:after="0"/>
              <w:rPr>
                <w:sz w:val="19"/>
                <w:szCs w:val="19"/>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Menlo Park,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300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20" w:type="dxa"/>
            <w:vAlign w:val="bottom"/>
            <w:shd w:val="clear" w:color="auto" w:fill="CCEEFF"/>
          </w:tcPr>
          <w:p>
            <w:pPr>
              <w:spacing w:after="0"/>
              <w:rPr>
                <w:sz w:val="24"/>
                <w:szCs w:val="24"/>
                <w:color w:val="auto"/>
              </w:rPr>
            </w:pPr>
          </w:p>
        </w:tc>
        <w:tc>
          <w:tcPr>
            <w:tcW w:w="24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2"/>
              </w:rPr>
              <w:t>On-Demand Commerce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7/29/2015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1,681,520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4,000,280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4,758,702</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3000" w:type="dxa"/>
            <w:vAlign w:val="bottom"/>
            <w:tcBorders>
              <w:bottom w:val="single" w:sz="8" w:color="CCEEFF"/>
            </w:tcBorders>
            <w:gridSpan w:val="15"/>
          </w:tcPr>
          <w:p>
            <w:pPr>
              <w:spacing w:after="0"/>
              <w:rPr>
                <w:sz w:val="20"/>
                <w:szCs w:val="20"/>
                <w:color w:val="auto"/>
              </w:rPr>
            </w:pPr>
            <w:r>
              <w:rPr>
                <w:rFonts w:ascii="Arial" w:cs="Arial" w:eastAsia="Arial" w:hAnsi="Arial"/>
                <w:sz w:val="14"/>
                <w:szCs w:val="14"/>
                <w:color w:val="auto"/>
              </w:rPr>
              <w:t>Preferred shares, Series A 6%</w:t>
            </w:r>
          </w:p>
        </w:tc>
        <w:tc>
          <w:tcPr>
            <w:tcW w:w="120" w:type="dxa"/>
            <w:vAlign w:val="bottom"/>
            <w:tcBorders>
              <w:bottom w:val="single" w:sz="8" w:color="CCEEFF"/>
            </w:tcBorders>
          </w:tcPr>
          <w:p>
            <w:pPr>
              <w:spacing w:after="0"/>
              <w:rPr>
                <w:sz w:val="21"/>
                <w:szCs w:val="21"/>
                <w:color w:val="auto"/>
              </w:rPr>
            </w:pPr>
          </w:p>
        </w:tc>
        <w:tc>
          <w:tcPr>
            <w:tcW w:w="23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10/16/2014</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879,198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1,002,440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2,488,130</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000" w:type="dxa"/>
            <w:vAlign w:val="bottom"/>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5,002,720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7,246,832</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00" w:type="dxa"/>
            <w:vAlign w:val="bottom"/>
            <w:gridSpan w:val="15"/>
          </w:tcPr>
          <w:p>
            <w:pPr>
              <w:spacing w:after="0"/>
              <w:rPr>
                <w:sz w:val="20"/>
                <w:szCs w:val="20"/>
                <w:color w:val="auto"/>
              </w:rPr>
            </w:pPr>
            <w:r>
              <w:rPr>
                <w:rFonts w:ascii="Arial" w:cs="Arial" w:eastAsia="Arial" w:hAnsi="Arial"/>
                <w:sz w:val="14"/>
                <w:szCs w:val="14"/>
                <w:b w:val="1"/>
                <w:bCs w:val="1"/>
                <w:color w:val="auto"/>
              </w:rPr>
              <w:t>SharesPost, Inc.</w:t>
            </w:r>
          </w:p>
        </w:tc>
        <w:tc>
          <w:tcPr>
            <w:tcW w:w="120" w:type="dxa"/>
            <w:vAlign w:val="bottom"/>
          </w:tcPr>
          <w:p>
            <w:pPr>
              <w:spacing w:after="0"/>
              <w:rPr>
                <w:sz w:val="19"/>
                <w:szCs w:val="19"/>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300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20" w:type="dxa"/>
            <w:vAlign w:val="bottom"/>
            <w:shd w:val="clear" w:color="auto" w:fill="CCEEFF"/>
          </w:tcPr>
          <w:p>
            <w:pPr>
              <w:spacing w:after="0"/>
              <w:rPr>
                <w:sz w:val="24"/>
                <w:szCs w:val="24"/>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Online Marketplace Finance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7/19/2011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1,771,653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2,259,716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6,186,877</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000" w:type="dxa"/>
            <w:vAlign w:val="bottom"/>
            <w:tcBorders>
              <w:bottom w:val="single" w:sz="8" w:color="CCEEFF"/>
            </w:tcBorders>
            <w:gridSpan w:val="15"/>
          </w:tcPr>
          <w:p>
            <w:pPr>
              <w:spacing w:after="0"/>
              <w:rPr>
                <w:sz w:val="20"/>
                <w:szCs w:val="20"/>
                <w:color w:val="auto"/>
              </w:rPr>
            </w:pPr>
            <w:r>
              <w:rPr>
                <w:rFonts w:ascii="Arial" w:cs="Arial" w:eastAsia="Arial" w:hAnsi="Arial"/>
                <w:sz w:val="14"/>
                <w:szCs w:val="14"/>
                <w:color w:val="auto"/>
              </w:rPr>
              <w:t>Common shares</w:t>
            </w:r>
          </w:p>
        </w:tc>
        <w:tc>
          <w:tcPr>
            <w:tcW w:w="120" w:type="dxa"/>
            <w:vAlign w:val="bottom"/>
            <w:tcBorders>
              <w:bottom w:val="single" w:sz="8" w:color="CCEEFF"/>
            </w:tcBorders>
          </w:tcPr>
          <w:p>
            <w:pPr>
              <w:spacing w:after="0"/>
              <w:rPr>
                <w:sz w:val="22"/>
                <w:szCs w:val="22"/>
                <w:color w:val="auto"/>
              </w:rPr>
            </w:pPr>
          </w:p>
        </w:tc>
        <w:tc>
          <w:tcPr>
            <w:tcW w:w="2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7/20/2011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770,934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123,987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890,340</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0.45%</w:t>
            </w: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shd w:val="clear" w:color="auto" w:fill="CCEEFF"/>
          </w:tcPr>
          <w:p>
            <w:pPr>
              <w:spacing w:after="0"/>
              <w:rPr>
                <w:sz w:val="22"/>
                <w:szCs w:val="22"/>
                <w:color w:val="auto"/>
              </w:rPr>
            </w:pPr>
          </w:p>
        </w:tc>
        <w:tc>
          <w:tcPr>
            <w:tcW w:w="30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22"/>
                <w:szCs w:val="22"/>
                <w:color w:val="auto"/>
              </w:rPr>
            </w:pPr>
          </w:p>
        </w:tc>
        <w:tc>
          <w:tcPr>
            <w:tcW w:w="236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2,383,703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7,077,217</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00" w:type="dxa"/>
            <w:vAlign w:val="bottom"/>
            <w:gridSpan w:val="15"/>
          </w:tcPr>
          <w:p>
            <w:pPr>
              <w:spacing w:after="0"/>
              <w:rPr>
                <w:sz w:val="20"/>
                <w:szCs w:val="20"/>
                <w:color w:val="auto"/>
              </w:rPr>
            </w:pPr>
            <w:r>
              <w:rPr>
                <w:rFonts w:ascii="Arial" w:cs="Arial" w:eastAsia="Arial" w:hAnsi="Arial"/>
                <w:sz w:val="14"/>
                <w:szCs w:val="14"/>
                <w:b w:val="1"/>
                <w:bCs w:val="1"/>
                <w:color w:val="auto"/>
              </w:rPr>
              <w:t>Aspiration Partners, Inc.</w:t>
            </w:r>
          </w:p>
        </w:tc>
        <w:tc>
          <w:tcPr>
            <w:tcW w:w="120" w:type="dxa"/>
            <w:vAlign w:val="bottom"/>
          </w:tcPr>
          <w:p>
            <w:pPr>
              <w:spacing w:after="0"/>
              <w:rPr>
                <w:sz w:val="19"/>
                <w:szCs w:val="19"/>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Marina Del Rey,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300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A</w:t>
            </w:r>
          </w:p>
        </w:tc>
        <w:tc>
          <w:tcPr>
            <w:tcW w:w="120" w:type="dxa"/>
            <w:vAlign w:val="bottom"/>
            <w:shd w:val="clear" w:color="auto" w:fill="CCEEFF"/>
          </w:tcPr>
          <w:p>
            <w:pPr>
              <w:spacing w:after="0"/>
              <w:rPr>
                <w:sz w:val="24"/>
                <w:szCs w:val="24"/>
                <w:color w:val="auto"/>
              </w:rPr>
            </w:pPr>
          </w:p>
        </w:tc>
        <w:tc>
          <w:tcPr>
            <w:tcW w:w="24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Financial Services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8/11/2015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540,270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1,001,815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4,471,678</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000" w:type="dxa"/>
            <w:vAlign w:val="bottom"/>
            <w:gridSpan w:val="15"/>
          </w:tcPr>
          <w:p>
            <w:pPr>
              <w:spacing w:after="0" w:line="157" w:lineRule="exact"/>
              <w:rPr>
                <w:sz w:val="20"/>
                <w:szCs w:val="20"/>
                <w:color w:val="auto"/>
              </w:rPr>
            </w:pPr>
            <w:r>
              <w:rPr>
                <w:rFonts w:ascii="Arial" w:cs="Arial" w:eastAsia="Arial" w:hAnsi="Arial"/>
                <w:sz w:val="14"/>
                <w:szCs w:val="14"/>
                <w:color w:val="auto"/>
              </w:rPr>
              <w:t>Convertible Promissory Note 5%, Due</w:t>
            </w: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2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1/31/2021***</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3"/>
              </w:rPr>
              <w:t>8/12/2019</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280,000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281,190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321,168</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3000" w:type="dxa"/>
            <w:vAlign w:val="bottom"/>
            <w:tcBorders>
              <w:bottom w:val="single" w:sz="8" w:color="CCEEFF"/>
            </w:tcBorders>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1,283,005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4,792,846</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00" w:type="dxa"/>
            <w:vAlign w:val="bottom"/>
            <w:gridSpan w:val="15"/>
          </w:tcPr>
          <w:p>
            <w:pPr>
              <w:spacing w:after="0"/>
              <w:rPr>
                <w:sz w:val="20"/>
                <w:szCs w:val="20"/>
                <w:color w:val="auto"/>
              </w:rPr>
            </w:pPr>
            <w:r>
              <w:rPr>
                <w:rFonts w:ascii="Arial" w:cs="Arial" w:eastAsia="Arial" w:hAnsi="Arial"/>
                <w:sz w:val="14"/>
                <w:szCs w:val="14"/>
                <w:b w:val="1"/>
                <w:bCs w:val="1"/>
                <w:color w:val="auto"/>
              </w:rPr>
              <w:t>Clever, Inc.</w:t>
            </w:r>
          </w:p>
        </w:tc>
        <w:tc>
          <w:tcPr>
            <w:tcW w:w="120" w:type="dxa"/>
            <w:vAlign w:val="bottom"/>
          </w:tcPr>
          <w:p>
            <w:pPr>
              <w:spacing w:after="0"/>
              <w:rPr>
                <w:sz w:val="19"/>
                <w:szCs w:val="19"/>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San Francisco,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shd w:val="clear" w:color="auto" w:fill="CCEEFF"/>
          </w:tcPr>
          <w:p>
            <w:pPr>
              <w:spacing w:after="0"/>
              <w:rPr>
                <w:sz w:val="24"/>
                <w:szCs w:val="24"/>
                <w:color w:val="auto"/>
              </w:rPr>
            </w:pPr>
          </w:p>
        </w:tc>
        <w:tc>
          <w:tcPr>
            <w:tcW w:w="300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B 8%</w:t>
            </w:r>
          </w:p>
        </w:tc>
        <w:tc>
          <w:tcPr>
            <w:tcW w:w="120" w:type="dxa"/>
            <w:vAlign w:val="bottom"/>
            <w:shd w:val="clear" w:color="auto" w:fill="CCEEFF"/>
          </w:tcPr>
          <w:p>
            <w:pPr>
              <w:spacing w:after="0"/>
              <w:rPr>
                <w:sz w:val="24"/>
                <w:szCs w:val="24"/>
                <w:color w:val="auto"/>
              </w:rPr>
            </w:pPr>
          </w:p>
        </w:tc>
        <w:tc>
          <w:tcPr>
            <w:tcW w:w="24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3"/>
              </w:rPr>
              <w:t>Education Software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12/5/2014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1,799,047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2,000,601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2,000,001</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00" w:type="dxa"/>
            <w:vAlign w:val="bottom"/>
            <w:gridSpan w:val="15"/>
          </w:tcPr>
          <w:p>
            <w:pPr>
              <w:spacing w:after="0"/>
              <w:rPr>
                <w:sz w:val="20"/>
                <w:szCs w:val="20"/>
                <w:color w:val="auto"/>
              </w:rPr>
            </w:pPr>
            <w:r>
              <w:rPr>
                <w:rFonts w:ascii="Arial" w:cs="Arial" w:eastAsia="Arial" w:hAnsi="Arial"/>
                <w:sz w:val="14"/>
                <w:szCs w:val="14"/>
                <w:b w:val="1"/>
                <w:bCs w:val="1"/>
                <w:color w:val="auto"/>
              </w:rPr>
              <w:t>A Place for Rover Inc. (f/k/a DogVacay, Inc.)</w:t>
            </w:r>
          </w:p>
        </w:tc>
        <w:tc>
          <w:tcPr>
            <w:tcW w:w="120" w:type="dxa"/>
            <w:vAlign w:val="bottom"/>
          </w:tcPr>
          <w:p>
            <w:pPr>
              <w:spacing w:after="0"/>
              <w:rPr>
                <w:sz w:val="19"/>
                <w:szCs w:val="19"/>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Seattle, WA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00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4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89"/>
              </w:rPr>
              <w:t>Peer-to-Peer Pet Services</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11/3/2014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707,991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2,506,119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963,533</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00" w:type="dxa"/>
            <w:vAlign w:val="bottom"/>
            <w:gridSpan w:val="15"/>
          </w:tcPr>
          <w:p>
            <w:pPr>
              <w:spacing w:after="0"/>
              <w:rPr>
                <w:sz w:val="20"/>
                <w:szCs w:val="20"/>
                <w:color w:val="auto"/>
              </w:rPr>
            </w:pPr>
            <w:r>
              <w:rPr>
                <w:rFonts w:ascii="Arial" w:cs="Arial" w:eastAsia="Arial" w:hAnsi="Arial"/>
                <w:sz w:val="14"/>
                <w:szCs w:val="14"/>
                <w:b w:val="1"/>
                <w:bCs w:val="1"/>
                <w:color w:val="auto"/>
              </w:rPr>
              <w:t>Tynker (f/k/a Neuron Fuel, Inc.)</w:t>
            </w:r>
          </w:p>
        </w:tc>
        <w:tc>
          <w:tcPr>
            <w:tcW w:w="120" w:type="dxa"/>
            <w:vAlign w:val="bottom"/>
          </w:tcPr>
          <w:p>
            <w:pPr>
              <w:spacing w:after="0"/>
              <w:rPr>
                <w:sz w:val="19"/>
                <w:szCs w:val="19"/>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Mountain View,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00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23"/>
                <w:szCs w:val="23"/>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Computer Software</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8/8/2012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534,162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309,310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789,491</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00" w:type="dxa"/>
            <w:vAlign w:val="bottom"/>
            <w:gridSpan w:val="15"/>
          </w:tcPr>
          <w:p>
            <w:pPr>
              <w:spacing w:after="0"/>
              <w:rPr>
                <w:sz w:val="20"/>
                <w:szCs w:val="20"/>
                <w:color w:val="auto"/>
              </w:rPr>
            </w:pPr>
            <w:r>
              <w:rPr>
                <w:rFonts w:ascii="Arial" w:cs="Arial" w:eastAsia="Arial" w:hAnsi="Arial"/>
                <w:sz w:val="14"/>
                <w:szCs w:val="14"/>
                <w:b w:val="1"/>
                <w:bCs w:val="1"/>
                <w:color w:val="auto"/>
              </w:rPr>
              <w:t>4C Insights (f/k/a The Echo Systems Corp.)</w:t>
            </w:r>
          </w:p>
        </w:tc>
        <w:tc>
          <w:tcPr>
            <w:tcW w:w="120" w:type="dxa"/>
            <w:vAlign w:val="bottom"/>
          </w:tcPr>
          <w:p>
            <w:pPr>
              <w:spacing w:after="0"/>
              <w:rPr>
                <w:sz w:val="19"/>
                <w:szCs w:val="19"/>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Chicago, IL</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00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Social Data Platform</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3/30/2012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436,219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1,436,404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21,499</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00" w:type="dxa"/>
            <w:vAlign w:val="bottom"/>
            <w:gridSpan w:val="15"/>
          </w:tcPr>
          <w:p>
            <w:pPr>
              <w:spacing w:after="0"/>
              <w:rPr>
                <w:sz w:val="20"/>
                <w:szCs w:val="20"/>
                <w:color w:val="auto"/>
              </w:rPr>
            </w:pPr>
            <w:r>
              <w:rPr>
                <w:rFonts w:ascii="Arial" w:cs="Arial" w:eastAsia="Arial" w:hAnsi="Arial"/>
                <w:sz w:val="14"/>
                <w:szCs w:val="14"/>
                <w:b w:val="1"/>
                <w:bCs w:val="1"/>
                <w:color w:val="auto"/>
              </w:rPr>
              <w:t>Fullbridge, Inc.</w:t>
            </w:r>
          </w:p>
        </w:tc>
        <w:tc>
          <w:tcPr>
            <w:tcW w:w="120" w:type="dxa"/>
            <w:vAlign w:val="bottom"/>
          </w:tcPr>
          <w:p>
            <w:pPr>
              <w:spacing w:after="0"/>
              <w:rPr>
                <w:sz w:val="19"/>
                <w:szCs w:val="19"/>
                <w:color w:val="auto"/>
              </w:rPr>
            </w:pPr>
          </w:p>
        </w:tc>
        <w:tc>
          <w:tcPr>
            <w:tcW w:w="246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Cambridge, MA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00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20" w:type="dxa"/>
            <w:vAlign w:val="bottom"/>
            <w:shd w:val="clear" w:color="auto" w:fill="CCEEFF"/>
          </w:tcPr>
          <w:p>
            <w:pPr>
              <w:spacing w:after="0"/>
              <w:rPr>
                <w:sz w:val="23"/>
                <w:szCs w:val="23"/>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Business Education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5/13/2012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517,917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6,150,506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000" w:type="dxa"/>
            <w:vAlign w:val="bottom"/>
            <w:tcBorders>
              <w:bottom w:val="single" w:sz="8" w:color="CCEEFF"/>
            </w:tcBorders>
            <w:gridSpan w:val="15"/>
          </w:tcPr>
          <w:p>
            <w:pPr>
              <w:spacing w:after="0"/>
              <w:rPr>
                <w:sz w:val="20"/>
                <w:szCs w:val="20"/>
                <w:color w:val="auto"/>
              </w:rPr>
            </w:pPr>
            <w:r>
              <w:rPr>
                <w:rFonts w:ascii="Arial" w:cs="Arial" w:eastAsia="Arial" w:hAnsi="Arial"/>
                <w:sz w:val="14"/>
                <w:szCs w:val="14"/>
                <w:color w:val="auto"/>
              </w:rPr>
              <w:t>Promissory Note 1.47%, Due 11/9/2021</w:t>
            </w:r>
            <w:r>
              <w:rPr>
                <w:rFonts w:ascii="Arial" w:cs="Arial" w:eastAsia="Arial" w:hAnsi="Arial"/>
                <w:sz w:val="8"/>
                <w:szCs w:val="8"/>
                <w:color w:val="auto"/>
              </w:rPr>
              <w:t>(4)</w:t>
            </w:r>
          </w:p>
        </w:tc>
        <w:tc>
          <w:tcPr>
            <w:tcW w:w="120" w:type="dxa"/>
            <w:vAlign w:val="bottom"/>
            <w:tcBorders>
              <w:bottom w:val="single" w:sz="8" w:color="CCEEFF"/>
            </w:tcBorders>
          </w:tcPr>
          <w:p>
            <w:pPr>
              <w:spacing w:after="0"/>
              <w:rPr>
                <w:sz w:val="22"/>
                <w:szCs w:val="22"/>
                <w:color w:val="auto"/>
              </w:rPr>
            </w:pPr>
          </w:p>
        </w:tc>
        <w:tc>
          <w:tcPr>
            <w:tcW w:w="2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5"/>
              </w:rPr>
              <w:t>3/3/2016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2,270,458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2,270,858</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shd w:val="clear" w:color="auto" w:fill="CCEEFF"/>
          </w:tcPr>
          <w:p>
            <w:pPr>
              <w:spacing w:after="0"/>
              <w:rPr>
                <w:sz w:val="22"/>
                <w:szCs w:val="22"/>
                <w:color w:val="auto"/>
              </w:rPr>
            </w:pPr>
          </w:p>
        </w:tc>
        <w:tc>
          <w:tcPr>
            <w:tcW w:w="3000" w:type="dxa"/>
            <w:vAlign w:val="bottom"/>
            <w:gridSpan w:val="15"/>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22"/>
                <w:szCs w:val="22"/>
                <w:color w:val="auto"/>
              </w:rPr>
            </w:pPr>
          </w:p>
        </w:tc>
        <w:tc>
          <w:tcPr>
            <w:tcW w:w="2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8,421,364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7"/>
        </w:trPr>
        <w:tc>
          <w:tcPr>
            <w:tcW w:w="40" w:type="dxa"/>
            <w:vAlign w:val="bottom"/>
            <w:tcBorders>
              <w:top w:val="single" w:sz="8" w:color="CCEEFF"/>
            </w:tcBorders>
          </w:tcPr>
          <w:p>
            <w:pPr>
              <w:spacing w:after="0"/>
              <w:rPr>
                <w:sz w:val="24"/>
                <w:szCs w:val="24"/>
                <w:color w:val="auto"/>
              </w:rPr>
            </w:pPr>
          </w:p>
        </w:tc>
        <w:tc>
          <w:tcPr>
            <w:tcW w:w="3000" w:type="dxa"/>
            <w:vAlign w:val="bottom"/>
            <w:tcBorders>
              <w:top w:val="single" w:sz="8" w:color="CCEEFF"/>
            </w:tcBorders>
            <w:gridSpan w:val="15"/>
          </w:tcPr>
          <w:p>
            <w:pPr>
              <w:ind w:left="140"/>
              <w:spacing w:after="0"/>
              <w:rPr>
                <w:sz w:val="20"/>
                <w:szCs w:val="20"/>
                <w:color w:val="auto"/>
              </w:rPr>
            </w:pPr>
            <w:r>
              <w:rPr>
                <w:rFonts w:ascii="Arial" w:cs="Arial" w:eastAsia="Arial" w:hAnsi="Arial"/>
                <w:sz w:val="14"/>
                <w:szCs w:val="14"/>
                <w:b w:val="1"/>
                <w:bCs w:val="1"/>
                <w:color w:val="auto"/>
              </w:rPr>
              <w:t>Total Non-controlled/Non-affiliate</w:t>
            </w:r>
          </w:p>
        </w:tc>
        <w:tc>
          <w:tcPr>
            <w:tcW w:w="120" w:type="dxa"/>
            <w:vAlign w:val="bottom"/>
            <w:tcBorders>
              <w:top w:val="single" w:sz="8" w:color="CCEEFF"/>
            </w:tcBorders>
          </w:tcPr>
          <w:p>
            <w:pPr>
              <w:spacing w:after="0"/>
              <w:rPr>
                <w:sz w:val="24"/>
                <w:szCs w:val="24"/>
                <w:color w:val="auto"/>
              </w:rPr>
            </w:pPr>
          </w:p>
        </w:tc>
        <w:tc>
          <w:tcPr>
            <w:tcW w:w="236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60" w:type="dxa"/>
            <w:vAlign w:val="bottom"/>
            <w:tcBorders>
              <w:top w:val="single" w:sz="8" w:color="CCEEFF"/>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9"/>
              </w:rPr>
              <w:t>90,567,041</w:t>
            </w:r>
          </w:p>
        </w:tc>
        <w:tc>
          <w:tcPr>
            <w:tcW w:w="100" w:type="dxa"/>
            <w:vAlign w:val="bottom"/>
          </w:tcPr>
          <w:p>
            <w:pPr>
              <w:spacing w:after="0"/>
              <w:rPr>
                <w:sz w:val="24"/>
                <w:szCs w:val="24"/>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152,866,112</w:t>
            </w:r>
          </w:p>
        </w:tc>
        <w:tc>
          <w:tcPr>
            <w:tcW w:w="100" w:type="dxa"/>
            <w:vAlign w:val="bottom"/>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76.46%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42773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-2589530</wp:posOffset>
            </wp:positionV>
            <wp:extent cx="42773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773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-3360420</wp:posOffset>
            </wp:positionV>
            <wp:extent cx="42773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773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-4072255</wp:posOffset>
            </wp:positionV>
            <wp:extent cx="42773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ectPr>
          <w:pgSz w:w="11900" w:h="16838" w:orient="portrait"/>
          <w:cols w:equalWidth="0" w:num="1">
            <w:col w:w="11240"/>
          </w:cols>
          <w:pgMar w:left="320" w:top="122" w:right="3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79" w:lineRule="exact"/>
        <w:rPr>
          <w:sz w:val="20"/>
          <w:szCs w:val="20"/>
          <w:color w:val="auto"/>
        </w:rPr>
      </w:pPr>
    </w:p>
    <w:p>
      <w:pPr>
        <w:jc w:val="center"/>
        <w:ind w:left="340" w:right="2500"/>
        <w:spacing w:after="0" w:line="266" w:lineRule="auto"/>
        <w:rPr>
          <w:sz w:val="20"/>
          <w:szCs w:val="20"/>
          <w:color w:val="auto"/>
        </w:rPr>
      </w:pPr>
      <w:r>
        <w:rPr>
          <w:rFonts w:ascii="Arial" w:cs="Arial" w:eastAsia="Arial" w:hAnsi="Arial"/>
          <w:sz w:val="18"/>
          <w:szCs w:val="18"/>
          <w:b w:val="1"/>
          <w:bCs w:val="1"/>
          <w:color w:val="auto"/>
        </w:rPr>
        <w:t>SUTTER ROCK CAPITAL CORP. AND SUBSIDIARIES CONDENSED CONSOLIDATED SCHEDULE OF INVESTMENTS - continued December 31,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tcPr>
          <w:p>
            <w:pPr>
              <w:spacing w:after="0"/>
              <w:rPr>
                <w:sz w:val="14"/>
                <w:szCs w:val="14"/>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Headquarters/</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of Initial</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Shares/</w:t>
            </w:r>
          </w:p>
        </w:tc>
        <w:tc>
          <w:tcPr>
            <w:tcW w:w="18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3000" w:type="dxa"/>
            <w:vAlign w:val="bottom"/>
            <w:gridSpan w:val="7"/>
            <w:vMerge w:val="continue"/>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Industry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Principal</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60" w:type="dxa"/>
            <w:vAlign w:val="bottom"/>
          </w:tcPr>
          <w:p>
            <w:pPr>
              <w:jc w:val="right"/>
              <w:ind w:right="20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70"/>
        </w:trPr>
        <w:tc>
          <w:tcPr>
            <w:tcW w:w="40" w:type="dxa"/>
            <w:vAlign w:val="bottom"/>
            <w:tcBorders>
              <w:top w:val="single" w:sz="8" w:color="auto"/>
            </w:tcBorders>
            <w:shd w:val="clear" w:color="auto" w:fill="CCEEFF"/>
          </w:tcPr>
          <w:p>
            <w:pPr>
              <w:spacing w:after="0"/>
              <w:rPr>
                <w:sz w:val="23"/>
                <w:szCs w:val="23"/>
                <w:color w:val="auto"/>
              </w:rPr>
            </w:pPr>
          </w:p>
        </w:tc>
        <w:tc>
          <w:tcPr>
            <w:tcW w:w="3000" w:type="dxa"/>
            <w:vAlign w:val="bottom"/>
            <w:tcBorders>
              <w:top w:val="single" w:sz="8" w:color="auto"/>
            </w:tcBorders>
            <w:gridSpan w:val="7"/>
            <w:shd w:val="clear" w:color="auto" w:fill="CCEEFF"/>
          </w:tcPr>
          <w:p>
            <w:pPr>
              <w:spacing w:after="0"/>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8"/>
                <w:szCs w:val="8"/>
                <w:color w:val="auto"/>
              </w:rPr>
              <w:t>(1)</w:t>
            </w:r>
          </w:p>
        </w:tc>
        <w:tc>
          <w:tcPr>
            <w:tcW w:w="120" w:type="dxa"/>
            <w:vAlign w:val="bottom"/>
            <w:tcBorders>
              <w:top w:val="single" w:sz="8" w:color="CCEEFF"/>
            </w:tcBorders>
            <w:shd w:val="clear" w:color="auto" w:fill="CCEEFF"/>
          </w:tcPr>
          <w:p>
            <w:pPr>
              <w:spacing w:after="0"/>
              <w:rPr>
                <w:sz w:val="23"/>
                <w:szCs w:val="23"/>
                <w:color w:val="auto"/>
              </w:rPr>
            </w:pPr>
          </w:p>
        </w:tc>
        <w:tc>
          <w:tcPr>
            <w:tcW w:w="2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000" w:type="dxa"/>
            <w:vAlign w:val="bottom"/>
            <w:gridSpan w:val="7"/>
          </w:tcPr>
          <w:p>
            <w:pPr>
              <w:spacing w:after="0"/>
              <w:rPr>
                <w:sz w:val="20"/>
                <w:szCs w:val="20"/>
                <w:color w:val="auto"/>
              </w:rPr>
            </w:pPr>
            <w:r>
              <w:rPr>
                <w:rFonts w:ascii="Arial" w:cs="Arial" w:eastAsia="Arial" w:hAnsi="Arial"/>
                <w:sz w:val="14"/>
                <w:szCs w:val="14"/>
                <w:b w:val="1"/>
                <w:bCs w:val="1"/>
                <w:color w:val="auto"/>
              </w:rPr>
              <w:t>Ozy Media, Inc.</w:t>
            </w:r>
          </w:p>
        </w:tc>
        <w:tc>
          <w:tcPr>
            <w:tcW w:w="120" w:type="dxa"/>
            <w:vAlign w:val="bottom"/>
          </w:tcPr>
          <w:p>
            <w:pPr>
              <w:spacing w:after="0"/>
              <w:rPr>
                <w:sz w:val="19"/>
                <w:szCs w:val="19"/>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Mountain View, CA</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C-2 6%</w:t>
            </w:r>
            <w:r>
              <w:rPr>
                <w:rFonts w:ascii="Arial" w:cs="Arial" w:eastAsia="Arial" w:hAnsi="Arial"/>
                <w:sz w:val="8"/>
                <w:szCs w:val="8"/>
                <w:color w:val="auto"/>
              </w:rPr>
              <w:t>(7)</w:t>
            </w:r>
          </w:p>
        </w:tc>
        <w:tc>
          <w:tcPr>
            <w:tcW w:w="120" w:type="dxa"/>
            <w:vAlign w:val="bottom"/>
            <w:shd w:val="clear" w:color="auto" w:fill="CCEEFF"/>
          </w:tcPr>
          <w:p>
            <w:pPr>
              <w:spacing w:after="0"/>
              <w:rPr>
                <w:sz w:val="23"/>
                <w:szCs w:val="23"/>
                <w:color w:val="auto"/>
              </w:rPr>
            </w:pPr>
          </w:p>
        </w:tc>
        <w:tc>
          <w:tcPr>
            <w:tcW w:w="24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7"/>
              </w:rPr>
              <w:t>Digital Media Platform</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9/11/2019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683,482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2,414,178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2,970,252</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000" w:type="dxa"/>
            <w:vAlign w:val="bottom"/>
            <w:gridSpan w:val="7"/>
          </w:tcPr>
          <w:p>
            <w:pPr>
              <w:spacing w:after="0" w:line="157" w:lineRule="exact"/>
              <w:rPr>
                <w:sz w:val="20"/>
                <w:szCs w:val="20"/>
                <w:color w:val="auto"/>
              </w:rPr>
            </w:pPr>
            <w:r>
              <w:rPr>
                <w:rFonts w:ascii="Arial" w:cs="Arial" w:eastAsia="Arial" w:hAnsi="Arial"/>
                <w:sz w:val="14"/>
                <w:szCs w:val="14"/>
                <w:color w:val="auto"/>
                <w:w w:val="97"/>
              </w:rPr>
              <w:t>Common Warrants, Strike Price $0.01, Expiration</w:t>
            </w: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Date 4/9/2028</w:t>
            </w: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4/9/2018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295,565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30,647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1,182,260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0.59%</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2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10/3/2014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922,509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4,999,999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5,001,420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Preferred shares, Series A 6%</w:t>
            </w:r>
          </w:p>
        </w:tc>
        <w:tc>
          <w:tcPr>
            <w:tcW w:w="1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12/11/2013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1,090,909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3,000,200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4,528,107</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2.27%</w:t>
            </w:r>
          </w:p>
        </w:tc>
        <w:tc>
          <w:tcPr>
            <w:tcW w:w="0" w:type="dxa"/>
            <w:vAlign w:val="bottom"/>
          </w:tcPr>
          <w:p>
            <w:pPr>
              <w:spacing w:after="0"/>
              <w:rPr>
                <w:sz w:val="1"/>
                <w:szCs w:val="1"/>
                <w:color w:val="auto"/>
              </w:rPr>
            </w:pPr>
          </w:p>
        </w:tc>
      </w:tr>
      <w:tr>
        <w:trPr>
          <w:trHeight w:val="284"/>
        </w:trPr>
        <w:tc>
          <w:tcPr>
            <w:tcW w:w="40" w:type="dxa"/>
            <w:vAlign w:val="bottom"/>
            <w:shd w:val="clear" w:color="auto" w:fill="CCEEFF"/>
          </w:tcPr>
          <w:p>
            <w:pPr>
              <w:spacing w:after="0"/>
              <w:rPr>
                <w:sz w:val="24"/>
                <w:szCs w:val="24"/>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Seed 6%</w:t>
            </w:r>
          </w:p>
        </w:tc>
        <w:tc>
          <w:tcPr>
            <w:tcW w:w="12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11/2/2012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2,002,143</w:t>
            </w:r>
          </w:p>
        </w:tc>
        <w:tc>
          <w:tcPr>
            <w:tcW w:w="10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000" w:type="dxa"/>
            <w:vAlign w:val="bottom"/>
            <w:tcBorders>
              <w:bottom w:val="single" w:sz="8" w:color="CCEEFF"/>
            </w:tcBorders>
            <w:gridSpan w:val="7"/>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9"/>
              </w:rPr>
              <w:t>10,945,024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15,684,182</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StormWind, LLC</w:t>
            </w:r>
            <w:r>
              <w:rPr>
                <w:rFonts w:ascii="Arial" w:cs="Arial" w:eastAsia="Arial" w:hAnsi="Arial"/>
                <w:sz w:val="8"/>
                <w:szCs w:val="8"/>
                <w:color w:val="auto"/>
              </w:rPr>
              <w:t>(5)</w:t>
            </w:r>
          </w:p>
        </w:tc>
        <w:tc>
          <w:tcPr>
            <w:tcW w:w="1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Scottsdale, AZ</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Preferred shares, Series D 8%</w:t>
            </w:r>
            <w:r>
              <w:rPr>
                <w:rFonts w:ascii="Arial" w:cs="Arial" w:eastAsia="Arial" w:hAnsi="Arial"/>
                <w:sz w:val="8"/>
                <w:szCs w:val="8"/>
                <w:color w:val="auto"/>
              </w:rPr>
              <w:t>(10)</w:t>
            </w:r>
          </w:p>
        </w:tc>
        <w:tc>
          <w:tcPr>
            <w:tcW w:w="120" w:type="dxa"/>
            <w:vAlign w:val="bottom"/>
          </w:tcPr>
          <w:p>
            <w:pPr>
              <w:spacing w:after="0"/>
              <w:rPr>
                <w:sz w:val="22"/>
                <w:szCs w:val="22"/>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Interactive Learning</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11/26/2019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329,337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257,267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503,120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C 8%</w:t>
            </w:r>
          </w:p>
        </w:tc>
        <w:tc>
          <w:tcPr>
            <w:tcW w:w="12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1/7/2014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2,779,134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4,000,787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5,391,000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Preferred shares, Series B 8%</w:t>
            </w:r>
          </w:p>
        </w:tc>
        <w:tc>
          <w:tcPr>
            <w:tcW w:w="1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12/16/2011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3,279,629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2,019,687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3,248,804</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20" w:type="dxa"/>
            <w:vAlign w:val="bottom"/>
            <w:shd w:val="clear" w:color="auto" w:fill="CCEEFF"/>
          </w:tcPr>
          <w:p>
            <w:pPr>
              <w:spacing w:after="0"/>
              <w:rPr>
                <w:sz w:val="23"/>
                <w:szCs w:val="23"/>
                <w:color w:val="auto"/>
              </w:rPr>
            </w:pPr>
          </w:p>
        </w:tc>
        <w:tc>
          <w:tcPr>
            <w:tcW w:w="2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2/25/2014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366,666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157,949</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000" w:type="dxa"/>
            <w:vAlign w:val="bottom"/>
            <w:tcBorders>
              <w:bottom w:val="single" w:sz="8" w:color="CCEEFF"/>
            </w:tcBorders>
            <w:gridSpan w:val="7"/>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6,387,741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9,300,873</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49"/>
        </w:trPr>
        <w:tc>
          <w:tcPr>
            <w:tcW w:w="40" w:type="dxa"/>
            <w:vAlign w:val="bottom"/>
            <w:shd w:val="clear" w:color="auto" w:fill="CCEEFF"/>
          </w:tcPr>
          <w:p>
            <w:pPr>
              <w:spacing w:after="0"/>
              <w:rPr>
                <w:sz w:val="21"/>
                <w:szCs w:val="21"/>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GreenAcreage Real Estate Corp.</w:t>
            </w:r>
          </w:p>
        </w:tc>
        <w:tc>
          <w:tcPr>
            <w:tcW w:w="12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New York, NY</w:t>
            </w: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2000" w:type="dxa"/>
            <w:vAlign w:val="bottom"/>
            <w:tcBorders>
              <w:top w:val="single" w:sz="8" w:color="auto"/>
            </w:tcBorders>
            <w:gridSpan w:val="5"/>
          </w:tcPr>
          <w:p>
            <w:pPr>
              <w:spacing w:after="0"/>
              <w:rPr>
                <w:sz w:val="20"/>
                <w:szCs w:val="20"/>
                <w:color w:val="auto"/>
              </w:rPr>
            </w:pPr>
            <w:r>
              <w:rPr>
                <w:rFonts w:ascii="Arial" w:cs="Arial" w:eastAsia="Arial" w:hAnsi="Arial"/>
                <w:sz w:val="14"/>
                <w:szCs w:val="14"/>
                <w:color w:val="auto"/>
              </w:rPr>
              <w:t>Common shares</w:t>
            </w:r>
          </w:p>
        </w:tc>
        <w:tc>
          <w:tcPr>
            <w:tcW w:w="1000" w:type="dxa"/>
            <w:vAlign w:val="bottom"/>
            <w:tcBorders>
              <w:top w:val="single" w:sz="8" w:color="CCEEFF"/>
            </w:tcBorders>
            <w:gridSpan w:val="2"/>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46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Cannabis REIT</w:t>
            </w:r>
          </w:p>
        </w:tc>
        <w:tc>
          <w:tcPr>
            <w:tcW w:w="112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8/12/2019</w:t>
            </w: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375,000</w:t>
            </w:r>
          </w:p>
        </w:tc>
        <w:tc>
          <w:tcPr>
            <w:tcW w:w="1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rPr>
              <w:t>7,501,530</w:t>
            </w:r>
          </w:p>
        </w:tc>
        <w:tc>
          <w:tcPr>
            <w:tcW w:w="1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7,500,000</w:t>
            </w:r>
          </w:p>
        </w:tc>
        <w:tc>
          <w:tcPr>
            <w:tcW w:w="100" w:type="dxa"/>
            <w:vAlign w:val="bottom"/>
            <w:tcBorders>
              <w:top w:val="single" w:sz="8" w:color="CCEEFF"/>
            </w:tcBorders>
          </w:tcPr>
          <w:p>
            <w:pPr>
              <w:spacing w:after="0"/>
              <w:rPr>
                <w:sz w:val="22"/>
                <w:szCs w:val="22"/>
                <w:color w:val="auto"/>
              </w:rPr>
            </w:pP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4"/>
                <w:szCs w:val="14"/>
                <w:b w:val="1"/>
                <w:bCs w:val="1"/>
                <w:color w:val="auto"/>
                <w:w w:val="94"/>
              </w:rPr>
              <w:t>NestGSV, Inc. (d/b/a GSV Labs, Inc.)</w:t>
            </w: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San Mateo, CA</w:t>
            </w: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Derivative Security, Expiration Date 8/23/2024</w:t>
            </w:r>
            <w:r>
              <w:rPr>
                <w:rFonts w:ascii="Arial" w:cs="Arial" w:eastAsia="Arial" w:hAnsi="Arial"/>
                <w:sz w:val="8"/>
                <w:szCs w:val="8"/>
                <w:color w:val="auto"/>
              </w:rPr>
              <w:t>(9)</w:t>
            </w:r>
          </w:p>
        </w:tc>
        <w:tc>
          <w:tcPr>
            <w:tcW w:w="120" w:type="dxa"/>
            <w:vAlign w:val="bottom"/>
          </w:tcPr>
          <w:p>
            <w:pPr>
              <w:spacing w:after="0"/>
              <w:rPr>
                <w:sz w:val="22"/>
                <w:szCs w:val="22"/>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Global Innovation Platform</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8/23/2019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8,555,124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3,880,621</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Convertible Promissory Note 8% Due</w:t>
            </w:r>
          </w:p>
        </w:tc>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0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8/23/2024***</w:t>
            </w:r>
            <w:r>
              <w:rPr>
                <w:rFonts w:ascii="Arial" w:cs="Arial" w:eastAsia="Arial" w:hAnsi="Arial"/>
                <w:sz w:val="8"/>
                <w:szCs w:val="8"/>
                <w:color w:val="auto"/>
              </w:rPr>
              <w:t>(9)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2/17/2016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1,010,198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1,030,176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1,010,198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000" w:type="dxa"/>
            <w:vAlign w:val="bottom"/>
            <w:gridSpan w:val="7"/>
          </w:tcPr>
          <w:p>
            <w:pPr>
              <w:spacing w:after="0" w:line="157" w:lineRule="exact"/>
              <w:rPr>
                <w:sz w:val="20"/>
                <w:szCs w:val="20"/>
                <w:color w:val="auto"/>
              </w:rPr>
            </w:pPr>
            <w:r>
              <w:rPr>
                <w:rFonts w:ascii="Arial" w:cs="Arial" w:eastAsia="Arial" w:hAnsi="Arial"/>
                <w:sz w:val="14"/>
                <w:szCs w:val="14"/>
                <w:color w:val="auto"/>
                <w:w w:val="95"/>
              </w:rPr>
              <w:t>Preferred Warrants Series A-3, Strike Price $1.33,</w:t>
            </w: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Expiration Date 4/4/2021</w:t>
            </w: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4/4/2014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20,625</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color w:val="auto"/>
                <w:w w:val="95"/>
              </w:rPr>
              <w:t>Preferred Warrants Series A-4, Strike Price $1.33,</w:t>
            </w:r>
          </w:p>
        </w:tc>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Expiration Date 10/6/2021</w:t>
            </w:r>
          </w:p>
        </w:tc>
        <w:tc>
          <w:tcPr>
            <w:tcW w:w="1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10/6/2014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135,000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000" w:type="dxa"/>
            <w:vAlign w:val="bottom"/>
            <w:gridSpan w:val="7"/>
          </w:tcPr>
          <w:p>
            <w:pPr>
              <w:spacing w:after="0" w:line="157" w:lineRule="exact"/>
              <w:rPr>
                <w:sz w:val="20"/>
                <w:szCs w:val="20"/>
                <w:color w:val="auto"/>
              </w:rPr>
            </w:pPr>
            <w:r>
              <w:rPr>
                <w:rFonts w:ascii="Arial" w:cs="Arial" w:eastAsia="Arial" w:hAnsi="Arial"/>
                <w:sz w:val="14"/>
                <w:szCs w:val="14"/>
                <w:color w:val="auto"/>
                <w:w w:val="95"/>
              </w:rPr>
              <w:t>Preferred Warrants Series A-4, Strike Price $1.33,</w:t>
            </w: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Expiration Date 7/18/2021</w:t>
            </w: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7/8/2016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74,380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62,500</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color w:val="auto"/>
                <w:w w:val="99"/>
              </w:rPr>
              <w:t>Preferred Warrants Series B, Strike Price $2.31,</w:t>
            </w:r>
          </w:p>
        </w:tc>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Expiration Date 11/29/2021</w:t>
            </w:r>
          </w:p>
        </w:tc>
        <w:tc>
          <w:tcPr>
            <w:tcW w:w="1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11/29/2016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29,275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000" w:type="dxa"/>
            <w:vAlign w:val="bottom"/>
            <w:gridSpan w:val="7"/>
          </w:tcPr>
          <w:p>
            <w:pPr>
              <w:spacing w:after="0" w:line="157" w:lineRule="exact"/>
              <w:rPr>
                <w:sz w:val="20"/>
                <w:szCs w:val="20"/>
                <w:color w:val="auto"/>
              </w:rPr>
            </w:pPr>
            <w:r>
              <w:rPr>
                <w:rFonts w:ascii="Arial" w:cs="Arial" w:eastAsia="Arial" w:hAnsi="Arial"/>
                <w:sz w:val="14"/>
                <w:szCs w:val="14"/>
                <w:color w:val="auto"/>
              </w:rPr>
              <w:t>Preferred Warrant Series B, Strike Price $2.31,</w:t>
            </w: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Expiration Date 5/29/2022</w:t>
            </w: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5/29/2017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70,379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Warrant Series B, Strike Price $2.31,</w:t>
            </w:r>
          </w:p>
        </w:tc>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Expiration Date 12/31/2023</w:t>
            </w:r>
          </w:p>
        </w:tc>
        <w:tc>
          <w:tcPr>
            <w:tcW w:w="1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12/31/2018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5,080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tcPr>
          <w:p>
            <w:pPr>
              <w:spacing w:after="0"/>
              <w:rPr>
                <w:sz w:val="21"/>
                <w:szCs w:val="21"/>
                <w:color w:val="auto"/>
              </w:rPr>
            </w:pPr>
          </w:p>
        </w:tc>
        <w:tc>
          <w:tcPr>
            <w:tcW w:w="3000" w:type="dxa"/>
            <w:vAlign w:val="bottom"/>
            <w:tcBorders>
              <w:bottom w:val="single" w:sz="8" w:color="CCEEFF"/>
            </w:tcBorders>
            <w:gridSpan w:val="7"/>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1"/>
                <w:szCs w:val="21"/>
                <w:color w:val="auto"/>
              </w:rPr>
            </w:pPr>
          </w:p>
        </w:tc>
        <w:tc>
          <w:tcPr>
            <w:tcW w:w="23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9,764,414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5,111,444</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4"/>
                <w:szCs w:val="14"/>
                <w:b w:val="1"/>
                <w:bCs w:val="1"/>
                <w:color w:val="auto"/>
                <w:w w:val="97"/>
              </w:rPr>
              <w:t>CUX, Inc. (d/b/a CorpU)</w:t>
            </w:r>
          </w:p>
        </w:tc>
        <w:tc>
          <w:tcPr>
            <w:tcW w:w="1480" w:type="dxa"/>
            <w:vAlign w:val="bottom"/>
            <w:tcBorders>
              <w:bottom w:val="single" w:sz="8" w:color="CCEEFF"/>
            </w:tcBorders>
            <w:gridSpan w:val="3"/>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Philadelphia, PA</w:t>
            </w: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3000" w:type="dxa"/>
            <w:vAlign w:val="bottom"/>
            <w:gridSpan w:val="7"/>
          </w:tcPr>
          <w:p>
            <w:pPr>
              <w:spacing w:after="0" w:line="157" w:lineRule="exact"/>
              <w:rPr>
                <w:sz w:val="20"/>
                <w:szCs w:val="20"/>
                <w:color w:val="auto"/>
              </w:rPr>
            </w:pPr>
            <w:r>
              <w:rPr>
                <w:rFonts w:ascii="Arial" w:cs="Arial" w:eastAsia="Arial" w:hAnsi="Arial"/>
                <w:sz w:val="14"/>
                <w:szCs w:val="14"/>
                <w:color w:val="auto"/>
                <w:w w:val="96"/>
              </w:rPr>
              <w:t>Senior Subordinated Convertible Promissory Note</w:t>
            </w:r>
          </w:p>
        </w:tc>
        <w:tc>
          <w:tcPr>
            <w:tcW w:w="1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4% Due 2/14/2023</w:t>
            </w:r>
            <w:r>
              <w:rPr>
                <w:rFonts w:ascii="Arial" w:cs="Arial" w:eastAsia="Arial" w:hAnsi="Arial"/>
                <w:sz w:val="8"/>
                <w:szCs w:val="8"/>
                <w:color w:val="auto"/>
              </w:rPr>
              <w:t>(4)(6)</w:t>
            </w:r>
          </w:p>
        </w:tc>
        <w:tc>
          <w:tcPr>
            <w:tcW w:w="120" w:type="dxa"/>
            <w:vAlign w:val="bottom"/>
          </w:tcPr>
          <w:p>
            <w:pPr>
              <w:spacing w:after="0"/>
              <w:rPr>
                <w:sz w:val="16"/>
                <w:szCs w:val="16"/>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Corporate Education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91"/>
              </w:rPr>
              <w:t>11/26/2014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1,251,158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1,256,191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312,789</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Convertible preferred shares, Series D 6%</w:t>
            </w:r>
          </w:p>
        </w:tc>
        <w:tc>
          <w:tcPr>
            <w:tcW w:w="12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778,607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34,980</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Convertible preferred shares, Series C 8%</w:t>
            </w:r>
          </w:p>
        </w:tc>
        <w:tc>
          <w:tcPr>
            <w:tcW w:w="1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3/29/2012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615,763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2,006,077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40" w:type="dxa"/>
            <w:vAlign w:val="bottom"/>
            <w:shd w:val="clear" w:color="auto" w:fill="CCEEFF"/>
          </w:tcPr>
          <w:p>
            <w:pPr>
              <w:spacing w:after="0"/>
              <w:rPr>
                <w:sz w:val="14"/>
                <w:szCs w:val="14"/>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color w:val="auto"/>
                <w:w w:val="99"/>
              </w:rPr>
              <w:t>Preferred Warrants Series D, Strike Price $4.59,</w:t>
            </w:r>
          </w:p>
        </w:tc>
        <w:tc>
          <w:tcPr>
            <w:tcW w:w="120" w:type="dxa"/>
            <w:vAlign w:val="bottom"/>
            <w:shd w:val="clear" w:color="auto" w:fill="CCEEFF"/>
          </w:tcPr>
          <w:p>
            <w:pPr>
              <w:spacing w:after="0"/>
              <w:rPr>
                <w:sz w:val="14"/>
                <w:szCs w:val="14"/>
                <w:color w:val="auto"/>
              </w:rPr>
            </w:pPr>
          </w:p>
        </w:tc>
        <w:tc>
          <w:tcPr>
            <w:tcW w:w="2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Expiration Date 2/14/2020</w:t>
            </w:r>
          </w:p>
        </w:tc>
        <w:tc>
          <w:tcPr>
            <w:tcW w:w="120" w:type="dxa"/>
            <w:vAlign w:val="bottom"/>
            <w:shd w:val="clear" w:color="auto" w:fill="CCEEFF"/>
          </w:tcPr>
          <w:p>
            <w:pPr>
              <w:spacing w:after="0"/>
              <w:rPr>
                <w:sz w:val="16"/>
                <w:szCs w:val="16"/>
                <w:color w:val="auto"/>
              </w:rPr>
            </w:pPr>
          </w:p>
        </w:tc>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3000" w:type="dxa"/>
            <w:vAlign w:val="bottom"/>
            <w:tcBorders>
              <w:bottom w:val="single" w:sz="8" w:color="CCEEFF"/>
            </w:tcBorders>
            <w:gridSpan w:val="7"/>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tcPr>
          <w:p>
            <w:pPr>
              <w:spacing w:after="0"/>
              <w:rPr>
                <w:sz w:val="22"/>
                <w:szCs w:val="22"/>
                <w:color w:val="auto"/>
              </w:rPr>
            </w:pPr>
          </w:p>
        </w:tc>
        <w:tc>
          <w:tcPr>
            <w:tcW w:w="2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4,040,875</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347,769</w:t>
            </w:r>
          </w:p>
        </w:tc>
        <w:tc>
          <w:tcPr>
            <w:tcW w:w="100" w:type="dxa"/>
            <w:vAlign w:val="bottom"/>
            <w:tcBorders>
              <w:bottom w:val="single" w:sz="8" w:color="CCEEFF"/>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000" w:type="dxa"/>
            <w:vAlign w:val="bottom"/>
            <w:gridSpan w:val="7"/>
            <w:shd w:val="clear" w:color="auto" w:fill="CCEEFF"/>
          </w:tcPr>
          <w:p>
            <w:pPr>
              <w:spacing w:after="0"/>
              <w:rPr>
                <w:sz w:val="20"/>
                <w:szCs w:val="20"/>
                <w:color w:val="auto"/>
              </w:rPr>
            </w:pPr>
            <w:r>
              <w:rPr>
                <w:rFonts w:ascii="Arial" w:cs="Arial" w:eastAsia="Arial" w:hAnsi="Arial"/>
                <w:sz w:val="14"/>
                <w:szCs w:val="14"/>
                <w:b w:val="1"/>
                <w:bCs w:val="1"/>
                <w:color w:val="auto"/>
              </w:rPr>
              <w:t>Maven Research, Inc.</w:t>
            </w:r>
          </w:p>
        </w:tc>
        <w:tc>
          <w:tcPr>
            <w:tcW w:w="12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San Francisco, CA</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Preferred shares, Series C 8%</w:t>
            </w:r>
          </w:p>
        </w:tc>
        <w:tc>
          <w:tcPr>
            <w:tcW w:w="120" w:type="dxa"/>
            <w:vAlign w:val="bottom"/>
          </w:tcPr>
          <w:p>
            <w:pPr>
              <w:spacing w:after="0"/>
              <w:rPr>
                <w:sz w:val="22"/>
                <w:szCs w:val="22"/>
                <w:color w:val="auto"/>
              </w:rPr>
            </w:pPr>
          </w:p>
        </w:tc>
        <w:tc>
          <w:tcPr>
            <w:tcW w:w="246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Knowledge Networks</w:t>
            </w: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7/2/2012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318,979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2,000,447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000" w:type="dxa"/>
            <w:vAlign w:val="bottom"/>
            <w:tcBorders>
              <w:bottom w:val="single" w:sz="8" w:color="CCEEFF"/>
            </w:tcBorders>
            <w:gridSpan w:val="7"/>
            <w:shd w:val="clear" w:color="auto" w:fill="CCEEFF"/>
          </w:tcPr>
          <w:p>
            <w:pPr>
              <w:spacing w:after="0"/>
              <w:rPr>
                <w:sz w:val="20"/>
                <w:szCs w:val="20"/>
                <w:color w:val="auto"/>
              </w:rPr>
            </w:pPr>
            <w:r>
              <w:rPr>
                <w:rFonts w:ascii="Arial" w:cs="Arial" w:eastAsia="Arial" w:hAnsi="Arial"/>
                <w:sz w:val="14"/>
                <w:szCs w:val="14"/>
                <w:color w:val="auto"/>
              </w:rPr>
              <w:t>Preferred shares, Series B 5%</w:t>
            </w:r>
          </w:p>
        </w:tc>
        <w:tc>
          <w:tcPr>
            <w:tcW w:w="120" w:type="dxa"/>
            <w:vAlign w:val="bottom"/>
            <w:shd w:val="clear" w:color="auto" w:fill="CCEEFF"/>
          </w:tcPr>
          <w:p>
            <w:pPr>
              <w:spacing w:after="0"/>
              <w:rPr>
                <w:sz w:val="23"/>
                <w:szCs w:val="23"/>
                <w:color w:val="auto"/>
              </w:rPr>
            </w:pPr>
          </w:p>
        </w:tc>
        <w:tc>
          <w:tcPr>
            <w:tcW w:w="2360" w:type="dxa"/>
            <w:vAlign w:val="bottom"/>
            <w:tcBorders>
              <w:bottom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2/28/2012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217,206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000" w:type="dxa"/>
            <w:vAlign w:val="bottom"/>
            <w:gridSpan w:val="7"/>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2,217,653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9"/>
        </w:trPr>
        <w:tc>
          <w:tcPr>
            <w:tcW w:w="40" w:type="dxa"/>
            <w:vAlign w:val="bottom"/>
            <w:tcBorders>
              <w:top w:val="single" w:sz="8" w:color="CCEEFF"/>
            </w:tcBorders>
            <w:shd w:val="clear" w:color="auto" w:fill="CCEEFF"/>
          </w:tcPr>
          <w:p>
            <w:pPr>
              <w:spacing w:after="0"/>
              <w:rPr>
                <w:sz w:val="21"/>
                <w:szCs w:val="21"/>
                <w:color w:val="auto"/>
              </w:rPr>
            </w:pPr>
          </w:p>
        </w:tc>
        <w:tc>
          <w:tcPr>
            <w:tcW w:w="3000" w:type="dxa"/>
            <w:vAlign w:val="bottom"/>
            <w:tcBorders>
              <w:top w:val="single" w:sz="8" w:color="CCEEFF"/>
            </w:tcBorders>
            <w:gridSpan w:val="7"/>
            <w:shd w:val="clear" w:color="auto" w:fill="CCEEFF"/>
          </w:tcPr>
          <w:p>
            <w:pPr>
              <w:spacing w:after="0"/>
              <w:rPr>
                <w:sz w:val="20"/>
                <w:szCs w:val="20"/>
                <w:color w:val="auto"/>
              </w:rPr>
            </w:pPr>
            <w:r>
              <w:rPr>
                <w:rFonts w:ascii="Arial" w:cs="Arial" w:eastAsia="Arial" w:hAnsi="Arial"/>
                <w:sz w:val="14"/>
                <w:szCs w:val="14"/>
                <w:b w:val="1"/>
                <w:bCs w:val="1"/>
                <w:color w:val="auto"/>
              </w:rPr>
              <w:t>Curious.com, Inc.</w:t>
            </w:r>
          </w:p>
        </w:tc>
        <w:tc>
          <w:tcPr>
            <w:tcW w:w="120" w:type="dxa"/>
            <w:vAlign w:val="bottom"/>
            <w:tcBorders>
              <w:top w:val="single" w:sz="8" w:color="CCEEFF"/>
            </w:tcBorders>
            <w:shd w:val="clear" w:color="auto" w:fill="CCEEFF"/>
          </w:tcPr>
          <w:p>
            <w:pPr>
              <w:spacing w:after="0"/>
              <w:rPr>
                <w:sz w:val="21"/>
                <w:szCs w:val="21"/>
                <w:color w:val="auto"/>
              </w:rPr>
            </w:pPr>
          </w:p>
        </w:tc>
        <w:tc>
          <w:tcPr>
            <w:tcW w:w="2460" w:type="dxa"/>
            <w:vAlign w:val="bottom"/>
            <w:tcBorders>
              <w:top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Menlo Park, CA</w:t>
            </w:r>
          </w:p>
        </w:tc>
        <w:tc>
          <w:tcPr>
            <w:tcW w:w="1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10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Common shares</w:t>
            </w:r>
          </w:p>
        </w:tc>
        <w:tc>
          <w:tcPr>
            <w:tcW w:w="1920" w:type="dxa"/>
            <w:vAlign w:val="bottom"/>
            <w:tcBorders>
              <w:top w:val="single" w:sz="8" w:color="CCEEFF"/>
            </w:tcBorders>
            <w:gridSpan w:val="5"/>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246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3"/>
              </w:rPr>
              <w:t>Online Education</w:t>
            </w:r>
          </w:p>
        </w:tc>
        <w:tc>
          <w:tcPr>
            <w:tcW w:w="112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1"/>
              </w:rPr>
              <w:t>11/22/2013</w:t>
            </w:r>
          </w:p>
        </w:tc>
        <w:tc>
          <w:tcPr>
            <w:tcW w:w="1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1,135,944</w:t>
            </w:r>
          </w:p>
        </w:tc>
        <w:tc>
          <w:tcPr>
            <w:tcW w:w="1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jc w:val="right"/>
              <w:ind w:right="28"/>
              <w:spacing w:after="0"/>
              <w:rPr>
                <w:sz w:val="20"/>
                <w:szCs w:val="20"/>
                <w:color w:val="auto"/>
              </w:rPr>
            </w:pPr>
            <w:r>
              <w:rPr>
                <w:rFonts w:ascii="Arial" w:cs="Arial" w:eastAsia="Arial" w:hAnsi="Arial"/>
                <w:sz w:val="14"/>
                <w:szCs w:val="14"/>
                <w:color w:val="auto"/>
                <w:w w:val="99"/>
              </w:rPr>
              <w:t>12,000,006</w:t>
            </w:r>
          </w:p>
        </w:tc>
        <w:tc>
          <w:tcPr>
            <w:tcW w:w="10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tcPr>
          <w:p>
            <w:pPr>
              <w:spacing w:after="0"/>
              <w:rPr>
                <w:sz w:val="22"/>
                <w:szCs w:val="22"/>
                <w:color w:val="auto"/>
              </w:rPr>
            </w:pPr>
          </w:p>
        </w:tc>
        <w:tc>
          <w:tcPr>
            <w:tcW w:w="10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9"/>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3000" w:type="dxa"/>
            <w:vAlign w:val="bottom"/>
            <w:gridSpan w:val="7"/>
          </w:tcPr>
          <w:p>
            <w:pPr>
              <w:ind w:left="140"/>
              <w:spacing w:after="0"/>
              <w:rPr>
                <w:sz w:val="20"/>
                <w:szCs w:val="20"/>
                <w:color w:val="auto"/>
              </w:rPr>
            </w:pPr>
            <w:r>
              <w:rPr>
                <w:rFonts w:ascii="Arial" w:cs="Arial" w:eastAsia="Arial" w:hAnsi="Arial"/>
                <w:sz w:val="14"/>
                <w:szCs w:val="14"/>
                <w:b w:val="1"/>
                <w:bCs w:val="1"/>
                <w:color w:val="auto"/>
              </w:rPr>
              <w:t>Total Non-controlled/Affiliate</w:t>
            </w:r>
          </w:p>
        </w:tc>
        <w:tc>
          <w:tcPr>
            <w:tcW w:w="12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w w:val="99"/>
              </w:rPr>
              <w:t>52,857,243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37,944,268</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43459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459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-6377940</wp:posOffset>
            </wp:positionV>
            <wp:extent cx="3497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ectPr>
          <w:pgSz w:w="11900" w:h="16838" w:orient="portrait"/>
          <w:cols w:equalWidth="0" w:num="1">
            <w:col w:w="11240"/>
          </w:cols>
          <w:pgMar w:left="320" w:top="122" w:right="3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79" w:lineRule="exact"/>
        <w:rPr>
          <w:sz w:val="20"/>
          <w:szCs w:val="20"/>
          <w:color w:val="auto"/>
        </w:rPr>
      </w:pPr>
    </w:p>
    <w:p>
      <w:pPr>
        <w:jc w:val="center"/>
        <w:ind w:left="340" w:right="2500"/>
        <w:spacing w:after="0" w:line="266" w:lineRule="auto"/>
        <w:rPr>
          <w:sz w:val="20"/>
          <w:szCs w:val="20"/>
          <w:color w:val="auto"/>
        </w:rPr>
      </w:pPr>
      <w:r>
        <w:rPr>
          <w:rFonts w:ascii="Arial" w:cs="Arial" w:eastAsia="Arial" w:hAnsi="Arial"/>
          <w:sz w:val="18"/>
          <w:szCs w:val="18"/>
          <w:b w:val="1"/>
          <w:bCs w:val="1"/>
          <w:color w:val="auto"/>
        </w:rPr>
        <w:t>SUTTER ROCK CAPITAL CORP. AND SUBSIDIARIES CONDENSED CONSOLIDATED SCHEDULE OF INVESTMENTS - continued December 31,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30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20" w:type="dxa"/>
            <w:vAlign w:val="bottom"/>
            <w:vMerge w:val="restart"/>
          </w:tcPr>
          <w:p>
            <w:pPr>
              <w:spacing w:after="0"/>
              <w:rPr>
                <w:sz w:val="14"/>
                <w:szCs w:val="1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Headquarters/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7"/>
              </w:rPr>
              <w:t>Date of Initial</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9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4"/>
                <w:szCs w:val="1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92"/>
        </w:trPr>
        <w:tc>
          <w:tcPr>
            <w:tcW w:w="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Principal</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69"/>
        </w:trPr>
        <w:tc>
          <w:tcPr>
            <w:tcW w:w="40" w:type="dxa"/>
            <w:vAlign w:val="bottom"/>
            <w:shd w:val="clear" w:color="auto" w:fill="CCEEFF"/>
          </w:tcPr>
          <w:p>
            <w:pPr>
              <w:spacing w:after="0"/>
              <w:rPr>
                <w:sz w:val="23"/>
                <w:szCs w:val="23"/>
                <w:color w:val="auto"/>
              </w:rPr>
            </w:pPr>
          </w:p>
        </w:tc>
        <w:tc>
          <w:tcPr>
            <w:tcW w:w="312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CONTROLLED</w:t>
            </w:r>
            <w:r>
              <w:rPr>
                <w:rFonts w:ascii="Arial" w:cs="Arial" w:eastAsia="Arial" w:hAnsi="Arial"/>
                <w:sz w:val="8"/>
                <w:szCs w:val="8"/>
                <w:b w:val="1"/>
                <w:bCs w:val="1"/>
                <w:color w:val="auto"/>
              </w:rPr>
              <w:t>(2)</w:t>
            </w:r>
          </w:p>
        </w:tc>
        <w:tc>
          <w:tcPr>
            <w:tcW w:w="2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3120" w:type="dxa"/>
            <w:vAlign w:val="bottom"/>
            <w:gridSpan w:val="5"/>
          </w:tcPr>
          <w:p>
            <w:pPr>
              <w:spacing w:after="0"/>
              <w:rPr>
                <w:sz w:val="20"/>
                <w:szCs w:val="20"/>
                <w:color w:val="auto"/>
              </w:rPr>
            </w:pPr>
            <w:r>
              <w:rPr>
                <w:rFonts w:ascii="Arial" w:cs="Arial" w:eastAsia="Arial" w:hAnsi="Arial"/>
                <w:sz w:val="14"/>
                <w:szCs w:val="14"/>
                <w:b w:val="1"/>
                <w:bCs w:val="1"/>
                <w:color w:val="auto"/>
              </w:rPr>
              <w:t>SPBRX, INC. (f/k/a GSV Sustainability</w:t>
            </w:r>
          </w:p>
        </w:tc>
        <w:tc>
          <w:tcPr>
            <w:tcW w:w="21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5"/>
              </w:rPr>
              <w:t>Cupertino, CA</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4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Partners, Inc.)</w:t>
            </w:r>
          </w:p>
        </w:tc>
        <w:tc>
          <w:tcPr>
            <w:tcW w:w="700" w:type="dxa"/>
            <w:vAlign w:val="bottom"/>
            <w:gridSpan w:val="2"/>
          </w:tcPr>
          <w:p>
            <w:pPr>
              <w:spacing w:after="0"/>
              <w:rPr>
                <w:sz w:val="11"/>
                <w:szCs w:val="11"/>
                <w:color w:val="auto"/>
              </w:rPr>
            </w:pPr>
          </w:p>
        </w:tc>
        <w:tc>
          <w:tcPr>
            <w:tcW w:w="214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120" w:type="dxa"/>
            <w:vAlign w:val="bottom"/>
            <w:gridSpan w:val="5"/>
            <w:shd w:val="clear" w:color="auto" w:fill="CCEEFF"/>
          </w:tcPr>
          <w:p>
            <w:pPr>
              <w:spacing w:after="0"/>
              <w:rPr>
                <w:sz w:val="20"/>
                <w:szCs w:val="20"/>
                <w:color w:val="auto"/>
              </w:rPr>
            </w:pPr>
            <w:r>
              <w:rPr>
                <w:rFonts w:ascii="Arial" w:cs="Arial" w:eastAsia="Arial" w:hAnsi="Arial"/>
                <w:sz w:val="14"/>
                <w:szCs w:val="14"/>
                <w:color w:val="auto"/>
              </w:rPr>
              <w:t>Preferred shares, Class A***</w:t>
            </w:r>
            <w:r>
              <w:rPr>
                <w:rFonts w:ascii="Arial" w:cs="Arial" w:eastAsia="Arial" w:hAnsi="Arial"/>
                <w:sz w:val="8"/>
                <w:szCs w:val="8"/>
                <w:color w:val="auto"/>
              </w:rPr>
              <w:t>(8)</w:t>
            </w:r>
          </w:p>
        </w:tc>
        <w:tc>
          <w:tcPr>
            <w:tcW w:w="2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Clean Technology</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4/15/2014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9"/>
              </w:rPr>
              <w:t>14,300,000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7,151,412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775,198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120" w:type="dxa"/>
            <w:vAlign w:val="bottom"/>
            <w:gridSpan w:val="5"/>
          </w:tcPr>
          <w:p>
            <w:pPr>
              <w:spacing w:after="0"/>
              <w:rPr>
                <w:sz w:val="20"/>
                <w:szCs w:val="20"/>
                <w:color w:val="auto"/>
              </w:rPr>
            </w:pPr>
            <w:r>
              <w:rPr>
                <w:rFonts w:ascii="Arial" w:cs="Arial" w:eastAsia="Arial" w:hAnsi="Arial"/>
                <w:sz w:val="14"/>
                <w:szCs w:val="14"/>
                <w:color w:val="auto"/>
              </w:rPr>
              <w:t>Common shares</w:t>
            </w: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3"/>
              </w:rPr>
              <w:t>4/15/2014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3000" w:type="dxa"/>
            <w:vAlign w:val="bottom"/>
            <w:tcBorders>
              <w:top w:val="single" w:sz="8" w:color="CCEEFF"/>
              <w:bottom w:val="single" w:sz="8" w:color="CCEEFF"/>
            </w:tcBorders>
            <w:gridSpan w:val="4"/>
            <w:shd w:val="clear" w:color="auto" w:fill="CCEEFF"/>
          </w:tcPr>
          <w:p>
            <w:pPr>
              <w:ind w:left="14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CEEFF"/>
            </w:tcBorders>
            <w:shd w:val="clear" w:color="auto" w:fill="CCEEFF"/>
          </w:tcPr>
          <w:p>
            <w:pPr>
              <w:spacing w:after="0"/>
              <w:rPr>
                <w:sz w:val="22"/>
                <w:szCs w:val="22"/>
                <w:color w:val="auto"/>
              </w:rPr>
            </w:pPr>
          </w:p>
        </w:tc>
        <w:tc>
          <w:tcPr>
            <w:tcW w:w="20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84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7,161,412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775,198</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3120" w:type="dxa"/>
            <w:vAlign w:val="bottom"/>
            <w:gridSpan w:val="5"/>
            <w:shd w:val="clear" w:color="auto" w:fill="CCEEFF"/>
          </w:tcPr>
          <w:p>
            <w:pPr>
              <w:ind w:left="140"/>
              <w:spacing w:after="0"/>
              <w:rPr>
                <w:sz w:val="20"/>
                <w:szCs w:val="20"/>
                <w:color w:val="auto"/>
              </w:rPr>
            </w:pPr>
            <w:r>
              <w:rPr>
                <w:rFonts w:ascii="Arial" w:cs="Arial" w:eastAsia="Arial" w:hAnsi="Arial"/>
                <w:sz w:val="14"/>
                <w:szCs w:val="14"/>
                <w:b w:val="1"/>
                <w:bCs w:val="1"/>
                <w:color w:val="auto"/>
              </w:rPr>
              <w:t>Total Controlled</w:t>
            </w:r>
          </w:p>
        </w:tc>
        <w:tc>
          <w:tcPr>
            <w:tcW w:w="2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7,161,412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775,198</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0.39%</w:t>
            </w:r>
          </w:p>
        </w:tc>
        <w:tc>
          <w:tcPr>
            <w:tcW w:w="0" w:type="dxa"/>
            <w:vAlign w:val="bottom"/>
          </w:tcPr>
          <w:p>
            <w:pPr>
              <w:spacing w:after="0"/>
              <w:rPr>
                <w:sz w:val="1"/>
                <w:szCs w:val="1"/>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shd w:val="clear" w:color="auto" w:fill="CCEEFF"/>
          </w:tcPr>
          <w:p>
            <w:pPr>
              <w:spacing w:after="0"/>
              <w:rPr>
                <w:sz w:val="21"/>
                <w:szCs w:val="21"/>
                <w:color w:val="auto"/>
              </w:rPr>
            </w:pPr>
          </w:p>
        </w:tc>
        <w:tc>
          <w:tcPr>
            <w:tcW w:w="3120" w:type="dxa"/>
            <w:vAlign w:val="bottom"/>
            <w:gridSpan w:val="5"/>
            <w:shd w:val="clear" w:color="auto" w:fill="CCEEFF"/>
          </w:tcPr>
          <w:p>
            <w:pPr>
              <w:ind w:left="140"/>
              <w:spacing w:after="0"/>
              <w:rPr>
                <w:sz w:val="20"/>
                <w:szCs w:val="20"/>
                <w:color w:val="auto"/>
              </w:rPr>
            </w:pPr>
            <w:r>
              <w:rPr>
                <w:rFonts w:ascii="Arial" w:cs="Arial" w:eastAsia="Arial" w:hAnsi="Arial"/>
                <w:sz w:val="14"/>
                <w:szCs w:val="14"/>
                <w:b w:val="1"/>
                <w:bCs w:val="1"/>
                <w:color w:val="auto"/>
              </w:rPr>
              <w:t>Total Portfolio Investments</w:t>
            </w:r>
          </w:p>
        </w:tc>
        <w:tc>
          <w:tcPr>
            <w:tcW w:w="2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150,585,696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191,585,578</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95.83%</w:t>
            </w: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2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U.S. Treasury</w:t>
            </w: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120" w:type="dxa"/>
            <w:vAlign w:val="bottom"/>
            <w:gridSpan w:val="5"/>
          </w:tcPr>
          <w:p>
            <w:pPr>
              <w:spacing w:after="0"/>
              <w:rPr>
                <w:sz w:val="20"/>
                <w:szCs w:val="20"/>
                <w:color w:val="auto"/>
              </w:rPr>
            </w:pPr>
            <w:r>
              <w:rPr>
                <w:rFonts w:ascii="Arial" w:cs="Arial" w:eastAsia="Arial" w:hAnsi="Arial"/>
                <w:sz w:val="14"/>
                <w:szCs w:val="14"/>
                <w:color w:val="auto"/>
              </w:rPr>
              <w:t>U.S. Treasury bill, 0%, due 1/2/2020***</w:t>
            </w:r>
            <w:r>
              <w:rPr>
                <w:rFonts w:ascii="Arial" w:cs="Arial" w:eastAsia="Arial" w:hAnsi="Arial"/>
                <w:sz w:val="8"/>
                <w:szCs w:val="8"/>
                <w:color w:val="auto"/>
              </w:rPr>
              <w:t>(3)</w:t>
            </w: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4"/>
              </w:rPr>
              <w:t>12/30/2019</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w w:val="99"/>
              </w:rPr>
              <w:t>50,000,000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49,996,667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50,000,000</w:t>
            </w:r>
          </w:p>
        </w:tc>
        <w:tc>
          <w:tcPr>
            <w:tcW w:w="1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25.01%</w:t>
            </w:r>
          </w:p>
        </w:tc>
        <w:tc>
          <w:tcPr>
            <w:tcW w:w="0" w:type="dxa"/>
            <w:vAlign w:val="bottom"/>
          </w:tcPr>
          <w:p>
            <w:pPr>
              <w:spacing w:after="0"/>
              <w:rPr>
                <w:sz w:val="1"/>
                <w:szCs w:val="1"/>
                <w:color w:val="auto"/>
              </w:rPr>
            </w:pPr>
          </w:p>
        </w:tc>
      </w:tr>
      <w:tr>
        <w:trPr>
          <w:trHeight w:val="303"/>
        </w:trPr>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40" w:type="dxa"/>
            <w:vAlign w:val="bottom"/>
            <w:tcBorders>
              <w:bottom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120" w:type="dxa"/>
            <w:vAlign w:val="bottom"/>
            <w:gridSpan w:val="5"/>
          </w:tcPr>
          <w:p>
            <w:pPr>
              <w:spacing w:after="0"/>
              <w:rPr>
                <w:sz w:val="20"/>
                <w:szCs w:val="20"/>
                <w:color w:val="auto"/>
              </w:rPr>
            </w:pPr>
            <w:r>
              <w:rPr>
                <w:rFonts w:ascii="Arial" w:cs="Arial" w:eastAsia="Arial" w:hAnsi="Arial"/>
                <w:sz w:val="14"/>
                <w:szCs w:val="14"/>
                <w:b w:val="1"/>
                <w:bCs w:val="1"/>
                <w:color w:val="auto"/>
              </w:rPr>
              <w:t>TOTAL INVESTMENTS</w:t>
            </w:r>
          </w:p>
        </w:tc>
        <w:tc>
          <w:tcPr>
            <w:tcW w:w="2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200,582,363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241,585,578</w:t>
            </w:r>
          </w:p>
        </w:tc>
        <w:tc>
          <w:tcPr>
            <w:tcW w:w="10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120.84%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-385445</wp:posOffset>
            </wp:positionV>
            <wp:extent cx="7797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-385445</wp:posOffset>
            </wp:positionV>
            <wp:extent cx="19284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28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-1807845</wp:posOffset>
            </wp:positionV>
            <wp:extent cx="48431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843145" cy="8890"/>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w:t>
      </w:r>
    </w:p>
    <w:p>
      <w:pPr>
        <w:spacing w:after="0" w:line="2" w:lineRule="exact"/>
        <w:rPr>
          <w:sz w:val="20"/>
          <w:szCs w:val="20"/>
          <w:color w:val="auto"/>
        </w:rPr>
      </w:pPr>
    </w:p>
    <w:p>
      <w:pPr>
        <w:jc w:val="both"/>
        <w:ind w:left="500" w:hanging="492"/>
        <w:spacing w:after="0" w:line="313"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4"/>
          <w:szCs w:val="14"/>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 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w:t>
      </w:r>
    </w:p>
    <w:p>
      <w:pPr>
        <w:ind w:left="500"/>
        <w:spacing w:after="0"/>
        <w:rPr>
          <w:sz w:val="20"/>
          <w:szCs w:val="20"/>
          <w:color w:val="auto"/>
        </w:rPr>
      </w:pPr>
      <w:r>
        <w:rPr>
          <w:rFonts w:ascii="Arial" w:cs="Arial" w:eastAsia="Arial" w:hAnsi="Arial"/>
          <w:sz w:val="16"/>
          <w:szCs w:val="16"/>
          <w:color w:val="auto"/>
        </w:rPr>
        <w:t>determined in good faith by the Company’s Board of Directors.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w:t>
      </w:r>
    </w:p>
    <w:p>
      <w:pPr>
        <w:spacing w:after="0" w:line="22" w:lineRule="exact"/>
        <w:rPr>
          <w:sz w:val="20"/>
          <w:szCs w:val="20"/>
          <w:color w:val="auto"/>
        </w:rPr>
      </w:pPr>
    </w:p>
    <w:p>
      <w:pPr>
        <w:ind w:left="500" w:right="20" w:hanging="492"/>
        <w:spacing w:after="0" w:line="270" w:lineRule="auto"/>
        <w:tabs>
          <w:tab w:leader="none" w:pos="5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Indicates assets that Sutter Rock Capital Corp. believes do not represent “qualifying assets” under Section 55(a) of the Investment Company Act of 1940, as amended (the “1940 Act”). Of the Company’s total investments as of December 31, 2019, 0.00% of its total investments are non-qualifying assets.</w:t>
      </w:r>
    </w:p>
    <w:p>
      <w:pPr>
        <w:ind w:left="500" w:hanging="492"/>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180" w:lineRule="exact"/>
        <w:rPr>
          <w:sz w:val="20"/>
          <w:szCs w:val="20"/>
          <w:color w:val="auto"/>
        </w:rPr>
      </w:pPr>
    </w:p>
    <w:p>
      <w:pPr>
        <w:jc w:val="both"/>
        <w:ind w:left="500" w:hanging="492"/>
        <w:spacing w:after="0" w:line="256"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Sutter Rock Capital Corp., as defined in the 1940 Act. In general, a company is deemed to be an “Affiliate” of Sutter Rock Capital Corp. if Sutter Rock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159" w:lineRule="exact"/>
        <w:rPr>
          <w:rFonts w:ascii="Arial" w:cs="Arial" w:eastAsia="Arial" w:hAnsi="Arial"/>
          <w:sz w:val="16"/>
          <w:szCs w:val="16"/>
          <w:color w:val="auto"/>
        </w:rPr>
      </w:pPr>
    </w:p>
    <w:p>
      <w:pPr>
        <w:jc w:val="both"/>
        <w:ind w:left="500" w:hanging="492"/>
        <w:spacing w:after="0" w:line="278" w:lineRule="auto"/>
        <w:tabs>
          <w:tab w:leader="none" w:pos="5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“Control Investments” are investments in those companies that are “Controlled Companies” of Sutter Rock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45" w:lineRule="exact"/>
        <w:rPr>
          <w:rFonts w:ascii="Arial" w:cs="Arial" w:eastAsia="Arial" w:hAnsi="Arial"/>
          <w:sz w:val="15"/>
          <w:szCs w:val="15"/>
          <w:color w:val="auto"/>
        </w:rPr>
      </w:pPr>
    </w:p>
    <w:p>
      <w:pPr>
        <w:ind w:left="500" w:hanging="492"/>
        <w:spacing w:after="0" w:line="27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Denotes an investment considered Level 1 or Level 2 and valued using observable inputs. As of December 31, 2019, no investments held by Sutter Rock Capital Corp. were considered Level 1 or Level 2. Refer to “Note 4—Investments at Fair Value”.</w:t>
      </w:r>
    </w:p>
    <w:p>
      <w:pPr>
        <w:spacing w:after="0" w:line="145"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of December 31, 2019, the investments noted had been placed on non-accrual status.</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Sutter Rock Capital Corp.’s investments in StormWind, LLC are held through Sutter Rock Capital Corp.'s wholly owned subsidiary, GSVC SW Holdings, Inc.</w:t>
      </w:r>
    </w:p>
    <w:p>
      <w:pPr>
        <w:spacing w:after="0" w:line="205" w:lineRule="exact"/>
        <w:rPr>
          <w:rFonts w:ascii="Arial" w:cs="Arial" w:eastAsia="Arial" w:hAnsi="Arial"/>
          <w:sz w:val="15"/>
          <w:szCs w:val="15"/>
          <w:color w:val="auto"/>
        </w:rPr>
      </w:pPr>
    </w:p>
    <w:p>
      <w:pPr>
        <w:jc w:val="both"/>
        <w:ind w:left="500" w:hanging="492"/>
        <w:spacing w:after="0" w:line="261"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October 24, 2019, CUX, Inc. (d/b/a CorpU) completed a recapitalization, which amended Sutter Rock Capital Corp.'s investment in the Senior Subordinated Convertible Promissory Note. As a result of the recapitalization, the principal amount of Sutter Rock Capital Corp.'s Senior Subordinated Convertible Promissory Note was reduced by $109,331, the interest rate was reduced to 4%, and the maturity was extended to February 14, 2023.</w:t>
      </w:r>
    </w:p>
    <w:p>
      <w:pPr>
        <w:spacing w:after="0" w:line="155" w:lineRule="exact"/>
        <w:rPr>
          <w:rFonts w:ascii="Arial" w:cs="Arial" w:eastAsia="Arial" w:hAnsi="Arial"/>
          <w:sz w:val="16"/>
          <w:szCs w:val="16"/>
          <w:color w:val="auto"/>
        </w:rPr>
      </w:pPr>
    </w:p>
    <w:p>
      <w:pPr>
        <w:ind w:left="500" w:right="20" w:hanging="492"/>
        <w:spacing w:after="0" w:line="275" w:lineRule="auto"/>
        <w:tabs>
          <w:tab w:leader="none" w:pos="5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September 11, 2019, Sutter Rock Capital Corp. agreed to convert its 5% Convertible Promissory Note due 12/31/2018 to Ozy Media, Inc. and all related accrued interest, into 683,482 shares of Ozy Media, Inc.'s Series C-2 preferred shares.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377" w:lineRule="exact"/>
        <w:rPr>
          <w:sz w:val="20"/>
          <w:szCs w:val="20"/>
          <w:color w:val="auto"/>
        </w:rPr>
      </w:pPr>
    </w:p>
    <w:p>
      <w:pPr>
        <w:ind w:left="500" w:hanging="492"/>
        <w:spacing w:after="0" w:line="27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year ended December 31, 2019, SPBRX, INC. (f/k/a GSV Sustainability Partners, Inc.) declared, and Sutter Rock Capital Corp. received, an aggregate of $400,000 in dividend distributions.</w:t>
      </w:r>
    </w:p>
    <w:p>
      <w:pPr>
        <w:spacing w:after="0" w:line="145" w:lineRule="exact"/>
        <w:rPr>
          <w:rFonts w:ascii="Arial" w:cs="Arial" w:eastAsia="Arial" w:hAnsi="Arial"/>
          <w:sz w:val="16"/>
          <w:szCs w:val="16"/>
          <w:color w:val="auto"/>
        </w:rPr>
      </w:pPr>
    </w:p>
    <w:p>
      <w:pPr>
        <w:jc w:val="both"/>
        <w:ind w:left="500" w:hanging="492"/>
        <w:spacing w:after="0" w:line="269" w:lineRule="auto"/>
        <w:tabs>
          <w:tab w:leader="none" w:pos="5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On August 23, 2019, Sutter Rock Capital Corp. amended the structure of its investment in NestGSV, Inc. (d/b/a GSV Labs, Inc.). As part of the agreement, Sutter Rock Capital Corp’s equity holdings (warrants notwithstanding) were restructured into a derivative security. NestGSV, Inc. (d/b/a GSV Labs,Inc.) has the right to call the position at any time over a five year period, while Sutter Rock Capital Corp. can put the shares to NestGSV, Inc. (d/b/a GSV Labs, Inc.) at the end of the five year period. As part of the agreement, previously accrued interest under Sutter Rock Capital Corp’s 12% Convertible Promissory Note due 12/31/2019 will be capitalized into the principal of the extended Convertible Promissory Note, and the interest on the Convertible Promissory Note is reduced from 12% to 8%. The Convertible Promissory Note’s maturity was extended to August 23, 2024. Under the amended structure, Sutter Rock Capital Corp.’s fully diluted ownership of voting securities in the company decreased from 50.0% to 8.5%. As such, Sutter Rock Capital Corp.'s investments in NestGSV, Inc. (d/b/a GSV Labs, Inc.) have been recategorized from controlled investments to non-controlled/affiliated investments.</w:t>
      </w:r>
    </w:p>
    <w:p>
      <w:pPr>
        <w:spacing w:after="0" w:line="154" w:lineRule="exact"/>
        <w:rPr>
          <w:rFonts w:ascii="Arial" w:cs="Arial" w:eastAsia="Arial" w:hAnsi="Arial"/>
          <w:sz w:val="15"/>
          <w:szCs w:val="15"/>
          <w:color w:val="auto"/>
        </w:rPr>
      </w:pPr>
    </w:p>
    <w:p>
      <w:pPr>
        <w:jc w:val="both"/>
        <w:ind w:left="500" w:hanging="492"/>
        <w:spacing w:after="0" w:line="261"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November 26, 2019, Sutter Rock Capital Corp. invested $250,000 in StormWind, LLC's Series D financing round. As part of the round, Sutter Rock Capital Corp.'s fully diluted ownership of voting securities decreased from 25.6% to 23.4%. As such, Sutter Rock Capital Corp.'s investments in StormWind, LLC have been recategorized from controlled investments to non-controlled/affiliated investments.</w:t>
      </w:r>
    </w:p>
    <w:p>
      <w:pPr>
        <w:spacing w:after="0" w:line="155"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year ended December 31, 2019, Treehouse Real Estate Investment Trust Inc. declared, and Sutter Rock Capital Corp. received an aggregate of $100,000 in dividend distributions.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229"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Sutter Rock Capital Corp. ("we", "us", "our", “Company” or “Sutter Rock Capital”), formerly known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88"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7"/>
          <w:szCs w:val="17"/>
          <w:color w:val="auto"/>
        </w:rPr>
        <w:t>On and effective March 12, 2019, our Board of Directors approved internalizing our operating structure ("Internalization") and we began operating as an internally-managed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Refer to "Note 3 — Related-Party Arrangements" for further detail.</w:t>
      </w:r>
    </w:p>
    <w:p>
      <w:pPr>
        <w:spacing w:after="0" w:line="178"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8"/>
          <w:szCs w:val="18"/>
          <w:color w:val="auto"/>
        </w:rPr>
        <w:t>The Company’s date of inception was January 6, 2011, which is the date it commenced its development stage activities. The Company’s common stock is currently listed on the Nasdaq Capital Market under the symbol “SSSS” (formerly "GSVC"). The Company began its investment operations during the second quarter of 2011.</w:t>
      </w:r>
    </w:p>
    <w:p>
      <w:pPr>
        <w:spacing w:after="0" w:line="184" w:lineRule="exact"/>
        <w:rPr>
          <w:sz w:val="20"/>
          <w:szCs w:val="20"/>
          <w:color w:val="auto"/>
        </w:rPr>
      </w:pPr>
    </w:p>
    <w:p>
      <w:pPr>
        <w:jc w:val="both"/>
        <w:ind w:firstLine="351"/>
        <w:spacing w:after="0" w:line="296" w:lineRule="auto"/>
        <w:rPr>
          <w:sz w:val="20"/>
          <w:szCs w:val="20"/>
          <w:color w:val="auto"/>
        </w:rPr>
      </w:pPr>
      <w:r>
        <w:rPr>
          <w:rFonts w:ascii="Arial" w:cs="Arial" w:eastAsia="Arial" w:hAnsi="Arial"/>
          <w:sz w:val="16"/>
          <w:szCs w:val="16"/>
          <w:color w:val="auto"/>
        </w:rPr>
        <w:t>The table below displays the Company’s subsidiaries as of March 31, 2020, which, other than GSV Capital Lending, LLC (“GCL”), are collectively referred to as the “Taxable Subsidiaries.” The Taxable Subsidiaries were formed to hold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Arial" w:cs="Arial" w:eastAsia="Arial" w:hAnsi="Arial"/>
          <w:sz w:val="16"/>
          <w:szCs w:val="16"/>
          <w:i w:val="1"/>
          <w:iCs w:val="1"/>
          <w:color w:val="auto"/>
        </w:rPr>
        <w:t>Basis of Consolidation</w:t>
      </w:r>
      <w:r>
        <w:rPr>
          <w:rFonts w:ascii="Arial" w:cs="Arial" w:eastAsia="Arial" w:hAnsi="Arial"/>
          <w:sz w:val="16"/>
          <w:szCs w:val="16"/>
          <w:color w:val="auto"/>
        </w:rPr>
        <w:t>” below for further detail.</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Subsidiary</w:t>
            </w:r>
          </w:p>
        </w:tc>
        <w:tc>
          <w:tcPr>
            <w:tcW w:w="120" w:type="dxa"/>
            <w:vAlign w:val="bottom"/>
            <w:vMerge w:val="restart"/>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Jurisdiction of</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Formation</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Incorporation</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GCL</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Delaware</w:t>
            </w:r>
          </w:p>
        </w:tc>
        <w:tc>
          <w:tcPr>
            <w:tcW w:w="2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April 13, 2012</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37"/>
        </w:trPr>
        <w:tc>
          <w:tcPr>
            <w:tcW w:w="6640" w:type="dxa"/>
            <w:vAlign w:val="bottom"/>
            <w:gridSpan w:val="2"/>
          </w:tcPr>
          <w:p>
            <w:pPr>
              <w:ind w:left="40"/>
              <w:spacing w:after="0"/>
              <w:rPr>
                <w:sz w:val="20"/>
                <w:szCs w:val="20"/>
                <w:color w:val="auto"/>
              </w:rPr>
            </w:pPr>
            <w:r>
              <w:rPr>
                <w:rFonts w:ascii="Arial" w:cs="Arial" w:eastAsia="Arial" w:hAnsi="Arial"/>
                <w:sz w:val="16"/>
                <w:szCs w:val="16"/>
                <w:b w:val="1"/>
                <w:bCs w:val="1"/>
                <w:color w:val="auto"/>
              </w:rPr>
              <w:t>Subsidiaries below are referred to collectively, as the “Taxable Subsidiaries”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GSVC AE Holdings, Inc. (“GAE”)</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Delaware</w:t>
            </w:r>
          </w:p>
        </w:tc>
        <w:tc>
          <w:tcPr>
            <w:tcW w:w="21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November 28, 2012</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GSVC AV Holdings, Inc. (“GAV”)</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Delaware</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November 28, 2012</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GSVC NG Holdings, Inc. (“GNG”)</w:t>
            </w:r>
            <w:r>
              <w:rPr>
                <w:rFonts w:ascii="Arial" w:cs="Arial" w:eastAsia="Arial" w:hAnsi="Arial"/>
                <w:sz w:val="25"/>
                <w:szCs w:val="25"/>
                <w:color w:val="auto"/>
                <w:vertAlign w:val="superscript"/>
              </w:rPr>
              <w:t>(1)</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Delaware</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November 28, 2012</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GSVC SW Holdings, Inc. (“GSW”)</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Delaware</w:t>
            </w:r>
          </w:p>
        </w:tc>
        <w:tc>
          <w:tcPr>
            <w:tcW w:w="2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November 28, 2012</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GSVC WS Holdings, Inc. (“GWS”)</w:t>
            </w:r>
            <w:r>
              <w:rPr>
                <w:rFonts w:ascii="Arial" w:cs="Arial" w:eastAsia="Arial" w:hAnsi="Arial"/>
                <w:sz w:val="25"/>
                <w:szCs w:val="25"/>
                <w:color w:val="auto"/>
                <w:vertAlign w:val="superscript"/>
              </w:rPr>
              <w:t>(1)</w:t>
            </w: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Delaware</w:t>
            </w:r>
          </w:p>
        </w:tc>
        <w:tc>
          <w:tcPr>
            <w:tcW w:w="21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November 28, 2012</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24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GSVC SVDS Holdings, Inc. (“SVDS”)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Delaware</w:t>
            </w:r>
          </w:p>
        </w:tc>
        <w:tc>
          <w:tcPr>
            <w:tcW w:w="21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13, 2013</w:t>
            </w: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0" w:type="dxa"/>
            <w:vAlign w:val="bottom"/>
          </w:tcPr>
          <w:p>
            <w:pPr>
              <w:spacing w:after="0"/>
              <w:rPr>
                <w:sz w:val="1"/>
                <w:szCs w:val="1"/>
                <w:color w:val="auto"/>
              </w:rPr>
            </w:pPr>
          </w:p>
        </w:tc>
      </w:tr>
      <w:tr>
        <w:trPr>
          <w:trHeight w:val="170"/>
        </w:trPr>
        <w:tc>
          <w:tcPr>
            <w:tcW w:w="6520" w:type="dxa"/>
            <w:vAlign w:val="bottom"/>
          </w:tcPr>
          <w:p>
            <w:pPr>
              <w:spacing w:after="0"/>
              <w:rPr>
                <w:sz w:val="20"/>
                <w:szCs w:val="20"/>
                <w:color w:val="auto"/>
              </w:rPr>
            </w:pPr>
            <w:r>
              <w:rPr>
                <w:rFonts w:ascii="Arial" w:cs="Arial" w:eastAsia="Arial" w:hAnsi="Arial"/>
                <w:sz w:val="14"/>
                <w:szCs w:val="14"/>
                <w:color w:val="auto"/>
              </w:rPr>
              <w:t>__________________________________</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640" w:type="dxa"/>
            <w:vAlign w:val="bottom"/>
            <w:gridSpan w:val="2"/>
          </w:tcPr>
          <w:p>
            <w:pPr>
              <w:spacing w:after="0"/>
              <w:rPr>
                <w:sz w:val="20"/>
                <w:szCs w:val="20"/>
                <w:color w:val="auto"/>
              </w:rPr>
            </w:pPr>
            <w:r>
              <w:rPr>
                <w:rFonts w:ascii="Arial" w:cs="Arial" w:eastAsia="Arial" w:hAnsi="Arial"/>
                <w:sz w:val="14"/>
                <w:szCs w:val="14"/>
                <w:color w:val="auto"/>
              </w:rPr>
              <w:t>(1)  This Taxable Subsidiary was dissolved on April 16, 2020.</w:t>
            </w: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The Company’s investment objective is to maximize its portfolio’s total return, principally by seeking capital gains on its equity and equity-related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The Company may also invest on an opportunistic basis in select publicly traded equity securities or certain non-U.S. companies that otherwise meet its investment criteria, subject to any applicable limitations under the 1940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7"/>
          <w:szCs w:val="17"/>
          <w:color w:val="auto"/>
        </w:rPr>
        <w:t>The interim unaudited condensed consolidated financial statements of the Company are prepared on the accrual basis of accounting in conformity with U.S. generally accepted accounting principles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Services—Investment Companies. In the opinion of management, all adjustments, all of which were of a normal recurring nature, considered necessary for the fair presentation of consolidated financial statements for the interim period have been included.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of operations for the current interim period are not necessarily indicative of results that ultimately may be achieved for any other interim period or for the year ending December 31, 2020. The interim unaudited condensed consolidated financial statements and notes hereto should be read in conjunction with the audited consolidated financial statements and notes thereto contained in the Company’s annual report on Form 10-K for the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29" w:lineRule="exact"/>
        <w:rPr>
          <w:sz w:val="20"/>
          <w:szCs w:val="20"/>
          <w:color w:val="auto"/>
        </w:rPr>
      </w:pPr>
    </w:p>
    <w:p>
      <w:pPr>
        <w:jc w:val="both"/>
        <w:ind w:firstLine="351"/>
        <w:spacing w:after="0" w:line="275" w:lineRule="auto"/>
        <w:rPr>
          <w:sz w:val="20"/>
          <w:szCs w:val="20"/>
          <w:color w:val="auto"/>
        </w:rPr>
      </w:pPr>
      <w:r>
        <w:rPr>
          <w:rFonts w:ascii="Arial" w:cs="Arial" w:eastAsia="Arial" w:hAnsi="Arial"/>
          <w:sz w:val="17"/>
          <w:szCs w:val="17"/>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condensed consolidated financial statements include its accounts and the accounts of the Taxable Subsidiaries and GCL, its wholly-owned subsidiaries. All intercompany balances and transactions have been eliminated in consolidation.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The preparation of condensed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condensed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Uncertainties and Risk Factors</w:t>
      </w:r>
    </w:p>
    <w:p>
      <w:pPr>
        <w:spacing w:after="0" w:line="229" w:lineRule="exact"/>
        <w:rPr>
          <w:sz w:val="20"/>
          <w:szCs w:val="20"/>
          <w:color w:val="auto"/>
        </w:rPr>
      </w:pPr>
    </w:p>
    <w:p>
      <w:pPr>
        <w:jc w:val="both"/>
        <w:ind w:firstLine="351"/>
        <w:spacing w:after="0" w:line="311" w:lineRule="auto"/>
        <w:rPr>
          <w:sz w:val="20"/>
          <w:szCs w:val="20"/>
          <w:color w:val="auto"/>
        </w:rPr>
      </w:pPr>
      <w:r>
        <w:rPr>
          <w:rFonts w:ascii="Arial" w:cs="Arial" w:eastAsia="Arial" w:hAnsi="Arial"/>
          <w:sz w:val="16"/>
          <w:szCs w:val="16"/>
          <w:color w:val="auto"/>
        </w:rPr>
        <w:t>The Company is subject to a number of risks and uncertainties in the nature of its operations, as well as vulnerability due to certain concentrations. Refer to "Risk Factors” in Part I, Item 1A of this Form 10-Q for a detailed discussion of the risks and uncertainties inherent in the nature of the Company’s operations. Refer to “Note 4—Investments at Fair Value” for an overview of the Company’s industry and geographic concentrations.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at Fair Value</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70"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0" w:lineRule="exact"/>
        <w:rPr>
          <w:sz w:val="20"/>
          <w:szCs w:val="20"/>
          <w:color w:val="auto"/>
        </w:rPr>
      </w:pPr>
    </w:p>
    <w:p>
      <w:pPr>
        <w:spacing w:after="0" w:line="223" w:lineRule="exact"/>
        <w:rPr>
          <w:sz w:val="20"/>
          <w:szCs w:val="20"/>
          <w:color w:val="auto"/>
        </w:rPr>
      </w:pPr>
    </w:p>
    <w:p>
      <w:pPr>
        <w:jc w:val="both"/>
        <w:ind w:right="20" w:firstLine="351"/>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—Valuations based on unadjusted quoted prices for identical assets or liabilities in an active market that the Company has the ability to access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measurement date.</w:t>
      </w:r>
    </w:p>
    <w:p>
      <w:pPr>
        <w:spacing w:after="0" w:line="162" w:lineRule="exact"/>
        <w:rPr>
          <w:sz w:val="20"/>
          <w:szCs w:val="20"/>
          <w:color w:val="auto"/>
        </w:rPr>
      </w:pPr>
    </w:p>
    <w:p>
      <w:pPr>
        <w:jc w:val="both"/>
        <w:ind w:firstLine="351"/>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—Valuations based on observable inputs other than Level 1 prices, such as quoted prices for similar assets or liabilities; quoted prices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at the measurement date for substantially the full term of the assets or liabilities.</w:t>
      </w:r>
    </w:p>
    <w:p>
      <w:pPr>
        <w:spacing w:after="0" w:line="176" w:lineRule="exact"/>
        <w:rPr>
          <w:sz w:val="20"/>
          <w:szCs w:val="20"/>
          <w:color w:val="auto"/>
        </w:rPr>
      </w:pPr>
    </w:p>
    <w:p>
      <w:pPr>
        <w:jc w:val="both"/>
        <w:ind w:firstLine="351"/>
        <w:spacing w:after="0" w:line="314" w:lineRule="auto"/>
        <w:rPr>
          <w:sz w:val="20"/>
          <w:szCs w:val="20"/>
          <w:color w:val="auto"/>
        </w:rPr>
      </w:pPr>
      <w:r>
        <w:rPr>
          <w:rFonts w:ascii="Arial" w:cs="Arial" w:eastAsia="Arial" w:hAnsi="Arial"/>
          <w:sz w:val="16"/>
          <w:szCs w:val="16"/>
          <w:b w:val="1"/>
          <w:bCs w:val="1"/>
          <w:color w:val="auto"/>
        </w:rPr>
        <w:t>Level 3</w:t>
      </w:r>
      <w:r>
        <w:rPr>
          <w:rFonts w:ascii="Arial" w:cs="Arial" w:eastAsia="Arial" w:hAnsi="Arial"/>
          <w:sz w:val="16"/>
          <w:szCs w:val="16"/>
          <w:color w:val="auto"/>
        </w:rPr>
        <w:t>—Valuations based on unobservable inputs that reflect management’s best estimate of what market participants would use in pricing the asset</w:t>
      </w:r>
      <w:r>
        <w:rPr>
          <w:rFonts w:ascii="Arial" w:cs="Arial" w:eastAsia="Arial" w:hAnsi="Arial"/>
          <w:sz w:val="16"/>
          <w:szCs w:val="16"/>
          <w:b w:val="1"/>
          <w:bCs w:val="1"/>
          <w:color w:val="auto"/>
        </w:rPr>
        <w:t xml:space="preserve"> </w:t>
      </w:r>
      <w:r>
        <w:rPr>
          <w:rFonts w:ascii="Arial" w:cs="Arial" w:eastAsia="Arial" w:hAnsi="Arial"/>
          <w:sz w:val="16"/>
          <w:szCs w:val="16"/>
          <w:color w:val="auto"/>
        </w:rPr>
        <w:t>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46"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188" w:lineRule="exact"/>
        <w:rPr>
          <w:sz w:val="20"/>
          <w:szCs w:val="20"/>
          <w:color w:val="auto"/>
        </w:rPr>
      </w:pPr>
    </w:p>
    <w:p>
      <w:pPr>
        <w:jc w:val="both"/>
        <w:ind w:firstLine="351"/>
        <w:spacing w:after="0" w:line="301" w:lineRule="auto"/>
        <w:rPr>
          <w:sz w:val="20"/>
          <w:szCs w:val="20"/>
          <w:color w:val="auto"/>
        </w:rPr>
      </w:pPr>
      <w:r>
        <w:rPr>
          <w:rFonts w:ascii="Arial" w:cs="Arial" w:eastAsia="Arial" w:hAnsi="Arial"/>
          <w:sz w:val="16"/>
          <w:szCs w:val="16"/>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57"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192"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184" w:lineRule="exact"/>
        <w:rPr>
          <w:sz w:val="20"/>
          <w:szCs w:val="20"/>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senior management;</w:t>
      </w:r>
    </w:p>
    <w:p>
      <w:pPr>
        <w:spacing w:after="0" w:line="26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independent third-party valuation firm is engaged by the Valuation Committee to conduct independent appraisals and review management’s preliminary valuations and make its own independent assessment, for all investments for which there are no readily available market quotations;</w:t>
      </w:r>
    </w:p>
    <w:p>
      <w:pPr>
        <w:spacing w:after="0" w:line="191" w:lineRule="exact"/>
        <w:rPr>
          <w:rFonts w:ascii="Arial" w:cs="Arial" w:eastAsia="Arial" w:hAnsi="Arial"/>
          <w:sz w:val="16"/>
          <w:szCs w:val="16"/>
          <w:color w:val="auto"/>
        </w:rPr>
      </w:pPr>
    </w:p>
    <w:p>
      <w:pPr>
        <w:ind w:left="660" w:hanging="328"/>
        <w:spacing w:after="0" w:line="32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based on the input of management and the independent third-party valuation firm; and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211"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192"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quarter and prior fiscal year, the Valuation Committee engaged an independent valuation firm to perform valuations of 100% of the Company’s investments for which there were no readily available market quotations.</w:t>
      </w:r>
    </w:p>
    <w:p>
      <w:pPr>
        <w:spacing w:after="0" w:line="17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187" w:lineRule="exact"/>
        <w:rPr>
          <w:sz w:val="20"/>
          <w:szCs w:val="20"/>
          <w:color w:val="auto"/>
        </w:rPr>
      </w:pPr>
    </w:p>
    <w:p>
      <w:pPr>
        <w:jc w:val="both"/>
        <w:ind w:firstLine="351"/>
        <w:spacing w:after="0" w:line="342" w:lineRule="auto"/>
        <w:rPr>
          <w:sz w:val="20"/>
          <w:szCs w:val="20"/>
          <w:color w:val="auto"/>
        </w:rPr>
      </w:pPr>
      <w:r>
        <w:rPr>
          <w:rFonts w:ascii="Arial" w:cs="Arial" w:eastAsia="Arial" w:hAnsi="Arial"/>
          <w:sz w:val="16"/>
          <w:szCs w:val="16"/>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225"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64"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66"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loss on investments in the Condensed Consolidated Statements of Operations and Condensed Consolidated Statements of Cash Flows. In the event these securities are exercised into common or preferred stock, the cost associated with these securities is reassigned to the cost basis of the new common or preferred stock. These conversions are noted as non-cash operating items on the Condensed Consolidated Statements of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The Company’s Board of Directors will ascribe value to options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25"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Condensed Consolidated Schedules of Investments as of March 31, 2020 and December 31, 2019, for details regarding the nature and composition of the Company’s investment portfolio.</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Levelling Policy</w:t>
      </w:r>
    </w:p>
    <w:p>
      <w:pPr>
        <w:spacing w:after="0" w:line="225"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Transactions</w:t>
      </w:r>
    </w:p>
    <w:p>
      <w:pPr>
        <w:spacing w:after="0" w:line="22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w:t>
      </w:r>
      <w:r>
        <w:rPr>
          <w:rFonts w:ascii="Arial" w:cs="Arial" w:eastAsia="Arial" w:hAnsi="Arial"/>
          <w:sz w:val="18"/>
          <w:szCs w:val="18"/>
          <w:i w:val="1"/>
          <w:iCs w:val="1"/>
          <w:color w:val="auto"/>
        </w:rPr>
        <w:t>i.e.</w:t>
      </w:r>
      <w:r>
        <w:rPr>
          <w:rFonts w:ascii="Arial" w:cs="Arial" w:eastAsia="Arial" w:hAnsi="Arial"/>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Financial Instruments</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jc w:val="both"/>
        <w:ind w:firstLine="351"/>
        <w:spacing w:after="0" w:line="311" w:lineRule="auto"/>
        <w:rPr>
          <w:sz w:val="20"/>
          <w:szCs w:val="20"/>
          <w:color w:val="auto"/>
        </w:rPr>
      </w:pPr>
      <w:r>
        <w:rPr>
          <w:rFonts w:ascii="Arial" w:cs="Arial" w:eastAsia="Arial" w:hAnsi="Arial"/>
          <w:sz w:val="16"/>
          <w:szCs w:val="16"/>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Western Alliance Bank, and Silicon Valley Bank are high-quality financial institutions and that the risk of loss associated with any uninsured balance is remote.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Proceeds Receivable</w:t>
      </w:r>
    </w:p>
    <w:p>
      <w:pPr>
        <w:spacing w:after="0" w:line="225"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A portion of the proceeds from the sale of portfolio investments and sold are held in escrow as a recourse for indemnity claims that may arise under the sale agreement. Amounts held in escrow are held at estimated realizable value and included in net realized gains (losses) on investments in the Condensed Consolidated Statements of Operations for the period in which they occurred and are adjusted as needed. Any remaining escrow proceeds balances from these transactions reasonably expected to be received are reflected on the Condensed Consolidated Statement of Assets and Liabilities as escrow proceeds receivable. As of March 31, 2020 and December 31, 2019, the Company had $207,375 and $265,303, respectively, in escrow proceeds receivable.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25" w:lineRule="exact"/>
        <w:rPr>
          <w:sz w:val="20"/>
          <w:szCs w:val="20"/>
          <w:color w:val="auto"/>
        </w:rPr>
      </w:pPr>
    </w:p>
    <w:p>
      <w:pPr>
        <w:jc w:val="both"/>
        <w:ind w:firstLine="351"/>
        <w:spacing w:after="0" w:line="272" w:lineRule="auto"/>
        <w:rPr>
          <w:sz w:val="20"/>
          <w:szCs w:val="20"/>
          <w:color w:val="auto"/>
        </w:rPr>
      </w:pPr>
      <w:r>
        <w:rPr>
          <w:rFonts w:ascii="Arial" w:cs="Arial" w:eastAsia="Arial" w:hAnsi="Arial"/>
          <w:sz w:val="17"/>
          <w:szCs w:val="17"/>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March 31, 2020 and December 31, 2019, the Company had deferred financing costs of $11,382 and $11,382, respectively, on the Condensed Consolidated Statement of Assets and Liabilities.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49"/>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credit facility costs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11,382</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Deferred offering costs</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Financing Costs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11,382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11,382</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51949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9493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&amp; Related Deposits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 accounts for its operating leases as prescribed by ASC 842, </w:t>
      </w:r>
      <w:r>
        <w:rPr>
          <w:rFonts w:ascii="Arial" w:cs="Arial" w:eastAsia="Arial" w:hAnsi="Arial"/>
          <w:sz w:val="18"/>
          <w:szCs w:val="18"/>
          <w:i w:val="1"/>
          <w:iCs w:val="1"/>
          <w:color w:val="auto"/>
        </w:rPr>
        <w:t>Leases</w:t>
      </w:r>
      <w:r>
        <w:rPr>
          <w:rFonts w:ascii="Arial" w:cs="Arial" w:eastAsia="Arial" w:hAnsi="Arial"/>
          <w:sz w:val="18"/>
          <w:szCs w:val="18"/>
          <w:color w:val="auto"/>
        </w:rPr>
        <w:t>, which requires lessees to recognize a right of 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primary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Arial" w:cs="Arial" w:eastAsia="Arial" w:hAnsi="Arial"/>
          <w:sz w:val="18"/>
          <w:szCs w:val="18"/>
          <w:i w:val="1"/>
          <w:iCs w:val="1"/>
          <w:color w:val="auto"/>
        </w:rPr>
        <w:t>Operating Leases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Deposits</w:t>
      </w:r>
      <w:r>
        <w:rPr>
          <w:rFonts w:ascii="Arial" w:cs="Arial" w:eastAsia="Arial" w:hAnsi="Arial"/>
          <w:sz w:val="18"/>
          <w:szCs w:val="18"/>
          <w:color w:val="auto"/>
        </w:rPr>
        <w:t>” for further detail.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Using the fair value recognition provisions as prescribed by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stock-based compensation cost is measured at the grant date based on the estimated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11—Stock-Based Compensation” for further detail.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351"/>
        <w:spacing w:after="0" w:line="342" w:lineRule="auto"/>
        <w:rPr>
          <w:sz w:val="20"/>
          <w:szCs w:val="20"/>
          <w:color w:val="auto"/>
        </w:rPr>
      </w:pPr>
      <w:r>
        <w:rPr>
          <w:rFonts w:ascii="Arial" w:cs="Arial" w:eastAsia="Arial" w:hAnsi="Arial"/>
          <w:sz w:val="16"/>
          <w:szCs w:val="16"/>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 Costs and Escrow Deposits</w:t>
      </w:r>
    </w:p>
    <w:p>
      <w:pPr>
        <w:spacing w:after="0" w:line="229"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Condensed Consolidated Statement of Assets and Liabilities as escrow deposits. As of March 31, 2020 and December 31, 2019, the Company had no material escrow deposits.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of Investments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Unrealized appreciation or depreciation is calculated as the difference between the fair value of the investment and the cost basis of such investment.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and State Income Taxes</w:t>
      </w:r>
    </w:p>
    <w:p>
      <w:pPr>
        <w:spacing w:after="0" w:line="229"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the Company meets the Annual Distribution Requirement, but does not distribute (or is not deemed to have distributed) each calendar year a sum of</w:t>
      </w:r>
    </w:p>
    <w:p>
      <w:pPr>
        <w:spacing w:after="0" w:line="46" w:lineRule="exact"/>
        <w:rPr>
          <w:sz w:val="20"/>
          <w:szCs w:val="20"/>
          <w:color w:val="auto"/>
        </w:rPr>
      </w:pPr>
    </w:p>
    <w:p>
      <w:pPr>
        <w:jc w:val="both"/>
        <w:ind w:firstLine="8"/>
        <w:spacing w:after="0" w:line="252" w:lineRule="auto"/>
        <w:tabs>
          <w:tab w:leader="none" w:pos="2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condensed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condensed consolidated financial statements.</w:t>
      </w:r>
    </w:p>
    <w:p>
      <w:pPr>
        <w:spacing w:after="0" w:line="195"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6"/>
          <w:szCs w:val="16"/>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6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Information</w:t>
      </w:r>
    </w:p>
    <w:p>
      <w:pPr>
        <w:spacing w:after="0" w:line="229"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 xml:space="preserve">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w:t>
      </w:r>
      <w:r>
        <w:rPr>
          <w:rFonts w:ascii="Arial" w:cs="Arial" w:eastAsia="Arial" w:hAnsi="Arial"/>
          <w:sz w:val="16"/>
          <w:szCs w:val="16"/>
          <w:i w:val="1"/>
          <w:iCs w:val="1"/>
          <w:color w:val="auto"/>
        </w:rPr>
        <w:t>FASB ASC 260, Earnings Per Share</w:t>
      </w:r>
      <w:r>
        <w:rPr>
          <w:rFonts w:ascii="Arial" w:cs="Arial" w:eastAsia="Arial" w:hAnsi="Arial"/>
          <w:sz w:val="16"/>
          <w:szCs w:val="16"/>
          <w:color w:val="auto"/>
        </w:rPr>
        <w:t xml:space="preserve"> (“ASC 260”) to determine the number of potentially dilutive shares outstanding. Refer to “Note 6—Net Increase in Net Assets Resulting from Operations per Common Share—Basic and Diluted” for further detail.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Standards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which is intended to improve fair value and defined benefit disclosure requirements by removing disclosures that are not cost beneficial, clarifying disclosures' specific requirements, and adding relevant disclosure requirements. The amendments took effect for all organizations for fiscal years,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interim periods within those fiscal years, beginning after December 15, 2019. The Company adopted the eliminated and modified disclosure requirements during the three months ended March 31, 2020. No significant changes to the fair value disclosures were necessary in the notes to the condensed consolidated financial statements in order to comply with ASU 2018-13.</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In August 2018, the SEC issued Final Rule Release No. 33-10532, </w:t>
      </w:r>
      <w:r>
        <w:rPr>
          <w:rFonts w:ascii="Arial" w:cs="Arial" w:eastAsia="Arial" w:hAnsi="Arial"/>
          <w:sz w:val="17"/>
          <w:szCs w:val="17"/>
          <w:i w:val="1"/>
          <w:iCs w:val="1"/>
          <w:color w:val="auto"/>
        </w:rPr>
        <w:t>Disclosure Update and Simplification,</w:t>
      </w:r>
      <w:r>
        <w:rPr>
          <w:rFonts w:ascii="Arial" w:cs="Arial" w:eastAsia="Arial" w:hAnsi="Arial"/>
          <w:sz w:val="17"/>
          <w:szCs w:val="17"/>
          <w:color w:val="auto"/>
        </w:rPr>
        <w:t xml:space="preserve"> amending certain disclosure requirements intended to eliminate redundant, duplicative, overlapping, outdated or superseded, in light of other SEC disclosure requirements, U.S. GAAP requirements, or changes in the information environment. In part, this final rule requires an investment company to present distributable earnings in total on the consolidated balance sheet, rather than showing the three components of distributable earnings as previously required. The Company decided not to adopt this change as the current, more detailed and expanded disclosure presentation was deemed to be most helpful, useful, and transparent for users of our condensed consolidated financial statements. The impact of the adoption of this amendment on the Company's consolidated financial statements would not be material. Additionally, the final rule requires disclosure of changes in net assets within a registrant's Form 10-Q filing on a quarter-to-date and year-to-date basis for both the current year and prior year comparative periods. The Company adopted the new requirement to present changes in net assets in interim financial statements within Form 10-Q filings during the year ended December 31, 2019. The adoption of this rule did not have a material impact on the consolidated financial statements.</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3—RELATED-PARTY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Internalization of Company’s Operating Structure</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and effective March 12, 2019 (the "Effective Date"), our Board of Directors approved internalizing our operating structure and we began operating as an internally managed non-diversified closed-end management investment company that has elected to be regulated as a BDC under the 1940 Act. Prior to the Effective Date, we were externally managed by our former investment adviser, GSV Asset Management, pursuant to the Investment Advisory Agreement, and our former administrator, GSV Capital Service Company, provided the administrative services necessary for our operations pursuant to the Administration Agreement.</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accounting implications and related controls associated with the Internalization were analyzed and updated for fiscal year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Investment Advisory Agreement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and effective March 12, 2019, the Investment Advisory Agreement was terminated by mutual agreement of GSV Asset Management and us in connection with our Internalization.</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our Internalization, GSV Asset Management served as our external investment adviser pursuant to the Investment Advisory Agreement. Pursuant to the terms of the Investment Advisory Agreement, we paid GSV Asset Management a fee for its services consisting of two components - a base management fee and an incentive fee. The base management fee was calculated at an annual rate of 2.00% of our gross assets (our total assets as reflected on our balance sheet with no deduction for liabilities). The incentive fee was determined and payable in arrears as of the end of each calendar year (or upon termination of the Investment Advisory Agreement, as of the termination date), and equaled the lesser of (i) 20% of our realized capital gains during such calendar year, if any, calculated on an investment-by-investment basis, subject to a non-compounded preferred return, or “hurdle” of 8.00% per year,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 See “—Investment Advisory Agreement” below.</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the Investment Advisory Agreement has been terminated, there will be no base management fees or incentives fees payable to GSV Asset Management going forward.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Administration Agreement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and effective March 12, 2019, the Administration Agreement was terminated by mutual agreement of GSV Capital Service Company and us in connection with our Internalization.</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our Internalization, GSV Capital Service Company served as our external administrator and provided administrative services necessary for our operations, including but not limited to, furnishing us with office facilities, equipment and clerical, bookkeeping and record keeping services at such facilities, as well as providing us with certain other administrative services, including, but not limited to, assisting us with determining and publishing our net asset value, overseeing the preparation and filing of our tax returns and the printing and dissemination of reports to our stockholders.</w:t>
      </w:r>
    </w:p>
    <w:p>
      <w:pPr>
        <w:spacing w:after="0" w:line="1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Administration Agreement, we did not pay any fees to GSV Capital Service Company but reimbursed GSV Capital Service Company for our allocable portion of overhead and other expenses incurred by GSV Capital Service Company in performing its services under the Administration Agreement, including, but not limited to, fees and expenses associated with performing compliance functions and our allocable portion of rent and compensation of our President, Chief Financial Officer, Chief Compliance Officer and other staff providing administrative services. See “—Administration Agreement” below.</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the Administration Agreement has been terminated, there will be no costs incurred by GSV Capital Service Company going forward.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Departure of Director and Reduction of Number of Directors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and effective March 12, 2019, Michael T. Moe resigned from our Board of Directors in connection with our Internalization. As a result of Mr. Moe’s resignation, our Board of Directors reduced the number of directors that constitute our full Board of Directors to five directors from six directors in accordance with our bylaws. Mr. Moe will continue to provide services to us pursuant to the Consulting Agreement (as defined below). See “—Consulting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Pursuant to the Consulting Agreement, Mr. Moe will provide certain transition services to us related to our existing portfolio investments for which Mr. Moe previously had oversight in his role as the Chief Executive Officer and Chief Investment Officer of GSV Asset Management. Such transition services will include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term of the Consulting Agreement commenced on March 12, 2019 and will continue for eighteen months, unless the parties thereto mutually agree to extend the Consulting Agreement for an additional period. Pursuant to the Consulting Agreement, we will pay Mr. Moe a total amount equal to $1,250,000.</w:t>
      </w:r>
    </w:p>
    <w:p>
      <w:pPr>
        <w:spacing w:after="0" w:line="18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For the three months ended March 31, 2020 the Company incurred $208,333 of consulting expense related to the Consulting Agreement, as included in "professional fees" on the Condensed Consolidated Statements of Operations. As of March 31, 2020 and December 31, 2019, the Company recorded $374,104 and $332,437, respectively, of prepaid expense related to the Consulting Agreement on the Condensed Consolidated Statement of Assets and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Trademark License Agreement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and effective March 12, 2019, we entered into an Amended and Restated Trademark License Agreement (the “Amended and Restated License Agreement”) with GSV Asset Management in connection with termination of the Investment Advisory Agreement. See “—Termination of Investment Advisory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0" w:lineRule="exact"/>
        <w:rPr>
          <w:sz w:val="20"/>
          <w:szCs w:val="20"/>
          <w:color w:val="auto"/>
        </w:rPr>
      </w:pPr>
    </w:p>
    <w:p>
      <w:pPr>
        <w:spacing w:after="0" w:line="22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term of the Amended and Restated License Agreement commenced on March 12, 2019 and will continue for eighteen months, unless the parties thereto mutually agree to extend the Amended and Restated License Agreement for an additional period. Pursuant to the Amended and Restated License Agreement, we will pay GSV Asset Management a total amount equal to $1,250,000.</w:t>
      </w:r>
    </w:p>
    <w:p>
      <w:pPr>
        <w:spacing w:after="0" w:line="18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For the three months ended March 31, 2020 and 2019, the Company incurred $208,333 and $42,563, respectively, of licensing expense, as included in "other expenses" on the Condensed Consolidated Statements of Operations. As of March 31, 2020 and December 31, 2019, the Company recorded $374,104 and $332,437, respectively, of prepaid expense related to the Amended and Restated Trademark License Agreement on the Condensed Consolidated Statement of Assets and Liabilities.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On March 12, 2019, in connection with the Company's Internalization, the Investment Advisory Agreement was terminated in accordance with its terms.</w:t>
      </w:r>
    </w:p>
    <w:p>
      <w:pPr>
        <w:spacing w:after="0" w:line="170"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Prior to our Internalization on March 12, 2019, the Company had entered into the Investment Advisory Agreement with GSV Asset Management. Under the terms of the Investment Advisory Agreement, GSV Asset Management was paid a quarterly management fee and an annual incentive fee. GSV Asset Management is controlled by Michael T. Moe, the former Chairman of the Company’s Board of Directors. Mr. Moe, through his ownership interest in GSV Asset Management, was entitled to a portion of any profits earned by GSV Asset Management in performing its services under the Investment Advisory Agreement. Mr. Moe serves as the principal of GSV Asset Management and manages the business and internal affairs of GSV Asset Management. Mark Klein, the Company’s Chief Executive Officer, President, and a member of the Company’s Board of Directors, or entities with which he is affiliated, received consulting fees from GSV Asset Management equal to a percentage of each of the base management fee and the incentive fee paid by the Company to GSV Asset Management pursuant to a consulting agreement with GSV Asset Management. As the Investment Advisory Agreement has been terminated, Mr. Klein no longer has a consulting agreement or any other affiliation with GSV Asset Management.</w:t>
      </w:r>
    </w:p>
    <w:p>
      <w:pPr>
        <w:spacing w:after="0" w:line="181"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Under the Investment Advisory Agreement, there were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had, however, adopted an internal policy whereby any fees or compensation received by a manager, partner, officer or employee of GSV Asset Management in exchange for serving as a director of, or providing consulting services to, any of the Company’s portfolio companies would be transferred to the Company, net of any personal taxes incurred, upon such receipt for the benefit of the Company and its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the terms of the Investment Advisory Agreement, GSV Asset Management was paid a base management fee of 2.00% of gross assets, which is the Company’s total assets reflected on its Condensed Consolidated Statement of Assets and Liabilities (with no deduction for liabilities) reduced by any non-portfolio investments. During the month of January 2018, pursuant to a voluntary waiver by GSV Asset Management, the Company paid GSV Asset Management a base management fee of 1.75%, a 0.25% reduction from the 2.00%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is reduced to 1.75% of the Company’s gross assets, as further described below. The waiver of a portion of the base management fee is not subject to recourse against or reimbursement by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GSV Asset Management earned $0 and $848,723 in management fees for the three months ended March 31, 2020 and 2019, respectively, and did not waive any management fees for the three months ended March 31, 2020 or 2019.</w:t>
      </w:r>
    </w:p>
    <w:p>
      <w:pPr>
        <w:spacing w:after="0" w:line="170"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As the Investment Advisory Agreement has been terminated, there will be no base management fee payable to GSV Asset Management going forward.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Under the terms of the Investment Advisory Agreement, GSV Asset Management was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Effective February 1, 2018, the incentive fee paid by the Company to GSV Asset Management under the Investment Advisory Agreement was modified pursuant to the terms of the Waiver Agreement, as further described below.</w:t>
      </w:r>
    </w:p>
    <w:p>
      <w:pPr>
        <w:spacing w:after="0" w:line="16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The Company was required to accrue incentive fees for all periods as if the Company had fully liquidated its entire investment portfolio at the fair value stated on the Consolidated Statements of Assets and Liabilities as of December 31, 2019 or prior to the termination of the Investment Advisory Agreement. The accrual considered both the hypothetical liquidation of the Company’s portfolio described previously, as well as the Company’s actual cumulative realized gains and losses since inception, as well any previously paid incentive fees.</w:t>
      </w:r>
    </w:p>
    <w:p>
      <w:pPr>
        <w:spacing w:after="0" w:line="18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For the three months ended March 31, 2020, the Company did not accrue any incentive fees due to the termination of the Investment Advisory Agreement, effective March 12, 2019. For the three months ended March 31, 2019, the Company reversed previously accrued incentive fees of $4,660,472 due to the termination of the Investment Advisory Agreement. As the Investment Advisory Agreement has been terminated, there will be no incentive fee payable to GSV Asset Management going forward.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 Waiver Agreement</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On February 2, 2018, GSV Asset Management voluntarily agreed to reduce the fees payable under the Investment Advisory Agreement pursuant to the Waiver Agreement. The Waiver Agreement was effective beginning February 1, 2018 and changed the fee structure set forth in the Investment Advisory Agreement by: (i) reducing the Company’s base management fee from 2.00% to 1.75%; and (ii) creating certain high-water marks that must be reached before any incentive fee is paid to GSV Asset Management.</w:t>
      </w:r>
    </w:p>
    <w:p>
      <w:pPr>
        <w:spacing w:after="0" w:line="187"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Pursuant to the Waiver Agreement, in addition to the “hurdle” feature in the incentive fee, GSV Asset Management had agreed to additional conditions on its ability to receive an incentive fee. Specifically, the Waiver Agreement provided that an incentive fee earned by GSV Asset Management under the Investment Advisory Agreement would be payable to GSV Asset Management only if, at the time that such incentive fee becomes payable under the Investment Advisory Agreement, both the Company’s stock price and its last reported net asset value per share were equal to, or greater than, $12.55 (the “High-Water Mark”). The High-Water Mark was based upon the volume weighted average price (VWAP) of all the Company’s equity offerings since its initial public offering, less the dollar amount of all dividends paid by the Company since inception. Upon such time that the High-Water Mark was achieved, and GSV Asset Management was paid an incentive fee, a new High-Water Mark would have been established. Each new High-Water Mark would have been equal to the most recent High-Water Mark, plus 10%. Any High-Water Mark then in effect would have been adjusted to reflect any dividends paid by the Company or any stock split effected by the Company.</w:t>
      </w:r>
    </w:p>
    <w:p>
      <w:pPr>
        <w:spacing w:after="0" w:line="181"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8"/>
          <w:szCs w:val="18"/>
          <w:color w:val="auto"/>
        </w:rPr>
        <w:t>For the avoidance of doubt, after the effective date of the Waiver Agreement, under no circumstances would the aggregate fees earned by GSV Asset Management in any quarterly period have been higher than those aggregate fees that would have been earned prior to the effectiveness of the Waiver Agreement.</w:t>
      </w:r>
    </w:p>
    <w:p>
      <w:pPr>
        <w:spacing w:after="0" w:line="184" w:lineRule="exact"/>
        <w:rPr>
          <w:sz w:val="20"/>
          <w:szCs w:val="20"/>
          <w:color w:val="auto"/>
        </w:rPr>
      </w:pPr>
    </w:p>
    <w:p>
      <w:pPr>
        <w:jc w:val="both"/>
        <w:ind w:firstLine="351"/>
        <w:spacing w:after="0" w:line="308" w:lineRule="auto"/>
        <w:rPr>
          <w:sz w:val="20"/>
          <w:szCs w:val="20"/>
          <w:color w:val="auto"/>
        </w:rPr>
      </w:pPr>
      <w:r>
        <w:rPr>
          <w:rFonts w:ascii="Arial" w:cs="Arial" w:eastAsia="Arial" w:hAnsi="Arial"/>
          <w:sz w:val="17"/>
          <w:szCs w:val="17"/>
          <w:color w:val="auto"/>
        </w:rPr>
        <w:t>As of each of March 31, 2020 and December 31, 2019, there were no receivables owed to the Company by GSV Asset Management. As the Investment Advisory Agreement has been terminated, there will be no receivables owed to the Company by GSV Asset Management going forward.</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March 12, 2019, in connection with the Company's Internalization, the Administration Agreement was terminated in accordance with its terms.</w:t>
      </w:r>
    </w:p>
    <w:p>
      <w:pPr>
        <w:spacing w:after="0" w:line="248"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Prior to the Internalization, the Company had entered into the Administration Agreement with GSV Capital Service Company to provide administrative services, including furnishing the Company with office facilities, equipment, clerical, bookkeeping, record keeping services, and other administrative services. The Company reimbursed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 providing administrative services. While there was no limit on the total amount of expenses the Company may have been required to reimburse to GSV Capital Service Company, GSV Capital Service Company would only charge the Company for the actual expenses GSV Capital Service Company incurred on the Company’s behalf, or the Company’s allocable portion thereof, without any profit to GSV Capital Service Company.</w:t>
      </w:r>
    </w:p>
    <w:p>
      <w:pPr>
        <w:spacing w:after="0" w:line="192"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8"/>
          <w:szCs w:val="18"/>
          <w:color w:val="auto"/>
        </w:rPr>
        <w:t>For the three months ended March 31, 2020 and 2019, the Company incurred $0 and $306,084, respectively, in such costs incurred under the Administration Agreement. As the Administration Agreement has been terminated, there will be no costs incurred by GSV Capital Service Company on behalf of the Company going forward.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12, 2019, in connection with the Company's Internalization, as of the Effective Date, the Company entered into the Amended and Restated Trademark License Agreement to use the trade name “GSV”, and other state or unregistered “GSV” marks, including the trading symbol “GSVC.” for a period of up to eighteen months and a predetermined fee of $1,250,000. Other than with respect to this limited license, the Company has no legal right to the “GSV” name.</w:t>
      </w:r>
    </w:p>
    <w:p>
      <w:pPr>
        <w:spacing w:after="0" w:line="187"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7"/>
          <w:szCs w:val="17"/>
          <w:color w:val="auto"/>
        </w:rPr>
        <w:t>Prior to the Internalization on March 12, 2019, the Company entered into a license agreement with GSV Asset Management pursuant to which GSV Asset Management had agreed to grant the Company a non-exclusive, royalty-free license to use the name “GSV.” Under this agreement, the Company had the right to use the GSV name for so long as the Investment Advisory Agreement with GSV Asset Management is in effect.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Arrangements</w:t>
      </w:r>
    </w:p>
    <w:p>
      <w:pPr>
        <w:spacing w:after="0" w:line="229" w:lineRule="exact"/>
        <w:rPr>
          <w:sz w:val="20"/>
          <w:szCs w:val="20"/>
          <w:color w:val="auto"/>
        </w:rPr>
      </w:pPr>
    </w:p>
    <w:p>
      <w:pPr>
        <w:jc w:val="both"/>
        <w:ind w:right="20" w:firstLine="351"/>
        <w:spacing w:after="0" w:line="277" w:lineRule="auto"/>
        <w:rPr>
          <w:sz w:val="20"/>
          <w:szCs w:val="20"/>
          <w:color w:val="auto"/>
        </w:rPr>
      </w:pPr>
      <w:r>
        <w:rPr>
          <w:rFonts w:ascii="Arial" w:cs="Arial" w:eastAsia="Arial" w:hAnsi="Arial"/>
          <w:sz w:val="18"/>
          <w:szCs w:val="18"/>
          <w:color w:val="auto"/>
        </w:rPr>
        <w:t>Mark Moe, who is the brother of Michael Moe, the former Chairman of the Company’s Board of Directors, serves as Vice President of Business Development, Global Expansion for NestGSV, Inc. (d/b/a GSV Labs, Inc.), one of the Company’s portfolio companies.</w:t>
      </w:r>
    </w:p>
    <w:p>
      <w:pPr>
        <w:spacing w:after="0" w:line="170"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In addition, the Company’s executive officers and directors, and the principals of the Company’s former investment adviser, GSV Asset Management,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187"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188"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8"/>
          <w:szCs w:val="18"/>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officers screen each of the Company’s transactions for any possible affiliations between the proposed portfolio investment, the Company, companies controlled by the Company, and the Company’s executive officers and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4—INVESTMENTS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Composition</w:t>
      </w:r>
    </w:p>
    <w:p>
      <w:pPr>
        <w:spacing w:after="0" w:line="229" w:lineRule="exact"/>
        <w:rPr>
          <w:sz w:val="20"/>
          <w:szCs w:val="20"/>
          <w:color w:val="auto"/>
        </w:rPr>
      </w:pPr>
    </w:p>
    <w:p>
      <w:pPr>
        <w:jc w:val="both"/>
        <w:ind w:firstLine="351"/>
        <w:spacing w:after="0" w:line="301" w:lineRule="auto"/>
        <w:rPr>
          <w:sz w:val="20"/>
          <w:szCs w:val="20"/>
          <w:color w:val="auto"/>
        </w:rPr>
      </w:pPr>
      <w:r>
        <w:rPr>
          <w:rFonts w:ascii="Arial" w:cs="Arial" w:eastAsia="Arial" w:hAnsi="Arial"/>
          <w:sz w:val="16"/>
          <w:szCs w:val="16"/>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March 31, 2020, the Company had 44 positions in 22 portfolio companies. As of December 31, 2019, the Company had 46 positions in 23 portfolio companies.</w:t>
      </w:r>
    </w:p>
    <w:p>
      <w:pPr>
        <w:spacing w:after="0" w:line="157"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following tables summarize the composition of the Company’s investment portfolio by security type at cost and fair value as of March 31, 2020 and December 31,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31, 2019</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3"/>
                <w:szCs w:val="13"/>
                <w:color w:val="auto"/>
              </w:rPr>
            </w:pPr>
          </w:p>
        </w:tc>
        <w:tc>
          <w:tcPr>
            <w:tcW w:w="14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Fair Value</w:t>
            </w:r>
          </w:p>
        </w:tc>
        <w:tc>
          <w:tcPr>
            <w:tcW w:w="14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28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3"/>
                <w:szCs w:val="13"/>
                <w:color w:val="auto"/>
              </w:rPr>
            </w:pPr>
          </w:p>
        </w:tc>
        <w:tc>
          <w:tcPr>
            <w:tcW w:w="13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300" w:type="dxa"/>
            <w:vAlign w:val="bottom"/>
          </w:tcPr>
          <w:p>
            <w:pPr>
              <w:jc w:val="right"/>
              <w:ind w:right="153"/>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2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Net Assets</w:t>
            </w: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300" w:type="dxa"/>
            <w:vAlign w:val="bottom"/>
          </w:tcPr>
          <w:p>
            <w:pPr>
              <w:jc w:val="right"/>
              <w:ind w:right="253"/>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49"/>
        </w:trPr>
        <w:tc>
          <w:tcPr>
            <w:tcW w:w="2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Private Portfolio Companies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69,556,349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100,438,769</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73,557,331</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125,448,358</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63,425,065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55,669,279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63,425,065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59,209,559</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2280" w:type="dxa"/>
            <w:vAlign w:val="bottom"/>
          </w:tcPr>
          <w:p>
            <w:pPr>
              <w:ind w:left="180"/>
              <w:spacing w:after="0"/>
              <w:rPr>
                <w:sz w:val="20"/>
                <w:szCs w:val="20"/>
                <w:color w:val="auto"/>
              </w:rPr>
            </w:pPr>
            <w:r>
              <w:rPr>
                <w:rFonts w:ascii="Arial" w:cs="Arial" w:eastAsia="Arial" w:hAnsi="Arial"/>
                <w:sz w:val="18"/>
                <w:szCs w:val="18"/>
                <w:color w:val="auto"/>
              </w:rPr>
              <w:t>Debt Investments</w:t>
            </w: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4,838,415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1,174,056</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4,838,415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1,644,155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8,764,885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2,640,444</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8,764,885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5,283,506</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2280" w:type="dxa"/>
            <w:vAlign w:val="bottom"/>
          </w:tcPr>
          <w:p>
            <w:pPr>
              <w:ind w:left="40"/>
              <w:spacing w:after="0"/>
              <w:rPr>
                <w:sz w:val="20"/>
                <w:szCs w:val="20"/>
                <w:color w:val="auto"/>
              </w:rPr>
            </w:pPr>
            <w:r>
              <w:rPr>
                <w:rFonts w:ascii="Arial" w:cs="Arial" w:eastAsia="Arial" w:hAnsi="Arial"/>
                <w:sz w:val="18"/>
                <w:szCs w:val="18"/>
                <w:b w:val="1"/>
                <w:bCs w:val="1"/>
                <w:color w:val="auto"/>
                <w:w w:val="92"/>
              </w:rPr>
              <w:t>Private Portfolio Companies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146,584,714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159,922,548</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150,585,696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191,585,578</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28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Publicly Traded Portfolio</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Companies</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5"/>
              </w:rPr>
              <w:t>Total Portfolio Investments</w:t>
            </w: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146,584,714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159,922,548</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150,585,696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191,585,578</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7"/>
        </w:trPr>
        <w:tc>
          <w:tcPr>
            <w:tcW w:w="2280" w:type="dxa"/>
            <w:vAlign w:val="bottom"/>
          </w:tcPr>
          <w:p>
            <w:pPr>
              <w:ind w:left="40"/>
              <w:spacing w:after="0"/>
              <w:rPr>
                <w:sz w:val="20"/>
                <w:szCs w:val="20"/>
                <w:color w:val="auto"/>
              </w:rPr>
            </w:pPr>
            <w:r>
              <w:rPr>
                <w:rFonts w:ascii="Arial" w:cs="Arial" w:eastAsia="Arial" w:hAnsi="Arial"/>
                <w:sz w:val="18"/>
                <w:szCs w:val="18"/>
                <w:b w:val="1"/>
                <w:bCs w:val="1"/>
                <w:color w:val="auto"/>
                <w:w w:val="98"/>
              </w:rPr>
              <w:t>Non-Portfolio Investments</w:t>
            </w: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bill</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50,000,556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50,000,000</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49,996,667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50,000,000</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7"/>
        </w:trPr>
        <w:tc>
          <w:tcPr>
            <w:tcW w:w="2280" w:type="dxa"/>
            <w:vAlign w:val="bottom"/>
          </w:tcPr>
          <w:p>
            <w:pPr>
              <w:ind w:left="40"/>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196,585,270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209,922,548</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200,582,363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241,585,578</w:t>
            </w:r>
          </w:p>
        </w:tc>
        <w:tc>
          <w:tcPr>
            <w:tcW w:w="1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89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geographic and industrial compositions of the Company’s portfolio at fair value as of March 31, 2020 and December 31, 2019 were as follows: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As of March 31, 2020</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As of December 31, 2019</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vMerge w:val="restart"/>
          </w:tcPr>
          <w:p>
            <w:pPr>
              <w:jc w:val="right"/>
              <w:ind w:right="188"/>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3"/>
          </w:tcPr>
          <w:p>
            <w:pPr>
              <w:jc w:val="right"/>
              <w:ind w:right="280"/>
              <w:spacing w:after="0" w:line="153" w:lineRule="exact"/>
              <w:rPr>
                <w:sz w:val="20"/>
                <w:szCs w:val="20"/>
                <w:color w:val="auto"/>
              </w:rPr>
            </w:pPr>
            <w:r>
              <w:rPr>
                <w:rFonts w:ascii="Arial" w:cs="Arial" w:eastAsia="Arial" w:hAnsi="Arial"/>
                <w:sz w:val="14"/>
                <w:szCs w:val="14"/>
                <w:b w:val="1"/>
                <w:bCs w:val="1"/>
                <w:color w:val="auto"/>
              </w:rPr>
              <w:t>Percentage of</w:t>
            </w:r>
          </w:p>
        </w:tc>
        <w:tc>
          <w:tcPr>
            <w:tcW w:w="120" w:type="dxa"/>
            <w:vAlign w:val="bottom"/>
          </w:tcPr>
          <w:p>
            <w:pPr>
              <w:spacing w:after="0"/>
              <w:rPr>
                <w:sz w:val="13"/>
                <w:szCs w:val="13"/>
                <w:color w:val="auto"/>
              </w:rPr>
            </w:pPr>
          </w:p>
        </w:tc>
        <w:tc>
          <w:tcPr>
            <w:tcW w:w="1180" w:type="dxa"/>
            <w:vAlign w:val="bottom"/>
            <w:gridSpan w:val="2"/>
          </w:tcPr>
          <w:p>
            <w:pPr>
              <w:jc w:val="center"/>
              <w:ind w:left="128"/>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ind w:left="280"/>
              <w:spacing w:after="0" w:line="153" w:lineRule="exact"/>
              <w:rPr>
                <w:sz w:val="20"/>
                <w:szCs w:val="20"/>
                <w:color w:val="auto"/>
              </w:rPr>
            </w:pPr>
            <w:r>
              <w:rPr>
                <w:rFonts w:ascii="Arial" w:cs="Arial" w:eastAsia="Arial" w:hAnsi="Arial"/>
                <w:sz w:val="14"/>
                <w:szCs w:val="14"/>
                <w:b w:val="1"/>
                <w:bCs w:val="1"/>
                <w:color w:val="auto"/>
              </w:rPr>
              <w:t>Percentage of</w:t>
            </w:r>
          </w:p>
        </w:tc>
        <w:tc>
          <w:tcPr>
            <w:tcW w:w="140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Portfolio</w:t>
            </w:r>
          </w:p>
        </w:tc>
        <w:tc>
          <w:tcPr>
            <w:tcW w:w="120" w:type="dxa"/>
            <w:vAlign w:val="bottom"/>
          </w:tcPr>
          <w:p>
            <w:pPr>
              <w:spacing w:after="0"/>
              <w:rPr>
                <w:sz w:val="16"/>
                <w:szCs w:val="16"/>
                <w:color w:val="auto"/>
              </w:rPr>
            </w:pPr>
          </w:p>
        </w:tc>
        <w:tc>
          <w:tcPr>
            <w:tcW w:w="1180" w:type="dxa"/>
            <w:vAlign w:val="bottom"/>
            <w:gridSpan w:val="2"/>
          </w:tcPr>
          <w:p>
            <w:pPr>
              <w:jc w:val="center"/>
              <w:ind w:left="128"/>
              <w:spacing w:after="0"/>
              <w:rPr>
                <w:sz w:val="20"/>
                <w:szCs w:val="20"/>
                <w:color w:val="auto"/>
              </w:rPr>
            </w:pPr>
            <w:r>
              <w:rPr>
                <w:rFonts w:ascii="Arial" w:cs="Arial" w:eastAsia="Arial" w:hAnsi="Arial"/>
                <w:sz w:val="14"/>
                <w:szCs w:val="14"/>
                <w:b w:val="1"/>
                <w:bCs w:val="1"/>
                <w:color w:val="auto"/>
                <w:w w:val="85"/>
              </w:rPr>
              <w:t>Net Assets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ind w:left="420"/>
              <w:spacing w:after="0"/>
              <w:rPr>
                <w:sz w:val="20"/>
                <w:szCs w:val="20"/>
                <w:color w:val="auto"/>
              </w:rPr>
            </w:pPr>
            <w:r>
              <w:rPr>
                <w:rFonts w:ascii="Arial" w:cs="Arial" w:eastAsia="Arial" w:hAnsi="Arial"/>
                <w:sz w:val="14"/>
                <w:szCs w:val="14"/>
                <w:b w:val="1"/>
                <w:bCs w:val="1"/>
                <w:color w:val="auto"/>
              </w:rPr>
              <w:t>Portfolio</w:t>
            </w:r>
          </w:p>
        </w:tc>
        <w:tc>
          <w:tcPr>
            <w:tcW w:w="1400" w:type="dxa"/>
            <w:vAlign w:val="bottom"/>
          </w:tcPr>
          <w:p>
            <w:pPr>
              <w:jc w:val="right"/>
              <w:ind w:right="295"/>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50"/>
        </w:trPr>
        <w:tc>
          <w:tcPr>
            <w:tcW w:w="1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Region</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West</w:t>
            </w:r>
          </w:p>
        </w:tc>
        <w:tc>
          <w:tcPr>
            <w:tcW w:w="260" w:type="dxa"/>
            <w:vAlign w:val="bottom"/>
          </w:tcPr>
          <w:p>
            <w:pPr>
              <w:spacing w:after="0"/>
              <w:rPr>
                <w:sz w:val="21"/>
                <w:szCs w:val="2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146,239,194</w:t>
            </w:r>
          </w:p>
        </w:tc>
        <w:tc>
          <w:tcPr>
            <w:tcW w:w="1580" w:type="dxa"/>
            <w:vAlign w:val="bottom"/>
            <w:gridSpan w:val="5"/>
          </w:tcPr>
          <w:p>
            <w:pPr>
              <w:jc w:val="right"/>
              <w:ind w:right="40"/>
              <w:spacing w:after="0"/>
              <w:rPr>
                <w:sz w:val="20"/>
                <w:szCs w:val="20"/>
                <w:color w:val="auto"/>
              </w:rPr>
            </w:pPr>
            <w:r>
              <w:rPr>
                <w:rFonts w:ascii="Arial" w:cs="Arial" w:eastAsia="Arial" w:hAnsi="Arial"/>
                <w:sz w:val="18"/>
                <w:szCs w:val="18"/>
                <w:color w:val="auto"/>
              </w:rPr>
              <w:t>91.5%</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176,331,572</w:t>
            </w: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Northeast</w:t>
            </w: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7,090,432</w:t>
            </w:r>
          </w:p>
        </w:tc>
        <w:tc>
          <w:tcPr>
            <w:tcW w:w="158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15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7,847,769</w:t>
            </w:r>
          </w:p>
        </w:tc>
        <w:tc>
          <w:tcPr>
            <w:tcW w:w="158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Mid-west</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6,592,922</w:t>
            </w:r>
          </w:p>
        </w:tc>
        <w:tc>
          <w:tcPr>
            <w:tcW w:w="1580" w:type="dxa"/>
            <w:vAlign w:val="bottom"/>
            <w:gridSpan w:val="5"/>
          </w:tcPr>
          <w:p>
            <w:pPr>
              <w:jc w:val="right"/>
              <w:ind w:right="40"/>
              <w:spacing w:after="0"/>
              <w:rPr>
                <w:sz w:val="20"/>
                <w:szCs w:val="20"/>
                <w:color w:val="auto"/>
              </w:rPr>
            </w:pPr>
            <w:r>
              <w:rPr>
                <w:rFonts w:ascii="Arial" w:cs="Arial" w:eastAsia="Arial" w:hAnsi="Arial"/>
                <w:sz w:val="18"/>
                <w:szCs w:val="18"/>
                <w:color w:val="auto"/>
              </w:rPr>
              <w:t>4.1%</w:t>
            </w:r>
          </w:p>
        </w:tc>
        <w:tc>
          <w:tcPr>
            <w:tcW w:w="1500" w:type="dxa"/>
            <w:vAlign w:val="bottom"/>
            <w:gridSpan w:val="4"/>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7,406,237</w:t>
            </w:r>
          </w:p>
        </w:tc>
        <w:tc>
          <w:tcPr>
            <w:tcW w:w="1580" w:type="dxa"/>
            <w:vAlign w:val="bottom"/>
            <w:gridSpan w:val="4"/>
          </w:tcPr>
          <w:p>
            <w:pPr>
              <w:jc w:val="right"/>
              <w:ind w:right="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18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159,922,548</w:t>
            </w:r>
          </w:p>
        </w:tc>
        <w:tc>
          <w:tcPr>
            <w:tcW w:w="15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191,585,578</w:t>
            </w:r>
          </w:p>
        </w:tc>
        <w:tc>
          <w:tcPr>
            <w:tcW w:w="15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8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rPr>
              <w:t>As of March 31, 2020</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As of December 31, 2019</w:t>
            </w: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5"/>
            <w:vMerge w:val="restart"/>
          </w:tcPr>
          <w:p>
            <w:pPr>
              <w:jc w:val="right"/>
              <w:ind w:right="748"/>
              <w:spacing w:after="0"/>
              <w:rPr>
                <w:sz w:val="20"/>
                <w:szCs w:val="20"/>
                <w:color w:val="auto"/>
              </w:rPr>
            </w:pPr>
            <w:r>
              <w:rPr>
                <w:rFonts w:ascii="Arial" w:cs="Arial" w:eastAsia="Arial" w:hAnsi="Arial"/>
                <w:sz w:val="14"/>
                <w:szCs w:val="14"/>
                <w:b w:val="1"/>
                <w:bCs w:val="1"/>
                <w:color w:val="auto"/>
              </w:rPr>
              <w:t>Fair Value</w:t>
            </w:r>
          </w:p>
        </w:tc>
        <w:tc>
          <w:tcPr>
            <w:tcW w:w="1580" w:type="dxa"/>
            <w:vAlign w:val="bottom"/>
            <w:gridSpan w:val="5"/>
          </w:tcPr>
          <w:p>
            <w:pPr>
              <w:jc w:val="right"/>
              <w:ind w:right="720"/>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300" w:type="dxa"/>
            <w:vAlign w:val="bottom"/>
            <w:gridSpan w:val="3"/>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Percentage of</w:t>
            </w:r>
          </w:p>
        </w:tc>
        <w:tc>
          <w:tcPr>
            <w:tcW w:w="140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5"/>
            <w:vMerge w:val="continue"/>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Portfolio</w:t>
            </w:r>
          </w:p>
        </w:tc>
        <w:tc>
          <w:tcPr>
            <w:tcW w:w="120" w:type="dxa"/>
            <w:vAlign w:val="bottom"/>
          </w:tcPr>
          <w:p>
            <w:pPr>
              <w:spacing w:after="0"/>
              <w:rPr>
                <w:sz w:val="16"/>
                <w:szCs w:val="16"/>
                <w:color w:val="auto"/>
              </w:rPr>
            </w:pPr>
          </w:p>
        </w:tc>
        <w:tc>
          <w:tcPr>
            <w:tcW w:w="11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Net Assets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3"/>
          </w:tcPr>
          <w:p>
            <w:pPr>
              <w:ind w:left="260"/>
              <w:spacing w:after="0"/>
              <w:rPr>
                <w:sz w:val="20"/>
                <w:szCs w:val="20"/>
                <w:color w:val="auto"/>
              </w:rPr>
            </w:pPr>
            <w:r>
              <w:rPr>
                <w:rFonts w:ascii="Arial" w:cs="Arial" w:eastAsia="Arial" w:hAnsi="Arial"/>
                <w:sz w:val="14"/>
                <w:szCs w:val="14"/>
                <w:b w:val="1"/>
                <w:bCs w:val="1"/>
                <w:color w:val="auto"/>
              </w:rPr>
              <w:t>Portfolio</w:t>
            </w:r>
          </w:p>
        </w:tc>
        <w:tc>
          <w:tcPr>
            <w:tcW w:w="1400" w:type="dxa"/>
            <w:vAlign w:val="bottom"/>
          </w:tcPr>
          <w:p>
            <w:pPr>
              <w:jc w:val="right"/>
              <w:ind w:right="355"/>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49"/>
        </w:trPr>
        <w:tc>
          <w:tcPr>
            <w:tcW w:w="1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Industry</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w w:val="99"/>
              </w:rPr>
              <w:t>Education Technology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13"/>
              <w:spacing w:after="0"/>
              <w:rPr>
                <w:sz w:val="20"/>
                <w:szCs w:val="20"/>
                <w:color w:val="auto"/>
              </w:rPr>
            </w:pPr>
            <w:r>
              <w:rPr>
                <w:rFonts w:ascii="Arial" w:cs="Arial" w:eastAsia="Arial" w:hAnsi="Arial"/>
                <w:sz w:val="18"/>
                <w:szCs w:val="18"/>
                <w:color w:val="auto"/>
              </w:rPr>
              <w:t>71,301,791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97"/>
              </w:rPr>
              <w:t>82,578,640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Big Data/Cloud</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30,542,820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31,582,084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Financial Technology</w:t>
            </w:r>
          </w:p>
        </w:tc>
        <w:tc>
          <w:tcPr>
            <w:tcW w:w="260" w:type="dxa"/>
            <w:vAlign w:val="bottom"/>
          </w:tcPr>
          <w:p>
            <w:pPr>
              <w:spacing w:after="0"/>
              <w:rPr>
                <w:sz w:val="21"/>
                <w:szCs w:val="21"/>
                <w:color w:val="auto"/>
              </w:rPr>
            </w:pPr>
          </w:p>
        </w:tc>
        <w:tc>
          <w:tcPr>
            <w:tcW w:w="1180" w:type="dxa"/>
            <w:vAlign w:val="bottom"/>
            <w:gridSpan w:val="3"/>
          </w:tcPr>
          <w:p>
            <w:pPr>
              <w:jc w:val="right"/>
              <w:ind w:right="13"/>
              <w:spacing w:after="0"/>
              <w:rPr>
                <w:sz w:val="20"/>
                <w:szCs w:val="20"/>
                <w:color w:val="auto"/>
              </w:rPr>
            </w:pPr>
            <w:r>
              <w:rPr>
                <w:rFonts w:ascii="Arial" w:cs="Arial" w:eastAsia="Arial" w:hAnsi="Arial"/>
                <w:sz w:val="18"/>
                <w:szCs w:val="18"/>
                <w:color w:val="auto"/>
              </w:rPr>
              <w:t>23,387,806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97"/>
              </w:rPr>
              <w:t>26,754,801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Social/Mobile</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20,088,247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26,573,046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Marketplaces</w:t>
            </w:r>
          </w:p>
        </w:tc>
        <w:tc>
          <w:tcPr>
            <w:tcW w:w="260" w:type="dxa"/>
            <w:vAlign w:val="bottom"/>
          </w:tcPr>
          <w:p>
            <w:pPr>
              <w:spacing w:after="0"/>
              <w:rPr>
                <w:sz w:val="21"/>
                <w:szCs w:val="21"/>
                <w:color w:val="auto"/>
              </w:rPr>
            </w:pPr>
          </w:p>
        </w:tc>
        <w:tc>
          <w:tcPr>
            <w:tcW w:w="1180" w:type="dxa"/>
            <w:vAlign w:val="bottom"/>
            <w:gridSpan w:val="3"/>
          </w:tcPr>
          <w:p>
            <w:pPr>
              <w:jc w:val="right"/>
              <w:ind w:right="13"/>
              <w:spacing w:after="0"/>
              <w:rPr>
                <w:sz w:val="20"/>
                <w:szCs w:val="20"/>
                <w:color w:val="auto"/>
              </w:rPr>
            </w:pPr>
            <w:r>
              <w:rPr>
                <w:rFonts w:ascii="Arial" w:cs="Arial" w:eastAsia="Arial" w:hAnsi="Arial"/>
                <w:sz w:val="18"/>
                <w:szCs w:val="18"/>
                <w:color w:val="auto"/>
              </w:rPr>
              <w:t>13,872,384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w w:val="97"/>
              </w:rPr>
              <w:t>23,321,809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Sustainability</w:t>
            </w:r>
          </w:p>
        </w:tc>
        <w:tc>
          <w:tcPr>
            <w:tcW w:w="2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89"/>
              </w:rPr>
              <w:t>729,500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775,198</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18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gridSpan w:val="3"/>
          </w:tcPr>
          <w:p>
            <w:pPr>
              <w:jc w:val="right"/>
              <w:ind w:right="13"/>
              <w:spacing w:after="0"/>
              <w:rPr>
                <w:sz w:val="20"/>
                <w:szCs w:val="20"/>
                <w:color w:val="auto"/>
              </w:rPr>
            </w:pPr>
            <w:r>
              <w:rPr>
                <w:rFonts w:ascii="Arial" w:cs="Arial" w:eastAsia="Arial" w:hAnsi="Arial"/>
                <w:sz w:val="18"/>
                <w:szCs w:val="18"/>
                <w:b w:val="1"/>
                <w:bCs w:val="1"/>
                <w:color w:val="auto"/>
              </w:rPr>
              <w:t>159,922,548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87"/>
              </w:rPr>
              <w:t>191,585,578</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tcPr>
          <w:p>
            <w:pPr>
              <w:jc w:val="right"/>
              <w:ind w:right="688"/>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composition of the Company’s industrial themes presented above:</w:t>
      </w:r>
    </w:p>
    <w:p>
      <w:pPr>
        <w:sectPr>
          <w:pgSz w:w="11900" w:h="16838" w:orient="portrait"/>
          <w:cols w:equalWidth="0" w:num="1">
            <w:col w:w="10139"/>
          </w:cols>
          <w:pgMar w:left="320" w:top="121" w:right="1440" w:bottom="1440" w:gutter="0" w:footer="0" w:header="0"/>
        </w:sect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885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1075055</wp:posOffset>
            </wp:positionV>
            <wp:extent cx="22885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885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22885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rPr>
          <w:sz w:val="20"/>
          <w:szCs w:val="20"/>
          <w:color w:val="auto"/>
        </w:rPr>
      </w:pPr>
      <w:r>
        <w:rPr>
          <w:rFonts w:ascii="Arial" w:cs="Arial" w:eastAsia="Arial" w:hAnsi="Arial"/>
          <w:sz w:val="17"/>
          <w:szCs w:val="17"/>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382270</wp:posOffset>
            </wp:positionV>
            <wp:extent cx="22885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22885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Sustainability</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47745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Business Education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Computer Software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Corporate Education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Education Software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E-Transcript Exchange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Interactive Learning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47745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Data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47745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Global Innovation Platform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Knowledge Networks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On-Demand Commerce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Micromobility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Peer-to-Peer Pet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39370</wp:posOffset>
            </wp:positionV>
            <wp:extent cx="47745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Online Marketplace Finance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Financial Services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Cannabis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47745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Digital Media Platform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Social Networking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Social Data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47745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Clean Technology</w:t>
      </w:r>
    </w:p>
    <w:p>
      <w:pPr>
        <w:spacing w:after="0" w:line="200" w:lineRule="exact"/>
        <w:rPr>
          <w:sz w:val="20"/>
          <w:szCs w:val="20"/>
          <w:color w:val="auto"/>
        </w:rPr>
      </w:pPr>
    </w:p>
    <w:p>
      <w:pPr>
        <w:sectPr>
          <w:pgSz w:w="11900" w:h="16838" w:orient="portrait"/>
          <w:cols w:equalWidth="0" w:num="2">
            <w:col w:w="3020" w:space="720"/>
            <w:col w:w="6399"/>
          </w:cols>
          <w:pgMar w:left="320" w:top="121" w:right="1440" w:bottom="1440" w:gutter="0" w:footer="0" w:header="0"/>
          <w:type w:val="continuous"/>
        </w:sect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139"/>
          </w:cols>
          <w:pgMar w:left="320" w:top="121" w:right="1440" w:bottom="1440" w:gutter="0" w:footer="0" w:header="0"/>
          <w:type w:val="continuous"/>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Inputs</w:t>
      </w:r>
    </w:p>
    <w:p>
      <w:pPr>
        <w:spacing w:after="0" w:line="229" w:lineRule="exact"/>
        <w:rPr>
          <w:sz w:val="20"/>
          <w:szCs w:val="20"/>
          <w:color w:val="auto"/>
        </w:rPr>
      </w:pPr>
    </w:p>
    <w:p>
      <w:pPr>
        <w:ind w:firstLine="351"/>
        <w:spacing w:after="0" w:line="277" w:lineRule="auto"/>
        <w:rPr>
          <w:sz w:val="20"/>
          <w:szCs w:val="20"/>
          <w:color w:val="auto"/>
        </w:rPr>
      </w:pPr>
      <w:r>
        <w:rPr>
          <w:rFonts w:ascii="Arial" w:cs="Arial" w:eastAsia="Arial" w:hAnsi="Arial"/>
          <w:sz w:val="18"/>
          <w:szCs w:val="18"/>
          <w:color w:val="auto"/>
        </w:rPr>
        <w:t>The fair values of the Company’s investments disaggregated into the three levels of the fair value hierarchy based upon the lowest level of significant input used in the valuation as of March 31, 2020 and December 31, 2019 are as follows: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As of March 31, 2020</w:t>
            </w: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15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6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28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100,438,769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100,438,769</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55,669,279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55,669,279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1,174,056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1,174,056</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Options</w:t>
            </w:r>
          </w:p>
        </w:tc>
        <w:tc>
          <w:tcPr>
            <w:tcW w:w="2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2,640,444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2,640,444</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159,922,548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159,922,548</w:t>
            </w: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159,922,548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159,922,548</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at Fair Value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50,000,000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159,922,548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209,922,548</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rPr>
              <w:t>As of December 31, 2019</w:t>
            </w: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20" w:type="dxa"/>
            <w:vAlign w:val="bottom"/>
          </w:tcPr>
          <w:p>
            <w:pPr>
              <w:spacing w:after="0"/>
              <w:rPr>
                <w:sz w:val="13"/>
                <w:szCs w:val="13"/>
                <w:color w:val="auto"/>
              </w:rPr>
            </w:pPr>
          </w:p>
        </w:tc>
        <w:tc>
          <w:tcPr>
            <w:tcW w:w="15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3"/>
                <w:szCs w:val="13"/>
                <w:color w:val="auto"/>
              </w:rPr>
            </w:pPr>
          </w:p>
        </w:tc>
        <w:tc>
          <w:tcPr>
            <w:tcW w:w="15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4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220" w:type="dxa"/>
            <w:vAlign w:val="bottom"/>
          </w:tcPr>
          <w:p>
            <w:pPr>
              <w:spacing w:after="0"/>
              <w:rPr>
                <w:sz w:val="12"/>
                <w:szCs w:val="12"/>
                <w:color w:val="auto"/>
              </w:rPr>
            </w:pPr>
          </w:p>
        </w:tc>
        <w:tc>
          <w:tcPr>
            <w:tcW w:w="15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26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Identical Securities</w:t>
            </w:r>
          </w:p>
        </w:tc>
        <w:tc>
          <w:tcPr>
            <w:tcW w:w="220" w:type="dxa"/>
            <w:vAlign w:val="bottom"/>
          </w:tcPr>
          <w:p>
            <w:pPr>
              <w:spacing w:after="0"/>
              <w:rPr>
                <w:sz w:val="12"/>
                <w:szCs w:val="12"/>
                <w:color w:val="auto"/>
              </w:rPr>
            </w:pPr>
          </w:p>
        </w:tc>
        <w:tc>
          <w:tcPr>
            <w:tcW w:w="15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Inputs</w:t>
            </w:r>
          </w:p>
        </w:tc>
        <w:tc>
          <w:tcPr>
            <w:tcW w:w="260" w:type="dxa"/>
            <w:vAlign w:val="bottom"/>
          </w:tcPr>
          <w:p>
            <w:pPr>
              <w:spacing w:after="0"/>
              <w:rPr>
                <w:sz w:val="12"/>
                <w:szCs w:val="12"/>
                <w:color w:val="auto"/>
              </w:rPr>
            </w:pPr>
          </w:p>
        </w:tc>
        <w:tc>
          <w:tcPr>
            <w:tcW w:w="15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2"/>
                <w:szCs w:val="12"/>
                <w:color w:val="auto"/>
              </w:rPr>
            </w:pPr>
          </w:p>
        </w:tc>
        <w:tc>
          <w:tcPr>
            <w:tcW w:w="128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6"/>
                <w:szCs w:val="16"/>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at Fair Value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125,448,358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125,448,358</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59,209,559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59,209,559</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1,644,155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1,644,155</w:t>
            </w:r>
          </w:p>
        </w:tc>
        <w:tc>
          <w:tcPr>
            <w:tcW w:w="0" w:type="dxa"/>
            <w:vAlign w:val="bottom"/>
          </w:tcPr>
          <w:p>
            <w:pPr>
              <w:spacing w:after="0"/>
              <w:rPr>
                <w:sz w:val="1"/>
                <w:szCs w:val="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Options</w:t>
            </w:r>
          </w:p>
        </w:tc>
        <w:tc>
          <w:tcPr>
            <w:tcW w:w="20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5,283,506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5,283,506</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Private Portfolio Companies</w:t>
            </w:r>
          </w:p>
        </w:tc>
        <w:tc>
          <w:tcPr>
            <w:tcW w:w="2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191,585,578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191,585,578</w:t>
            </w:r>
          </w:p>
        </w:tc>
        <w:tc>
          <w:tcPr>
            <w:tcW w:w="0" w:type="dxa"/>
            <w:vAlign w:val="bottom"/>
          </w:tcPr>
          <w:p>
            <w:pPr>
              <w:spacing w:after="0"/>
              <w:rPr>
                <w:sz w:val="1"/>
                <w:szCs w:val="1"/>
                <w:color w:val="auto"/>
              </w:rPr>
            </w:pPr>
          </w:p>
        </w:tc>
      </w:tr>
      <w:tr>
        <w:trPr>
          <w:trHeight w:val="237"/>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Publicly Traded Portfolio Companies</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160" w:type="dxa"/>
            <w:vAlign w:val="bottom"/>
          </w:tcPr>
          <w:p>
            <w:pPr>
              <w:ind w:left="40"/>
              <w:spacing w:after="0"/>
              <w:rPr>
                <w:sz w:val="20"/>
                <w:szCs w:val="20"/>
                <w:color w:val="auto"/>
              </w:rPr>
            </w:pPr>
            <w:r>
              <w:rPr>
                <w:rFonts w:ascii="Arial" w:cs="Arial" w:eastAsia="Arial" w:hAnsi="Arial"/>
                <w:sz w:val="18"/>
                <w:szCs w:val="18"/>
                <w:b w:val="1"/>
                <w:bCs w:val="1"/>
                <w:color w:val="auto"/>
              </w:rPr>
              <w:t>Total Portfolio Investments</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191,585,578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191,585,578</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Non-Portfolio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U.S. Treasury bills</w:t>
            </w:r>
          </w:p>
        </w:tc>
        <w:tc>
          <w:tcPr>
            <w:tcW w:w="20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Investments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191,585,578</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241,585,578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-3736975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-3736975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-4088130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-4088130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-4799965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-4799965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2020</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for Level 3 Assets and Liabilities</w:t>
      </w:r>
    </w:p>
    <w:p>
      <w:pPr>
        <w:spacing w:after="0" w:line="225" w:lineRule="exact"/>
        <w:rPr>
          <w:sz w:val="20"/>
          <w:szCs w:val="20"/>
          <w:color w:val="auto"/>
        </w:rPr>
      </w:pPr>
    </w:p>
    <w:p>
      <w:pPr>
        <w:jc w:val="both"/>
        <w:ind w:right="20" w:firstLine="351"/>
        <w:spacing w:after="0" w:line="271" w:lineRule="auto"/>
        <w:rPr>
          <w:sz w:val="20"/>
          <w:szCs w:val="20"/>
          <w:color w:val="auto"/>
        </w:rPr>
      </w:pPr>
      <w:r>
        <w:rPr>
          <w:rFonts w:ascii="Arial" w:cs="Arial" w:eastAsia="Arial" w:hAnsi="Arial"/>
          <w:sz w:val="17"/>
          <w:szCs w:val="17"/>
          <w:color w:val="auto"/>
        </w:rPr>
        <w:t xml:space="preserve">In accordance with FASB ASC 820, the tables below provide quantitative information about the Company’s fair value measurements of its Level 3 assets as of March 31, 2020 and December 31, 2019.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March 31, 2020 and December 31, 2019. Significant changes in the inputs in isolation would result in a significant change in the fair value measurement, depending on the input and the materiality of the investment. Refer to “Note 2—Significant Accounting Policies— </w:t>
      </w:r>
      <w:r>
        <w:rPr>
          <w:rFonts w:ascii="Arial" w:cs="Arial" w:eastAsia="Arial" w:hAnsi="Arial"/>
          <w:sz w:val="17"/>
          <w:szCs w:val="17"/>
          <w:i w:val="1"/>
          <w:iCs w:val="1"/>
          <w:color w:val="auto"/>
        </w:rPr>
        <w:t>Investments at Fair Value</w:t>
      </w:r>
      <w:r>
        <w:rPr>
          <w:rFonts w:ascii="Arial" w:cs="Arial" w:eastAsia="Arial" w:hAnsi="Arial"/>
          <w:sz w:val="17"/>
          <w:szCs w:val="17"/>
          <w:color w:val="auto"/>
        </w:rPr>
        <w:t>” for more detail.</w:t>
      </w:r>
    </w:p>
    <w:p>
      <w:pPr>
        <w:spacing w:after="0" w:line="36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As of March 31, 2020</w: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3640" w:type="dxa"/>
            <w:vAlign w:val="bottom"/>
            <w:tcBorders>
              <w:top w:val="single" w:sz="8" w:color="auto"/>
              <w:left w:val="single" w:sz="8" w:color="auto"/>
              <w:right w:val="single" w:sz="8" w:color="auto"/>
            </w:tcBorders>
          </w:tcPr>
          <w:p>
            <w:pPr>
              <w:spacing w:after="0"/>
              <w:rPr>
                <w:sz w:val="14"/>
                <w:szCs w:val="14"/>
                <w:color w:val="auto"/>
              </w:rPr>
            </w:pPr>
          </w:p>
        </w:tc>
        <w:tc>
          <w:tcPr>
            <w:tcW w:w="1900" w:type="dxa"/>
            <w:vAlign w:val="bottom"/>
            <w:tcBorders>
              <w:top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1900" w:type="dxa"/>
            <w:vAlign w:val="bottom"/>
            <w:tcBorders>
              <w:top w:val="single" w:sz="8" w:color="auto"/>
              <w:right w:val="single" w:sz="8" w:color="auto"/>
            </w:tcBorders>
          </w:tcPr>
          <w:p>
            <w:pPr>
              <w:spacing w:after="0"/>
              <w:rPr>
                <w:sz w:val="14"/>
                <w:szCs w:val="14"/>
                <w:color w:val="auto"/>
              </w:rPr>
            </w:pPr>
          </w:p>
        </w:tc>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68"/>
        </w:trPr>
        <w:tc>
          <w:tcPr>
            <w:tcW w:w="3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3"/>
              </w:rPr>
              <w:t>Asset</w:t>
            </w:r>
          </w:p>
        </w:tc>
        <w:tc>
          <w:tcPr>
            <w:tcW w:w="1900" w:type="dxa"/>
            <w:vAlign w:val="bottom"/>
            <w:tcBorders>
              <w:right w:val="single" w:sz="8" w:color="auto"/>
            </w:tcBorders>
            <w:vMerge w:val="restart"/>
          </w:tcPr>
          <w:p>
            <w:pPr>
              <w:ind w:left="620"/>
              <w:spacing w:after="0"/>
              <w:rPr>
                <w:sz w:val="20"/>
                <w:szCs w:val="20"/>
                <w:color w:val="auto"/>
              </w:rPr>
            </w:pPr>
            <w:r>
              <w:rPr>
                <w:rFonts w:ascii="Arial" w:cs="Arial" w:eastAsia="Arial" w:hAnsi="Arial"/>
                <w:sz w:val="14"/>
                <w:szCs w:val="14"/>
                <w:b w:val="1"/>
                <w:bCs w:val="1"/>
                <w:color w:val="auto"/>
              </w:rPr>
              <w:t>Fair Value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Approach/</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Unobservable Inputs</w:t>
            </w:r>
            <w:r>
              <w:rPr>
                <w:rFonts w:ascii="Arial" w:cs="Arial" w:eastAsia="Arial" w:hAnsi="Arial"/>
                <w:sz w:val="8"/>
                <w:szCs w:val="8"/>
                <w:b w:val="1"/>
                <w:bCs w:val="1"/>
                <w:color w:val="auto"/>
                <w:w w:val="93"/>
              </w:rPr>
              <w:t>(2)</w:t>
            </w:r>
          </w:p>
        </w:tc>
        <w:tc>
          <w:tcPr>
            <w:tcW w:w="1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640" w:type="dxa"/>
            <w:vAlign w:val="bottom"/>
            <w:tcBorders>
              <w:left w:val="single" w:sz="8" w:color="auto"/>
              <w:right w:val="single" w:sz="8" w:color="auto"/>
            </w:tcBorders>
            <w:vMerge w:val="continue"/>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3"/>
              </w:rPr>
              <w:t>(Weighted Average)</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135"/>
        </w:trPr>
        <w:tc>
          <w:tcPr>
            <w:tcW w:w="3640" w:type="dxa"/>
            <w:vAlign w:val="bottom"/>
            <w:tcBorders>
              <w:left w:val="single" w:sz="8" w:color="auto"/>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Technique</w:t>
            </w:r>
            <w:r>
              <w:rPr>
                <w:rFonts w:ascii="Arial" w:cs="Arial" w:eastAsia="Arial" w:hAnsi="Arial"/>
                <w:sz w:val="8"/>
                <w:szCs w:val="8"/>
                <w:b w:val="1"/>
                <w:bCs w:val="1"/>
                <w:color w:val="auto"/>
                <w:w w:val="92"/>
              </w:rPr>
              <w:t>(1)</w:t>
            </w:r>
          </w:p>
        </w:tc>
        <w:tc>
          <w:tcPr>
            <w:tcW w:w="190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640" w:type="dxa"/>
            <w:vAlign w:val="bottom"/>
            <w:tcBorders>
              <w:left w:val="single" w:sz="8" w:color="auto"/>
              <w:right w:val="single" w:sz="8" w:color="auto"/>
            </w:tcBorders>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jc w:val="center"/>
              <w:spacing w:after="0" w:line="263" w:lineRule="exact"/>
              <w:rPr>
                <w:sz w:val="20"/>
                <w:szCs w:val="20"/>
                <w:color w:val="auto"/>
              </w:rPr>
            </w:pPr>
            <w:r>
              <w:rPr>
                <w:rFonts w:ascii="Arial" w:cs="Arial" w:eastAsia="Arial" w:hAnsi="Arial"/>
                <w:sz w:val="18"/>
                <w:szCs w:val="18"/>
                <w:color w:val="auto"/>
                <w:w w:val="93"/>
              </w:rPr>
              <w:t>AFFO</w:t>
            </w:r>
            <w:r>
              <w:rPr>
                <w:rFonts w:ascii="Arial" w:cs="Arial" w:eastAsia="Arial" w:hAnsi="Arial"/>
                <w:sz w:val="25"/>
                <w:szCs w:val="25"/>
                <w:color w:val="auto"/>
                <w:w w:val="93"/>
                <w:vertAlign w:val="superscript"/>
              </w:rPr>
              <w:t>(4)</w:t>
            </w:r>
            <w:r>
              <w:rPr>
                <w:rFonts w:ascii="Arial" w:cs="Arial" w:eastAsia="Arial" w:hAnsi="Arial"/>
                <w:sz w:val="18"/>
                <w:szCs w:val="18"/>
                <w:color w:val="auto"/>
                <w:w w:val="93"/>
              </w:rPr>
              <w:t xml:space="preserve"> multiple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12.62x - 21.24 (16.93x)</w:t>
            </w:r>
          </w:p>
        </w:tc>
        <w:tc>
          <w:tcPr>
            <w:tcW w:w="0" w:type="dxa"/>
            <w:vAlign w:val="bottom"/>
          </w:tcPr>
          <w:p>
            <w:pPr>
              <w:spacing w:after="0"/>
              <w:rPr>
                <w:sz w:val="1"/>
                <w:szCs w:val="1"/>
                <w:color w:val="auto"/>
              </w:rPr>
            </w:pPr>
          </w:p>
        </w:tc>
      </w:tr>
      <w:tr>
        <w:trPr>
          <w:trHeight w:val="263"/>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in</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$55,669,279</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Market approach</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1.10x - 3.11x (2.39x)</w:t>
            </w:r>
          </w:p>
        </w:tc>
        <w:tc>
          <w:tcPr>
            <w:tcW w:w="0" w:type="dxa"/>
            <w:vAlign w:val="bottom"/>
          </w:tcPr>
          <w:p>
            <w:pPr>
              <w:spacing w:after="0"/>
              <w:rPr>
                <w:sz w:val="1"/>
                <w:szCs w:val="1"/>
                <w:color w:val="auto"/>
              </w:rPr>
            </w:pPr>
          </w:p>
        </w:tc>
      </w:tr>
      <w:tr>
        <w:trPr>
          <w:trHeight w:val="88"/>
        </w:trPr>
        <w:tc>
          <w:tcPr>
            <w:tcW w:w="3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90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right w:val="single" w:sz="8" w:color="auto"/>
            </w:tcBorders>
            <w:vMerge w:val="continue"/>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Discount rate</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1.28x - 3.09x (1.77x)</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Market approach</w:t>
            </w: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4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vMerge w:val="continue"/>
          </w:tcPr>
          <w:p>
            <w:pPr>
              <w:spacing w:after="0"/>
              <w:rPr>
                <w:sz w:val="19"/>
                <w:szCs w:val="19"/>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Precedent</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22"/>
        </w:trPr>
        <w:tc>
          <w:tcPr>
            <w:tcW w:w="3640" w:type="dxa"/>
            <w:vAlign w:val="bottom"/>
            <w:tcBorders>
              <w:left w:val="single" w:sz="8" w:color="auto"/>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transactions</w:t>
            </w:r>
          </w:p>
        </w:tc>
        <w:tc>
          <w:tcPr>
            <w:tcW w:w="1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w:t>
            </w:r>
          </w:p>
        </w:tc>
        <w:tc>
          <w:tcPr>
            <w:tcW w:w="190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vMerge w:val="continue"/>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3640" w:type="dxa"/>
            <w:vAlign w:val="bottom"/>
            <w:tcBorders>
              <w:left w:val="single" w:sz="8" w:color="auto"/>
              <w:right w:val="single" w:sz="8" w:color="auto"/>
            </w:tcBorders>
            <w:vMerge w:val="continue"/>
          </w:tcPr>
          <w:p>
            <w:pPr>
              <w:spacing w:after="0"/>
              <w:rPr>
                <w:sz w:val="9"/>
                <w:szCs w:val="9"/>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$100,438,769</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 cash flow</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Discount rate</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122"/>
        </w:trPr>
        <w:tc>
          <w:tcPr>
            <w:tcW w:w="3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900" w:type="dxa"/>
            <w:vAlign w:val="bottom"/>
            <w:tcBorders>
              <w:right w:val="single" w:sz="8" w:color="auto"/>
            </w:tcBorders>
            <w:vMerge w:val="continue"/>
          </w:tcPr>
          <w:p>
            <w:pPr>
              <w:spacing w:after="0"/>
              <w:rPr>
                <w:sz w:val="10"/>
                <w:szCs w:val="10"/>
                <w:color w:val="auto"/>
              </w:rPr>
            </w:pPr>
          </w:p>
        </w:tc>
        <w:tc>
          <w:tcPr>
            <w:tcW w:w="192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vMerge w:val="continue"/>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3640" w:type="dxa"/>
            <w:vAlign w:val="bottom"/>
            <w:tcBorders>
              <w:left w:val="single" w:sz="8" w:color="auto"/>
              <w:right w:val="single" w:sz="8" w:color="auto"/>
            </w:tcBorders>
            <w:vMerge w:val="continue"/>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92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0.83x - 1.99x</w:t>
            </w:r>
          </w:p>
        </w:tc>
        <w:tc>
          <w:tcPr>
            <w:tcW w:w="0" w:type="dxa"/>
            <w:vAlign w:val="bottom"/>
          </w:tcPr>
          <w:p>
            <w:pPr>
              <w:spacing w:after="0"/>
              <w:rPr>
                <w:sz w:val="1"/>
                <w:szCs w:val="1"/>
                <w:color w:val="auto"/>
              </w:rPr>
            </w:pPr>
          </w:p>
        </w:tc>
      </w:tr>
      <w:tr>
        <w:trPr>
          <w:trHeight w:val="161"/>
        </w:trPr>
        <w:tc>
          <w:tcPr>
            <w:tcW w:w="3640" w:type="dxa"/>
            <w:vAlign w:val="bottom"/>
            <w:tcBorders>
              <w:left w:val="single" w:sz="8" w:color="auto"/>
              <w:right w:val="single" w:sz="8" w:color="auto"/>
            </w:tcBorders>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192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40" w:type="dxa"/>
            <w:vAlign w:val="bottom"/>
            <w:tcBorders>
              <w:left w:val="single" w:sz="8" w:color="auto"/>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line="257" w:lineRule="exact"/>
              <w:rPr>
                <w:sz w:val="20"/>
                <w:szCs w:val="20"/>
                <w:color w:val="auto"/>
              </w:rPr>
            </w:pPr>
            <w:r>
              <w:rPr>
                <w:rFonts w:ascii="Arial" w:cs="Arial" w:eastAsia="Arial" w:hAnsi="Arial"/>
                <w:sz w:val="18"/>
                <w:szCs w:val="18"/>
                <w:color w:val="auto"/>
                <w:w w:val="91"/>
              </w:rPr>
              <w:t>PWERM</w:t>
            </w:r>
            <w:r>
              <w:rPr>
                <w:rFonts w:ascii="Arial" w:cs="Arial" w:eastAsia="Arial" w:hAnsi="Arial"/>
                <w:sz w:val="25"/>
                <w:szCs w:val="25"/>
                <w:color w:val="auto"/>
                <w:w w:val="91"/>
                <w:vertAlign w:val="superscript"/>
              </w:rPr>
              <w:t>(5)</w:t>
            </w:r>
          </w:p>
        </w:tc>
        <w:tc>
          <w:tcPr>
            <w:tcW w:w="1900" w:type="dxa"/>
            <w:vAlign w:val="bottom"/>
            <w:tcBorders>
              <w:right w:val="single" w:sz="8" w:color="auto"/>
            </w:tcBorders>
            <w:vMerge w:val="continue"/>
          </w:tcPr>
          <w:p>
            <w:pPr>
              <w:spacing w:after="0"/>
              <w:rPr>
                <w:sz w:val="10"/>
                <w:szCs w:val="10"/>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(1.11x)</w:t>
            </w:r>
          </w:p>
        </w:tc>
        <w:tc>
          <w:tcPr>
            <w:tcW w:w="0" w:type="dxa"/>
            <w:vAlign w:val="bottom"/>
          </w:tcPr>
          <w:p>
            <w:pPr>
              <w:spacing w:after="0"/>
              <w:rPr>
                <w:sz w:val="1"/>
                <w:szCs w:val="1"/>
                <w:color w:val="auto"/>
              </w:rPr>
            </w:pPr>
          </w:p>
        </w:tc>
      </w:tr>
      <w:tr>
        <w:trPr>
          <w:trHeight w:val="135"/>
        </w:trPr>
        <w:tc>
          <w:tcPr>
            <w:tcW w:w="3640" w:type="dxa"/>
            <w:vAlign w:val="bottom"/>
            <w:tcBorders>
              <w:left w:val="single" w:sz="8" w:color="auto"/>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920" w:type="dxa"/>
            <w:vAlign w:val="bottom"/>
            <w:tcBorders>
              <w:right w:val="single" w:sz="8" w:color="auto"/>
            </w:tcBorders>
            <w:vMerge w:val="continue"/>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6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Precedent transactions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2.97x - 3.23x (3.10x)</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Market approach</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1.10x - 1.13x (1.11x)</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Debt investments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$1,174,056</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PWERM</w:t>
            </w:r>
            <w:r>
              <w:rPr>
                <w:rFonts w:ascii="Arial" w:cs="Arial" w:eastAsia="Arial" w:hAnsi="Arial"/>
                <w:sz w:val="25"/>
                <w:szCs w:val="25"/>
                <w:color w:val="auto"/>
                <w:w w:val="91"/>
                <w:vertAlign w:val="superscript"/>
              </w:rPr>
              <w:t>(5)</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continue"/>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vMerge w:val="continue"/>
          </w:tcPr>
          <w:p>
            <w:pPr>
              <w:spacing w:after="0"/>
              <w:rPr>
                <w:sz w:val="15"/>
                <w:szCs w:val="15"/>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4"/>
        </w:trPr>
        <w:tc>
          <w:tcPr>
            <w:tcW w:w="3640" w:type="dxa"/>
            <w:vAlign w:val="bottom"/>
            <w:tcBorders>
              <w:left w:val="single" w:sz="8" w:color="auto"/>
              <w:right w:val="single" w:sz="8" w:color="auto"/>
            </w:tcBorders>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4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Term to expiration</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1.01 - 8.05 (5.01)</w:t>
            </w:r>
          </w:p>
        </w:tc>
        <w:tc>
          <w:tcPr>
            <w:tcW w:w="0" w:type="dxa"/>
            <w:vAlign w:val="bottom"/>
          </w:tcPr>
          <w:p>
            <w:pPr>
              <w:spacing w:after="0"/>
              <w:rPr>
                <w:sz w:val="1"/>
                <w:szCs w:val="1"/>
                <w:color w:val="auto"/>
              </w:rPr>
            </w:pPr>
          </w:p>
        </w:tc>
      </w:tr>
      <w:tr>
        <w:trPr>
          <w:trHeight w:val="122"/>
        </w:trPr>
        <w:tc>
          <w:tcPr>
            <w:tcW w:w="3640" w:type="dxa"/>
            <w:vAlign w:val="bottom"/>
            <w:tcBorders>
              <w:left w:val="single" w:sz="8" w:color="auto"/>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Option pricing model</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(Years)</w:t>
            </w:r>
          </w:p>
        </w:tc>
        <w:tc>
          <w:tcPr>
            <w:tcW w:w="1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Options</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$2,640,444</w:t>
            </w:r>
          </w:p>
        </w:tc>
        <w:tc>
          <w:tcPr>
            <w:tcW w:w="1920" w:type="dxa"/>
            <w:vAlign w:val="bottom"/>
            <w:tcBorders>
              <w:right w:val="single" w:sz="8" w:color="auto"/>
            </w:tcBorders>
            <w:vMerge w:val="continue"/>
          </w:tcPr>
          <w:p>
            <w:pPr>
              <w:spacing w:after="0"/>
              <w:rPr>
                <w:sz w:val="11"/>
                <w:szCs w:val="11"/>
                <w:color w:val="auto"/>
              </w:rPr>
            </w:pPr>
          </w:p>
        </w:tc>
        <w:tc>
          <w:tcPr>
            <w:tcW w:w="1900" w:type="dxa"/>
            <w:vAlign w:val="bottom"/>
            <w:tcBorders>
              <w:bottom w:val="single" w:sz="8" w:color="auto"/>
              <w:right w:val="single" w:sz="8" w:color="auto"/>
            </w:tcBorders>
            <w:vMerge w:val="continue"/>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40" w:type="dxa"/>
            <w:vAlign w:val="bottom"/>
            <w:tcBorders>
              <w:left w:val="single" w:sz="8" w:color="auto"/>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Volatility</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30.0%-40.3% (33.4%)</w:t>
            </w:r>
          </w:p>
        </w:tc>
        <w:tc>
          <w:tcPr>
            <w:tcW w:w="0" w:type="dxa"/>
            <w:vAlign w:val="bottom"/>
          </w:tcPr>
          <w:p>
            <w:pPr>
              <w:spacing w:after="0"/>
              <w:rPr>
                <w:sz w:val="1"/>
                <w:szCs w:val="1"/>
                <w:color w:val="auto"/>
              </w:rPr>
            </w:pPr>
          </w:p>
        </w:tc>
      </w:tr>
      <w:tr>
        <w:trPr>
          <w:trHeight w:val="108"/>
        </w:trPr>
        <w:tc>
          <w:tcPr>
            <w:tcW w:w="3640" w:type="dxa"/>
            <w:vAlign w:val="bottom"/>
            <w:tcBorders>
              <w:left w:val="single" w:sz="8" w:color="auto"/>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21" w:lineRule="exact"/>
        <w:rPr>
          <w:sz w:val="20"/>
          <w:szCs w:val="20"/>
          <w:color w:val="auto"/>
        </w:rPr>
      </w:pPr>
    </w:p>
    <w:p>
      <w:pPr>
        <w:jc w:val="both"/>
        <w:ind w:left="660" w:right="20" w:hanging="652"/>
        <w:spacing w:after="0" w:line="256"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of March 31, 2020,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60"/>
          </w:cols>
          <w:pgMar w:left="320" w:top="121" w:right="31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March 31, 2020</w:t>
      </w:r>
    </w:p>
    <w:p>
      <w:pPr>
        <w:spacing w:after="0" w:line="337" w:lineRule="exact"/>
        <w:rPr>
          <w:sz w:val="20"/>
          <w:szCs w:val="20"/>
          <w:color w:val="auto"/>
        </w:rPr>
      </w:pPr>
    </w:p>
    <w:p>
      <w:pPr>
        <w:ind w:left="660" w:right="40"/>
        <w:spacing w:after="0" w:line="275" w:lineRule="auto"/>
        <w:rPr>
          <w:sz w:val="20"/>
          <w:szCs w:val="20"/>
          <w:color w:val="auto"/>
        </w:rPr>
      </w:pPr>
      <w:r>
        <w:rPr>
          <w:rFonts w:ascii="Arial" w:cs="Arial" w:eastAsia="Arial" w:hAnsi="Arial"/>
          <w:sz w:val="16"/>
          <w:szCs w:val="16"/>
          <w:color w:val="auto"/>
        </w:rPr>
        <w:t>based on recent events or transactions. The hybrid approach may also consider certain risk weightings to account for the uncertainty of future events.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 for more detail.</w:t>
      </w:r>
    </w:p>
    <w:p>
      <w:pPr>
        <w:spacing w:after="0" w:line="1" w:lineRule="exact"/>
        <w:rPr>
          <w:sz w:val="20"/>
          <w:szCs w:val="20"/>
          <w:color w:val="auto"/>
        </w:rPr>
      </w:pPr>
    </w:p>
    <w:p>
      <w:pPr>
        <w:jc w:val="both"/>
        <w:ind w:left="660" w:right="20" w:hanging="652"/>
        <w:spacing w:after="0" w:line="283"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4"/>
          <w:szCs w:val="14"/>
          <w:i w:val="1"/>
          <w:iCs w:val="1"/>
          <w:color w:val="auto"/>
        </w:rPr>
        <w:t>Investments at Fair Value</w:t>
      </w:r>
      <w:r>
        <w:rPr>
          <w:rFonts w:ascii="Arial" w:cs="Arial" w:eastAsia="Arial" w:hAnsi="Arial"/>
          <w:sz w:val="14"/>
          <w:szCs w:val="14"/>
          <w:color w:val="auto"/>
        </w:rPr>
        <w:t>” for more detail.</w:t>
      </w:r>
    </w:p>
    <w:p>
      <w:pPr>
        <w:spacing w:after="0" w:line="2" w:lineRule="exact"/>
        <w:rPr>
          <w:rFonts w:ascii="Arial" w:cs="Arial" w:eastAsia="Arial" w:hAnsi="Arial"/>
          <w:sz w:val="14"/>
          <w:szCs w:val="14"/>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weighted averages are calculated based on the fair market value of each investment.</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Funds From Operations, or "AFFO"</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Probability-Weighted Expected Return Method, or "PWERM"</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2019</w:t>
      </w:r>
    </w:p>
    <w:p>
      <w:pPr>
        <w:spacing w:after="0" w:line="61"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3640" w:type="dxa"/>
            <w:vAlign w:val="bottom"/>
            <w:tcBorders>
              <w:top w:val="single" w:sz="8" w:color="auto"/>
              <w:left w:val="single" w:sz="8" w:color="auto"/>
              <w:right w:val="single" w:sz="8" w:color="auto"/>
            </w:tcBorders>
          </w:tcPr>
          <w:p>
            <w:pPr>
              <w:spacing w:after="0"/>
              <w:rPr>
                <w:sz w:val="14"/>
                <w:szCs w:val="14"/>
                <w:color w:val="auto"/>
              </w:rPr>
            </w:pPr>
          </w:p>
        </w:tc>
        <w:tc>
          <w:tcPr>
            <w:tcW w:w="1900" w:type="dxa"/>
            <w:vAlign w:val="bottom"/>
            <w:tcBorders>
              <w:top w:val="single" w:sz="8" w:color="auto"/>
              <w:right w:val="single" w:sz="8" w:color="auto"/>
            </w:tcBorders>
          </w:tcPr>
          <w:p>
            <w:pPr>
              <w:spacing w:after="0"/>
              <w:rPr>
                <w:sz w:val="14"/>
                <w:szCs w:val="14"/>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w:t>
            </w:r>
          </w:p>
        </w:tc>
        <w:tc>
          <w:tcPr>
            <w:tcW w:w="1900" w:type="dxa"/>
            <w:vAlign w:val="bottom"/>
            <w:tcBorders>
              <w:top w:val="single" w:sz="8" w:color="auto"/>
              <w:right w:val="single" w:sz="8" w:color="auto"/>
            </w:tcBorders>
          </w:tcPr>
          <w:p>
            <w:pPr>
              <w:spacing w:after="0"/>
              <w:rPr>
                <w:sz w:val="14"/>
                <w:szCs w:val="14"/>
                <w:color w:val="auto"/>
              </w:rPr>
            </w:pPr>
          </w:p>
        </w:tc>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68"/>
        </w:trPr>
        <w:tc>
          <w:tcPr>
            <w:tcW w:w="3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3"/>
              </w:rPr>
              <w:t>Asset</w:t>
            </w:r>
          </w:p>
        </w:tc>
        <w:tc>
          <w:tcPr>
            <w:tcW w:w="1900" w:type="dxa"/>
            <w:vAlign w:val="bottom"/>
            <w:tcBorders>
              <w:right w:val="single" w:sz="8" w:color="auto"/>
            </w:tcBorders>
            <w:vMerge w:val="restart"/>
          </w:tcPr>
          <w:p>
            <w:pPr>
              <w:ind w:left="620"/>
              <w:spacing w:after="0"/>
              <w:rPr>
                <w:sz w:val="20"/>
                <w:szCs w:val="20"/>
                <w:color w:val="auto"/>
              </w:rPr>
            </w:pPr>
            <w:r>
              <w:rPr>
                <w:rFonts w:ascii="Arial" w:cs="Arial" w:eastAsia="Arial" w:hAnsi="Arial"/>
                <w:sz w:val="14"/>
                <w:szCs w:val="14"/>
                <w:b w:val="1"/>
                <w:bCs w:val="1"/>
                <w:color w:val="auto"/>
              </w:rPr>
              <w:t>Fair Value</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Approach/</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Unobservable Inputs</w:t>
            </w:r>
            <w:r>
              <w:rPr>
                <w:rFonts w:ascii="Arial" w:cs="Arial" w:eastAsia="Arial" w:hAnsi="Arial"/>
                <w:sz w:val="8"/>
                <w:szCs w:val="8"/>
                <w:b w:val="1"/>
                <w:bCs w:val="1"/>
                <w:color w:val="auto"/>
                <w:w w:val="93"/>
              </w:rPr>
              <w:t>(2)</w:t>
            </w:r>
          </w:p>
        </w:tc>
        <w:tc>
          <w:tcPr>
            <w:tcW w:w="19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640" w:type="dxa"/>
            <w:vAlign w:val="bottom"/>
            <w:tcBorders>
              <w:left w:val="single" w:sz="8" w:color="auto"/>
              <w:right w:val="single" w:sz="8" w:color="auto"/>
            </w:tcBorders>
            <w:vMerge w:val="continue"/>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92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3"/>
              </w:rPr>
              <w:t>(Weighted Average)</w:t>
            </w:r>
            <w:r>
              <w:rPr>
                <w:rFonts w:ascii="Arial" w:cs="Arial" w:eastAsia="Arial" w:hAnsi="Arial"/>
                <w:sz w:val="8"/>
                <w:szCs w:val="8"/>
                <w:b w:val="1"/>
                <w:bCs w:val="1"/>
                <w:color w:val="auto"/>
                <w:w w:val="93"/>
              </w:rPr>
              <w:t>(3)</w:t>
            </w:r>
          </w:p>
        </w:tc>
        <w:tc>
          <w:tcPr>
            <w:tcW w:w="0" w:type="dxa"/>
            <w:vAlign w:val="bottom"/>
          </w:tcPr>
          <w:p>
            <w:pPr>
              <w:spacing w:after="0"/>
              <w:rPr>
                <w:sz w:val="1"/>
                <w:szCs w:val="1"/>
                <w:color w:val="auto"/>
              </w:rPr>
            </w:pPr>
          </w:p>
        </w:tc>
      </w:tr>
      <w:tr>
        <w:trPr>
          <w:trHeight w:val="135"/>
        </w:trPr>
        <w:tc>
          <w:tcPr>
            <w:tcW w:w="3640" w:type="dxa"/>
            <w:vAlign w:val="bottom"/>
            <w:tcBorders>
              <w:left w:val="single" w:sz="8" w:color="auto"/>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1920" w:type="dxa"/>
            <w:vAlign w:val="bottom"/>
            <w:tcBorders>
              <w:bottom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Technique</w:t>
            </w:r>
            <w:r>
              <w:rPr>
                <w:rFonts w:ascii="Arial" w:cs="Arial" w:eastAsia="Arial" w:hAnsi="Arial"/>
                <w:sz w:val="8"/>
                <w:szCs w:val="8"/>
                <w:b w:val="1"/>
                <w:bCs w:val="1"/>
                <w:color w:val="auto"/>
                <w:w w:val="92"/>
              </w:rPr>
              <w:t>(1)</w:t>
            </w:r>
          </w:p>
        </w:tc>
        <w:tc>
          <w:tcPr>
            <w:tcW w:w="1900" w:type="dxa"/>
            <w:vAlign w:val="bottom"/>
            <w:tcBorders>
              <w:bottom w:val="single" w:sz="8" w:color="auto"/>
              <w:right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3640" w:type="dxa"/>
            <w:vAlign w:val="bottom"/>
            <w:tcBorders>
              <w:left w:val="single" w:sz="8" w:color="auto"/>
              <w:right w:val="single" w:sz="8" w:color="auto"/>
            </w:tcBorders>
          </w:tcPr>
          <w:p>
            <w:pPr>
              <w:spacing w:after="0"/>
              <w:rPr>
                <w:sz w:val="22"/>
                <w:szCs w:val="22"/>
                <w:color w:val="auto"/>
              </w:rPr>
            </w:pPr>
          </w:p>
        </w:tc>
        <w:tc>
          <w:tcPr>
            <w:tcW w:w="1900" w:type="dxa"/>
            <w:vAlign w:val="bottom"/>
            <w:tcBorders>
              <w:right w:val="single" w:sz="8" w:color="auto"/>
            </w:tcBorders>
          </w:tcPr>
          <w:p>
            <w:pPr>
              <w:spacing w:after="0"/>
              <w:rPr>
                <w:sz w:val="22"/>
                <w:szCs w:val="22"/>
                <w:color w:val="auto"/>
              </w:rPr>
            </w:pPr>
          </w:p>
        </w:tc>
        <w:tc>
          <w:tcPr>
            <w:tcW w:w="1920" w:type="dxa"/>
            <w:vAlign w:val="bottom"/>
            <w:tcBorders>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jc w:val="center"/>
              <w:spacing w:after="0" w:line="263" w:lineRule="exact"/>
              <w:rPr>
                <w:sz w:val="20"/>
                <w:szCs w:val="20"/>
                <w:color w:val="auto"/>
              </w:rPr>
            </w:pPr>
            <w:r>
              <w:rPr>
                <w:rFonts w:ascii="Arial" w:cs="Arial" w:eastAsia="Arial" w:hAnsi="Arial"/>
                <w:sz w:val="18"/>
                <w:szCs w:val="18"/>
                <w:color w:val="auto"/>
                <w:w w:val="93"/>
              </w:rPr>
              <w:t>AFFO</w:t>
            </w:r>
            <w:r>
              <w:rPr>
                <w:rFonts w:ascii="Arial" w:cs="Arial" w:eastAsia="Arial" w:hAnsi="Arial"/>
                <w:sz w:val="25"/>
                <w:szCs w:val="25"/>
                <w:color w:val="auto"/>
                <w:w w:val="93"/>
                <w:vertAlign w:val="superscript"/>
              </w:rPr>
              <w:t>(4)</w:t>
            </w:r>
            <w:r>
              <w:rPr>
                <w:rFonts w:ascii="Arial" w:cs="Arial" w:eastAsia="Arial" w:hAnsi="Arial"/>
                <w:sz w:val="18"/>
                <w:szCs w:val="18"/>
                <w:color w:val="auto"/>
                <w:w w:val="93"/>
              </w:rPr>
              <w:t xml:space="preserve"> multiple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16.67x - 37.32 (25.09x)</w:t>
            </w:r>
          </w:p>
        </w:tc>
        <w:tc>
          <w:tcPr>
            <w:tcW w:w="0" w:type="dxa"/>
            <w:vAlign w:val="bottom"/>
          </w:tcPr>
          <w:p>
            <w:pPr>
              <w:spacing w:after="0"/>
              <w:rPr>
                <w:sz w:val="1"/>
                <w:szCs w:val="1"/>
                <w:color w:val="auto"/>
              </w:rPr>
            </w:pPr>
          </w:p>
        </w:tc>
      </w:tr>
      <w:tr>
        <w:trPr>
          <w:trHeight w:val="263"/>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Common stock in</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$59,209,559</w:t>
            </w: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Market approach</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1.45x - 3.23x (2.86x)</w:t>
            </w:r>
          </w:p>
        </w:tc>
        <w:tc>
          <w:tcPr>
            <w:tcW w:w="0" w:type="dxa"/>
            <w:vAlign w:val="bottom"/>
          </w:tcPr>
          <w:p>
            <w:pPr>
              <w:spacing w:after="0"/>
              <w:rPr>
                <w:sz w:val="1"/>
                <w:szCs w:val="1"/>
                <w:color w:val="auto"/>
              </w:rPr>
            </w:pPr>
          </w:p>
        </w:tc>
      </w:tr>
      <w:tr>
        <w:trPr>
          <w:trHeight w:val="88"/>
        </w:trPr>
        <w:tc>
          <w:tcPr>
            <w:tcW w:w="3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900" w:type="dxa"/>
            <w:vAlign w:val="bottom"/>
            <w:tcBorders>
              <w:right w:val="single" w:sz="8" w:color="auto"/>
            </w:tcBorders>
            <w:vMerge w:val="continue"/>
          </w:tcPr>
          <w:p>
            <w:pPr>
              <w:spacing w:after="0"/>
              <w:rPr>
                <w:sz w:val="7"/>
                <w:szCs w:val="7"/>
                <w:color w:val="auto"/>
              </w:rPr>
            </w:pPr>
          </w:p>
        </w:tc>
        <w:tc>
          <w:tcPr>
            <w:tcW w:w="192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48"/>
        </w:trPr>
        <w:tc>
          <w:tcPr>
            <w:tcW w:w="3640" w:type="dxa"/>
            <w:vAlign w:val="bottom"/>
            <w:tcBorders>
              <w:left w:val="single" w:sz="8" w:color="auto"/>
              <w:right w:val="single" w:sz="8" w:color="auto"/>
            </w:tcBorders>
            <w:vMerge w:val="continue"/>
          </w:tcPr>
          <w:p>
            <w:pPr>
              <w:spacing w:after="0"/>
              <w:rPr>
                <w:sz w:val="12"/>
                <w:szCs w:val="12"/>
                <w:color w:val="auto"/>
              </w:rPr>
            </w:pPr>
          </w:p>
        </w:tc>
        <w:tc>
          <w:tcPr>
            <w:tcW w:w="190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Discount rate</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1.89x - 5.43x (3.77x)</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Market approach</w:t>
            </w: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4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vMerge w:val="continue"/>
          </w:tcPr>
          <w:p>
            <w:pPr>
              <w:spacing w:after="0"/>
              <w:rPr>
                <w:sz w:val="19"/>
                <w:szCs w:val="19"/>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Precedent</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22"/>
        </w:trPr>
        <w:tc>
          <w:tcPr>
            <w:tcW w:w="3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w:t>
            </w:r>
          </w:p>
        </w:tc>
        <w:tc>
          <w:tcPr>
            <w:tcW w:w="190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transactions</w:t>
            </w:r>
          </w:p>
        </w:tc>
        <w:tc>
          <w:tcPr>
            <w:tcW w:w="1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40" w:type="dxa"/>
            <w:vAlign w:val="bottom"/>
            <w:tcBorders>
              <w:left w:val="single" w:sz="8" w:color="auto"/>
              <w:right w:val="single" w:sz="8" w:color="auto"/>
            </w:tcBorders>
            <w:vMerge w:val="continue"/>
          </w:tcPr>
          <w:p>
            <w:pPr>
              <w:spacing w:after="0"/>
              <w:rPr>
                <w:sz w:val="9"/>
                <w:szCs w:val="9"/>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$125,448,358</w:t>
            </w:r>
          </w:p>
        </w:tc>
        <w:tc>
          <w:tcPr>
            <w:tcW w:w="192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vMerge w:val="continue"/>
          </w:tcPr>
          <w:p>
            <w:pPr>
              <w:spacing w:after="0"/>
              <w:rPr>
                <w:sz w:val="2"/>
                <w:szCs w:val="2"/>
                <w:color w:val="auto"/>
              </w:rPr>
            </w:pPr>
          </w:p>
        </w:tc>
        <w:tc>
          <w:tcPr>
            <w:tcW w:w="1900" w:type="dxa"/>
            <w:vAlign w:val="bottom"/>
            <w:tcBorders>
              <w:right w:val="single" w:sz="8" w:color="auto"/>
            </w:tcBorders>
            <w:vMerge w:val="continue"/>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private companies</w:t>
            </w:r>
          </w:p>
        </w:tc>
        <w:tc>
          <w:tcPr>
            <w:tcW w:w="1900" w:type="dxa"/>
            <w:vAlign w:val="bottom"/>
            <w:tcBorders>
              <w:right w:val="single" w:sz="8" w:color="auto"/>
            </w:tcBorders>
            <w:vMerge w:val="continue"/>
          </w:tcPr>
          <w:p>
            <w:pPr>
              <w:spacing w:after="0"/>
              <w:rPr>
                <w:sz w:val="11"/>
                <w:szCs w:val="11"/>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 cash flow</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Discount rate</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108"/>
        </w:trPr>
        <w:tc>
          <w:tcPr>
            <w:tcW w:w="3640" w:type="dxa"/>
            <w:vAlign w:val="bottom"/>
            <w:tcBorders>
              <w:left w:val="single" w:sz="8" w:color="auto"/>
              <w:right w:val="single" w:sz="8" w:color="auto"/>
            </w:tcBorders>
            <w:vMerge w:val="continue"/>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PWERM</w:t>
            </w:r>
            <w:r>
              <w:rPr>
                <w:rFonts w:ascii="Arial" w:cs="Arial" w:eastAsia="Arial" w:hAnsi="Arial"/>
                <w:sz w:val="25"/>
                <w:szCs w:val="25"/>
                <w:color w:val="auto"/>
                <w:w w:val="91"/>
                <w:vertAlign w:val="superscript"/>
              </w:rPr>
              <w:t>(5)</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1.23x - 2.05x (1.83x)</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continue"/>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vMerge w:val="continue"/>
          </w:tcPr>
          <w:p>
            <w:pPr>
              <w:spacing w:after="0"/>
              <w:rPr>
                <w:sz w:val="15"/>
                <w:szCs w:val="15"/>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Precedent transactions</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2.97x - 3.23x (3.10x)</w:t>
            </w:r>
          </w:p>
        </w:tc>
        <w:tc>
          <w:tcPr>
            <w:tcW w:w="0" w:type="dxa"/>
            <w:vAlign w:val="bottom"/>
          </w:tcPr>
          <w:p>
            <w:pPr>
              <w:spacing w:after="0"/>
              <w:rPr>
                <w:sz w:val="1"/>
                <w:szCs w:val="1"/>
                <w:color w:val="auto"/>
              </w:rPr>
            </w:pPr>
          </w:p>
        </w:tc>
      </w:tr>
      <w:tr>
        <w:trPr>
          <w:trHeight w:val="54"/>
        </w:trPr>
        <w:tc>
          <w:tcPr>
            <w:tcW w:w="3640" w:type="dxa"/>
            <w:vAlign w:val="bottom"/>
            <w:tcBorders>
              <w:left w:val="single" w:sz="8" w:color="auto"/>
              <w:right w:val="single" w:sz="8" w:color="auto"/>
            </w:tcBorders>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Market approach</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1.45x - 1.57x (1.51x)</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Debt investments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$1,644,155</w:t>
            </w: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PWERM</w:t>
            </w:r>
            <w:r>
              <w:rPr>
                <w:rFonts w:ascii="Arial" w:cs="Arial" w:eastAsia="Arial" w:hAnsi="Arial"/>
                <w:sz w:val="25"/>
                <w:szCs w:val="25"/>
                <w:color w:val="auto"/>
                <w:w w:val="91"/>
                <w:vertAlign w:val="superscript"/>
              </w:rPr>
              <w:t>(5)</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20" w:type="dxa"/>
            <w:vAlign w:val="bottom"/>
            <w:tcBorders>
              <w:right w:val="single" w:sz="8" w:color="auto"/>
            </w:tcBorders>
            <w:vMerge w:val="continue"/>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640" w:type="dxa"/>
            <w:vAlign w:val="bottom"/>
            <w:tcBorders>
              <w:left w:val="single" w:sz="8" w:color="auto"/>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920" w:type="dxa"/>
            <w:vAlign w:val="bottom"/>
            <w:tcBorders>
              <w:right w:val="single" w:sz="8" w:color="auto"/>
            </w:tcBorders>
            <w:vMerge w:val="continue"/>
          </w:tcPr>
          <w:p>
            <w:pPr>
              <w:spacing w:after="0"/>
              <w:rPr>
                <w:sz w:val="15"/>
                <w:szCs w:val="15"/>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54"/>
        </w:trPr>
        <w:tc>
          <w:tcPr>
            <w:tcW w:w="3640" w:type="dxa"/>
            <w:vAlign w:val="bottom"/>
            <w:tcBorders>
              <w:left w:val="single" w:sz="8" w:color="auto"/>
              <w:right w:val="single" w:sz="8" w:color="auto"/>
            </w:tcBorders>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1920" w:type="dxa"/>
            <w:vAlign w:val="bottom"/>
            <w:tcBorders>
              <w:right w:val="single" w:sz="8" w:color="auto"/>
            </w:tcBorders>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40" w:type="dxa"/>
            <w:vAlign w:val="bottom"/>
            <w:tcBorders>
              <w:left w:val="single" w:sz="8" w:color="auto"/>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Term to expiration</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0.13 - 8.30 (5.35)</w:t>
            </w:r>
          </w:p>
        </w:tc>
        <w:tc>
          <w:tcPr>
            <w:tcW w:w="0" w:type="dxa"/>
            <w:vAlign w:val="bottom"/>
          </w:tcPr>
          <w:p>
            <w:pPr>
              <w:spacing w:after="0"/>
              <w:rPr>
                <w:sz w:val="1"/>
                <w:szCs w:val="1"/>
                <w:color w:val="auto"/>
              </w:rPr>
            </w:pPr>
          </w:p>
        </w:tc>
      </w:tr>
      <w:tr>
        <w:trPr>
          <w:trHeight w:val="122"/>
        </w:trPr>
        <w:tc>
          <w:tcPr>
            <w:tcW w:w="3640" w:type="dxa"/>
            <w:vAlign w:val="bottom"/>
            <w:tcBorders>
              <w:left w:val="single" w:sz="8" w:color="auto"/>
              <w:right w:val="single" w:sz="8" w:color="auto"/>
            </w:tcBorders>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Option pricing model</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(Years)</w:t>
            </w:r>
          </w:p>
        </w:tc>
        <w:tc>
          <w:tcPr>
            <w:tcW w:w="1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Options</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$5,283,506</w:t>
            </w:r>
          </w:p>
        </w:tc>
        <w:tc>
          <w:tcPr>
            <w:tcW w:w="1920" w:type="dxa"/>
            <w:vAlign w:val="bottom"/>
            <w:tcBorders>
              <w:right w:val="single" w:sz="8" w:color="auto"/>
            </w:tcBorders>
            <w:vMerge w:val="continue"/>
          </w:tcPr>
          <w:p>
            <w:pPr>
              <w:spacing w:after="0"/>
              <w:rPr>
                <w:sz w:val="11"/>
                <w:szCs w:val="11"/>
                <w:color w:val="auto"/>
              </w:rPr>
            </w:pPr>
          </w:p>
        </w:tc>
        <w:tc>
          <w:tcPr>
            <w:tcW w:w="1900" w:type="dxa"/>
            <w:vAlign w:val="bottom"/>
            <w:tcBorders>
              <w:bottom w:val="single" w:sz="8" w:color="auto"/>
              <w:right w:val="single" w:sz="8" w:color="auto"/>
            </w:tcBorders>
            <w:vMerge w:val="continue"/>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640" w:type="dxa"/>
            <w:vAlign w:val="bottom"/>
            <w:tcBorders>
              <w:left w:val="single" w:sz="8" w:color="auto"/>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92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Volatility</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30.0%-48.0% (36.0%)</w:t>
            </w:r>
          </w:p>
        </w:tc>
        <w:tc>
          <w:tcPr>
            <w:tcW w:w="0" w:type="dxa"/>
            <w:vAlign w:val="bottom"/>
          </w:tcPr>
          <w:p>
            <w:pPr>
              <w:spacing w:after="0"/>
              <w:rPr>
                <w:sz w:val="1"/>
                <w:szCs w:val="1"/>
                <w:color w:val="auto"/>
              </w:rPr>
            </w:pPr>
          </w:p>
        </w:tc>
      </w:tr>
      <w:tr>
        <w:trPr>
          <w:trHeight w:val="108"/>
        </w:trPr>
        <w:tc>
          <w:tcPr>
            <w:tcW w:w="3640" w:type="dxa"/>
            <w:vAlign w:val="bottom"/>
            <w:tcBorders>
              <w:left w:val="single" w:sz="8" w:color="auto"/>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92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40" w:type="dxa"/>
            <w:vAlign w:val="bottom"/>
            <w:tcBorders>
              <w:left w:val="single" w:sz="8" w:color="auto"/>
              <w:right w:val="single" w:sz="8" w:color="auto"/>
            </w:tcBorders>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Borders>
              <w:left w:val="single" w:sz="8" w:color="auto"/>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12.0% (12.0%)</w:t>
            </w:r>
          </w:p>
        </w:tc>
        <w:tc>
          <w:tcPr>
            <w:tcW w:w="0" w:type="dxa"/>
            <w:vAlign w:val="bottom"/>
          </w:tcPr>
          <w:p>
            <w:pPr>
              <w:spacing w:after="0"/>
              <w:rPr>
                <w:sz w:val="1"/>
                <w:szCs w:val="1"/>
                <w:color w:val="auto"/>
              </w:rPr>
            </w:pPr>
          </w:p>
        </w:tc>
      </w:tr>
      <w:tr>
        <w:trPr>
          <w:trHeight w:val="27"/>
        </w:trPr>
        <w:tc>
          <w:tcPr>
            <w:tcW w:w="364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2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3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920" w:type="dxa"/>
            <w:vAlign w:val="bottom"/>
          </w:tcPr>
          <w:p>
            <w:pPr>
              <w:jc w:val="right"/>
              <w:ind w:right="1654"/>
              <w:spacing w:after="0"/>
              <w:rPr>
                <w:sz w:val="20"/>
                <w:szCs w:val="20"/>
                <w:color w:val="auto"/>
              </w:rPr>
            </w:pPr>
            <w:r>
              <w:rPr>
                <w:rFonts w:ascii="Arial" w:cs="Arial" w:eastAsia="Arial" w:hAnsi="Arial"/>
                <w:sz w:val="18"/>
                <w:szCs w:val="18"/>
                <w:color w:val="auto"/>
                <w:w w:val="79"/>
              </w:rPr>
              <w:t>31</w:t>
            </w:r>
          </w:p>
        </w:tc>
        <w:tc>
          <w:tcPr>
            <w:tcW w:w="19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jc w:val="both"/>
        <w:ind w:left="660" w:hanging="652"/>
        <w:spacing w:after="0" w:line="282"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As of December 31, 2019,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Arial" w:cs="Arial" w:eastAsia="Arial" w:hAnsi="Arial"/>
          <w:sz w:val="14"/>
          <w:szCs w:val="14"/>
          <w:i w:val="1"/>
          <w:iCs w:val="1"/>
          <w:color w:val="auto"/>
        </w:rPr>
        <w:t>Investments at Fair Value</w:t>
      </w:r>
      <w:r>
        <w:rPr>
          <w:rFonts w:ascii="Arial" w:cs="Arial" w:eastAsia="Arial" w:hAnsi="Arial"/>
          <w:sz w:val="14"/>
          <w:szCs w:val="14"/>
          <w:color w:val="auto"/>
        </w:rPr>
        <w:t>” for more detail.</w:t>
      </w:r>
    </w:p>
    <w:p>
      <w:pPr>
        <w:spacing w:after="0" w:line="3" w:lineRule="exact"/>
        <w:rPr>
          <w:rFonts w:ascii="Arial" w:cs="Arial" w:eastAsia="Arial" w:hAnsi="Arial"/>
          <w:sz w:val="14"/>
          <w:szCs w:val="14"/>
          <w:color w:val="auto"/>
        </w:rPr>
      </w:pPr>
    </w:p>
    <w:p>
      <w:pPr>
        <w:jc w:val="both"/>
        <w:ind w:left="660" w:hanging="652"/>
        <w:spacing w:after="0" w:line="281"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4"/>
          <w:szCs w:val="14"/>
          <w:i w:val="1"/>
          <w:iCs w:val="1"/>
          <w:color w:val="auto"/>
        </w:rPr>
        <w:t>Investments at Fair Value</w:t>
      </w:r>
      <w:r>
        <w:rPr>
          <w:rFonts w:ascii="Arial" w:cs="Arial" w:eastAsia="Arial" w:hAnsi="Arial"/>
          <w:sz w:val="14"/>
          <w:szCs w:val="14"/>
          <w:color w:val="auto"/>
        </w:rPr>
        <w:t>” for more detail.</w:t>
      </w:r>
    </w:p>
    <w:p>
      <w:pPr>
        <w:spacing w:after="0" w:line="4" w:lineRule="exact"/>
        <w:rPr>
          <w:rFonts w:ascii="Arial" w:cs="Arial" w:eastAsia="Arial" w:hAnsi="Arial"/>
          <w:sz w:val="14"/>
          <w:szCs w:val="14"/>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weighted averages are calculated based on the fair market value of each investment.</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Adjusted Funds From Operations, or "AFFO"</w:t>
      </w:r>
    </w:p>
    <w:p>
      <w:pPr>
        <w:spacing w:after="0" w:line="5" w:lineRule="exact"/>
        <w:rPr>
          <w:rFonts w:ascii="Arial" w:cs="Arial" w:eastAsia="Arial" w:hAnsi="Arial"/>
          <w:sz w:val="16"/>
          <w:szCs w:val="16"/>
          <w:color w:val="auto"/>
        </w:rPr>
      </w:pPr>
    </w:p>
    <w:p>
      <w:pPr>
        <w:ind w:left="660" w:hanging="652"/>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Probability-Weighted Expected Return Method, or "PWERM"</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values of Level 3 assets and liabilities changed during the three months ended March 31, 2020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6"/>
          </w:tcPr>
          <w:p>
            <w:pPr>
              <w:jc w:val="center"/>
              <w:ind w:left="695"/>
              <w:spacing w:after="0"/>
              <w:rPr>
                <w:sz w:val="20"/>
                <w:szCs w:val="20"/>
                <w:color w:val="auto"/>
              </w:rPr>
            </w:pPr>
            <w:r>
              <w:rPr>
                <w:rFonts w:ascii="Arial" w:cs="Arial" w:eastAsia="Arial" w:hAnsi="Arial"/>
                <w:sz w:val="14"/>
                <w:szCs w:val="14"/>
                <w:b w:val="1"/>
                <w:bCs w:val="1"/>
                <w:color w:val="auto"/>
                <w:w w:val="94"/>
              </w:rPr>
              <w:t>Three Months Ended March 31, 2020</w:t>
            </w: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Common</w:t>
            </w:r>
          </w:p>
        </w:tc>
        <w:tc>
          <w:tcPr>
            <w:tcW w:w="280" w:type="dxa"/>
            <w:vAlign w:val="bottom"/>
          </w:tcPr>
          <w:p>
            <w:pPr>
              <w:spacing w:after="0"/>
              <w:rPr>
                <w:sz w:val="13"/>
                <w:szCs w:val="13"/>
                <w:color w:val="auto"/>
              </w:rPr>
            </w:pPr>
          </w:p>
        </w:tc>
        <w:tc>
          <w:tcPr>
            <w:tcW w:w="12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Preferred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Debt</w:t>
            </w:r>
          </w:p>
        </w:tc>
        <w:tc>
          <w:tcPr>
            <w:tcW w:w="400" w:type="dxa"/>
            <w:vAlign w:val="bottom"/>
          </w:tcPr>
          <w:p>
            <w:pPr>
              <w:spacing w:after="0"/>
              <w:rPr>
                <w:sz w:val="13"/>
                <w:szCs w:val="13"/>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3"/>
                <w:szCs w:val="13"/>
                <w:color w:val="auto"/>
              </w:rPr>
            </w:pPr>
          </w:p>
        </w:tc>
        <w:tc>
          <w:tcPr>
            <w:tcW w:w="118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Investments</w:t>
            </w:r>
          </w:p>
        </w:tc>
        <w:tc>
          <w:tcPr>
            <w:tcW w:w="4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Fair Value as of December 31, 2019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59,209,559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125,448,358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1,644,155</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5,283,506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191,585,578</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Sales/Maturity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(10,896,585)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(10,896,585)</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Realized gains</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6,895,603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6,895,603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unrealized appreciation/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included in earnings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(3,540,280)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(21,008,607)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(470,099)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(2,643,062)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(27,662,048)</w:t>
            </w:r>
          </w:p>
        </w:tc>
        <w:tc>
          <w:tcPr>
            <w:tcW w:w="0" w:type="dxa"/>
            <w:vAlign w:val="bottom"/>
          </w:tcPr>
          <w:p>
            <w:pPr>
              <w:spacing w:after="0"/>
              <w:rPr>
                <w:sz w:val="1"/>
                <w:szCs w:val="1"/>
                <w:color w:val="auto"/>
              </w:rPr>
            </w:pPr>
          </w:p>
        </w:tc>
      </w:tr>
      <w:tr>
        <w:trPr>
          <w:trHeight w:val="297"/>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as of March 31, 2020</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55,669,279</w:t>
            </w:r>
          </w:p>
        </w:tc>
        <w:tc>
          <w:tcPr>
            <w:tcW w:w="100" w:type="dxa"/>
            <w:vAlign w:val="bottom"/>
            <w:tcBorders>
              <w:top w:val="single" w:sz="8" w:color="CCEEFF"/>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100,438,769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1,174,056</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2,640,444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159,922,548</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change in unrealized appreciation/</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of Level 3 investments still</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(3,540,280)</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(14,113,004)</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(470,099)</w:t>
            </w:r>
          </w:p>
        </w:tc>
        <w:tc>
          <w:tcPr>
            <w:tcW w:w="12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(2,643,062)</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(20,766,445)</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held as of March 31, 2020</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3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3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aggregate values of Level 3 assets and liabilities changed during the year ended December 31, 2019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center"/>
              <w:ind w:left="794"/>
              <w:spacing w:after="0"/>
              <w:rPr>
                <w:sz w:val="20"/>
                <w:szCs w:val="20"/>
                <w:color w:val="auto"/>
              </w:rPr>
            </w:pPr>
            <w:r>
              <w:rPr>
                <w:rFonts w:ascii="Arial" w:cs="Arial" w:eastAsia="Arial" w:hAnsi="Arial"/>
                <w:sz w:val="14"/>
                <w:szCs w:val="14"/>
                <w:b w:val="1"/>
                <w:bCs w:val="1"/>
                <w:color w:val="auto"/>
                <w:w w:val="92"/>
              </w:rPr>
              <w:t>Year Ended December 31, 2019</w:t>
            </w: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Common</w:t>
            </w:r>
          </w:p>
        </w:tc>
        <w:tc>
          <w:tcPr>
            <w:tcW w:w="280" w:type="dxa"/>
            <w:vAlign w:val="bottom"/>
          </w:tcPr>
          <w:p>
            <w:pPr>
              <w:spacing w:after="0"/>
              <w:rPr>
                <w:sz w:val="13"/>
                <w:szCs w:val="13"/>
                <w:color w:val="auto"/>
              </w:rPr>
            </w:pPr>
          </w:p>
        </w:tc>
        <w:tc>
          <w:tcPr>
            <w:tcW w:w="12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6"/>
              </w:rPr>
              <w:t>Preferred</w:t>
            </w:r>
          </w:p>
        </w:tc>
        <w:tc>
          <w:tcPr>
            <w:tcW w:w="240" w:type="dxa"/>
            <w:vAlign w:val="bottom"/>
          </w:tcPr>
          <w:p>
            <w:pPr>
              <w:spacing w:after="0"/>
              <w:rPr>
                <w:sz w:val="13"/>
                <w:szCs w:val="13"/>
                <w:color w:val="auto"/>
              </w:rPr>
            </w:pPr>
          </w:p>
        </w:tc>
        <w:tc>
          <w:tcPr>
            <w:tcW w:w="13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Debt</w:t>
            </w:r>
          </w:p>
        </w:tc>
        <w:tc>
          <w:tcPr>
            <w:tcW w:w="300" w:type="dxa"/>
            <w:vAlign w:val="bottom"/>
          </w:tcPr>
          <w:p>
            <w:pPr>
              <w:spacing w:after="0"/>
              <w:rPr>
                <w:sz w:val="13"/>
                <w:szCs w:val="13"/>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3"/>
                <w:szCs w:val="13"/>
                <w:color w:val="auto"/>
              </w:rPr>
            </w:pPr>
          </w:p>
        </w:tc>
        <w:tc>
          <w:tcPr>
            <w:tcW w:w="118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Investments</w:t>
            </w:r>
          </w:p>
        </w:tc>
        <w:tc>
          <w:tcPr>
            <w:tcW w:w="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Fair Value as of December 31, 2018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48,517,824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99,856,159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5,584,994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267,446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154,226,423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Transfers out of Level 3</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(21,947,688)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(21,947,688)</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Purchases, capitalized fees, and interest</w:t>
            </w:r>
          </w:p>
        </w:tc>
        <w:tc>
          <w:tcPr>
            <w:tcW w:w="28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15,001,530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10,576,421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359,095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16,618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25,953,664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Sales/Maturity of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(51,511)</w:t>
            </w:r>
          </w:p>
        </w:tc>
        <w:tc>
          <w:tcPr>
            <w:tcW w:w="0" w:type="dxa"/>
            <w:vAlign w:val="bottom"/>
          </w:tcPr>
          <w:p>
            <w:pPr>
              <w:spacing w:after="0"/>
              <w:rPr>
                <w:sz w:val="1"/>
                <w:szCs w:val="1"/>
                <w:color w:val="auto"/>
              </w:rPr>
            </w:pPr>
          </w:p>
        </w:tc>
      </w:tr>
      <w:tr>
        <w:trPr>
          <w:trHeight w:val="270"/>
        </w:trPr>
        <w:tc>
          <w:tcPr>
            <w:tcW w:w="3500" w:type="dxa"/>
            <w:vAlign w:val="bottom"/>
          </w:tcPr>
          <w:p>
            <w:pPr>
              <w:ind w:left="40"/>
              <w:spacing w:after="0" w:line="270" w:lineRule="exact"/>
              <w:rPr>
                <w:sz w:val="20"/>
                <w:szCs w:val="20"/>
                <w:color w:val="auto"/>
              </w:rPr>
            </w:pPr>
            <w:r>
              <w:rPr>
                <w:rFonts w:ascii="Arial" w:cs="Arial" w:eastAsia="Arial" w:hAnsi="Arial"/>
                <w:sz w:val="18"/>
                <w:szCs w:val="18"/>
                <w:color w:val="auto"/>
              </w:rPr>
              <w:t>Exercises and conversions</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(6,435,123)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(2,102,384)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8,538,507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fixed income security</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premiums and discounts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Realized losses</w:t>
            </w:r>
          </w:p>
        </w:tc>
        <w:tc>
          <w:tcPr>
            <w:tcW w:w="2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(16,002,159)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(2,527,865)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(18,530,024)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change in unrealized appreciation/</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 included in earnings</w:t>
            </w: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(4,308,795)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59,400,748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376,761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(3,539,065)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51,929,649</w:t>
            </w:r>
          </w:p>
        </w:tc>
        <w:tc>
          <w:tcPr>
            <w:tcW w:w="0" w:type="dxa"/>
            <w:vAlign w:val="bottom"/>
          </w:tcPr>
          <w:p>
            <w:pPr>
              <w:spacing w:after="0"/>
              <w:rPr>
                <w:sz w:val="1"/>
                <w:szCs w:val="1"/>
                <w:color w:val="auto"/>
              </w:rPr>
            </w:pPr>
          </w:p>
        </w:tc>
      </w:tr>
      <w:tr>
        <w:trPr>
          <w:trHeight w:val="297"/>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as of December 31, 2019</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59,209,559</w:t>
            </w:r>
          </w:p>
        </w:tc>
        <w:tc>
          <w:tcPr>
            <w:tcW w:w="100" w:type="dxa"/>
            <w:vAlign w:val="bottom"/>
            <w:tcBorders>
              <w:top w:val="single" w:sz="8" w:color="CCEEFF"/>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125,448,358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1,644,155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5,283,506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191,585,578</w:t>
            </w:r>
          </w:p>
        </w:tc>
        <w:tc>
          <w:tcPr>
            <w:tcW w:w="0" w:type="dxa"/>
            <w:vAlign w:val="bottom"/>
          </w:tcPr>
          <w:p>
            <w:pPr>
              <w:spacing w:after="0"/>
              <w:rPr>
                <w:sz w:val="1"/>
                <w:szCs w:val="1"/>
                <w:color w:val="auto"/>
              </w:rPr>
            </w:pPr>
          </w:p>
        </w:tc>
      </w:tr>
      <w:tr>
        <w:trPr>
          <w:trHeight w:val="189"/>
        </w:trPr>
        <w:tc>
          <w:tcPr>
            <w:tcW w:w="350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Net change in unrealized appreciation/</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of Level 3 investments still</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(4,309,794)</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38,560,931</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(907,009)</w:t>
            </w:r>
          </w:p>
        </w:tc>
        <w:tc>
          <w:tcPr>
            <w:tcW w:w="12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(3,539,066)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29,805,062</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held as of December 31, 2019</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13"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During the year ended December 31, 2019, the Company’s portfolio investments had the following corporate actions which are reflected above:</w:t>
      </w:r>
    </w:p>
    <w:p>
      <w:pPr>
        <w:sectPr>
          <w:pgSz w:w="11900" w:h="16838" w:orient="portrait"/>
          <w:cols w:equalWidth="0" w:num="1">
            <w:col w:w="11240"/>
          </w:cols>
          <w:pgMar w:left="320" w:top="121" w:right="339" w:bottom="1440" w:gutter="0" w:footer="0" w:header="0"/>
        </w:sectPr>
      </w:pPr>
    </w:p>
    <w:p>
      <w:pPr>
        <w:spacing w:after="0" w:line="17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Portfolio Company</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6"/>
          <w:szCs w:val="16"/>
          <w:color w:val="auto"/>
        </w:rPr>
        <w:t>Lyft, Inc.</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Ozy Media, Inc.</w:t>
      </w: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NestGSV, Inc (d/b/a GSV Labs, Inc.)</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1440"/>
        <w:spacing w:after="0"/>
        <w:rPr>
          <w:sz w:val="20"/>
          <w:szCs w:val="20"/>
          <w:color w:val="auto"/>
        </w:rPr>
      </w:pPr>
      <w:r>
        <w:rPr>
          <w:rFonts w:ascii="Arial" w:cs="Arial" w:eastAsia="Arial" w:hAnsi="Arial"/>
          <w:sz w:val="16"/>
          <w:szCs w:val="16"/>
          <w:b w:val="1"/>
          <w:bCs w:val="1"/>
          <w:color w:val="auto"/>
        </w:rPr>
        <w:t>Conversion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37465</wp:posOffset>
            </wp:positionV>
            <wp:extent cx="7132320" cy="300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Preferred shares, Series D</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Preferred shares, Series E</w:t>
      </w:r>
    </w:p>
    <w:p>
      <w:pPr>
        <w:spacing w:after="0" w:line="80" w:lineRule="exact"/>
        <w:rPr>
          <w:sz w:val="20"/>
          <w:szCs w:val="20"/>
          <w:color w:val="auto"/>
        </w:rPr>
      </w:pPr>
    </w:p>
    <w:p>
      <w:pPr>
        <w:jc w:val="center"/>
        <w:ind w:right="1440"/>
        <w:spacing w:after="0"/>
        <w:rPr>
          <w:sz w:val="20"/>
          <w:szCs w:val="20"/>
          <w:color w:val="auto"/>
        </w:rPr>
      </w:pPr>
      <w:r>
        <w:rPr>
          <w:rFonts w:ascii="Arial" w:cs="Arial" w:eastAsia="Arial" w:hAnsi="Arial"/>
          <w:sz w:val="14"/>
          <w:szCs w:val="14"/>
          <w:color w:val="auto"/>
        </w:rPr>
        <w:t>Convertible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58420</wp:posOffset>
            </wp:positionV>
            <wp:extent cx="7132320" cy="677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677545"/>
                    </a:xfrm>
                    <a:prstGeom prst="rect">
                      <a:avLst/>
                    </a:prstGeom>
                    <a:noFill/>
                  </pic:spPr>
                </pic:pic>
              </a:graphicData>
            </a:graphic>
          </wp:anchor>
        </w:drawing>
      </w:r>
    </w:p>
    <w:p>
      <w:pPr>
        <w:spacing w:after="0" w:line="89" w:lineRule="exact"/>
        <w:rPr>
          <w:sz w:val="20"/>
          <w:szCs w:val="20"/>
          <w:color w:val="auto"/>
        </w:rPr>
      </w:pPr>
    </w:p>
    <w:p>
      <w:pPr>
        <w:jc w:val="center"/>
        <w:ind w:right="1440"/>
        <w:spacing w:after="0"/>
        <w:rPr>
          <w:sz w:val="20"/>
          <w:szCs w:val="20"/>
          <w:color w:val="auto"/>
        </w:rPr>
      </w:pPr>
      <w:r>
        <w:rPr>
          <w:rFonts w:ascii="Arial" w:cs="Arial" w:eastAsia="Arial" w:hAnsi="Arial"/>
          <w:sz w:val="16"/>
          <w:szCs w:val="16"/>
          <w:color w:val="auto"/>
        </w:rPr>
        <w:t>Common shares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shares, Series A-1</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shares, Series A-2</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shares, Series A-3</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shares, Series A-4</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660"/>
        <w:spacing w:after="0"/>
        <w:rPr>
          <w:sz w:val="20"/>
          <w:szCs w:val="20"/>
          <w:color w:val="auto"/>
        </w:rPr>
      </w:pPr>
      <w:r>
        <w:rPr>
          <w:rFonts w:ascii="Arial" w:cs="Arial" w:eastAsia="Arial" w:hAnsi="Arial"/>
          <w:sz w:val="16"/>
          <w:szCs w:val="16"/>
          <w:b w:val="1"/>
          <w:bCs w:val="1"/>
          <w:color w:val="auto"/>
        </w:rPr>
        <w:t>Conversion to</w:t>
      </w:r>
    </w:p>
    <w:p>
      <w:pPr>
        <w:spacing w:after="0" w:line="185" w:lineRule="exact"/>
        <w:rPr>
          <w:sz w:val="20"/>
          <w:szCs w:val="20"/>
          <w:color w:val="auto"/>
        </w:rPr>
      </w:pPr>
    </w:p>
    <w:p>
      <w:pPr>
        <w:jc w:val="center"/>
        <w:ind w:right="660"/>
        <w:spacing w:after="0"/>
        <w:rPr>
          <w:sz w:val="20"/>
          <w:szCs w:val="20"/>
          <w:color w:val="auto"/>
        </w:rPr>
      </w:pPr>
      <w:r>
        <w:rPr>
          <w:rFonts w:ascii="Arial" w:cs="Arial" w:eastAsia="Arial" w:hAnsi="Arial"/>
          <w:sz w:val="14"/>
          <w:szCs w:val="14"/>
          <w:color w:val="auto"/>
        </w:rPr>
        <w:t>Public Common Shares (Level 2)</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Preferred shares, Series C-2</w:t>
      </w:r>
    </w:p>
    <w:p>
      <w:pPr>
        <w:spacing w:after="0" w:line="200" w:lineRule="exact"/>
        <w:rPr>
          <w:sz w:val="20"/>
          <w:szCs w:val="20"/>
          <w:color w:val="auto"/>
        </w:rPr>
      </w:pPr>
    </w:p>
    <w:p>
      <w:pPr>
        <w:spacing w:after="0" w:line="30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Derivative Security</w:t>
      </w:r>
    </w:p>
    <w:p>
      <w:pPr>
        <w:spacing w:after="0" w:line="585" w:lineRule="exact"/>
        <w:rPr>
          <w:sz w:val="20"/>
          <w:szCs w:val="20"/>
          <w:color w:val="auto"/>
        </w:rPr>
      </w:pPr>
    </w:p>
    <w:p>
      <w:pPr>
        <w:sectPr>
          <w:pgSz w:w="11900" w:h="16838" w:orient="portrait"/>
          <w:cols w:equalWidth="0" w:num="3">
            <w:col w:w="3640" w:space="720"/>
            <w:col w:w="3340" w:space="720"/>
            <w:col w:w="2820"/>
          </w:cols>
          <w:pgMar w:left="320" w:top="121" w:right="339" w:bottom="1440" w:gutter="0" w:footer="0" w:header="0"/>
          <w:type w:val="continuous"/>
        </w:sectPr>
      </w:pP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29" w:lineRule="exact"/>
        <w:rPr>
          <w:sz w:val="20"/>
          <w:szCs w:val="20"/>
          <w:color w:val="auto"/>
        </w:rPr>
      </w:pPr>
    </w:p>
    <w:p>
      <w:pPr>
        <w:ind w:right="80" w:firstLine="351"/>
        <w:spacing w:after="0" w:line="277" w:lineRule="auto"/>
        <w:rPr>
          <w:sz w:val="20"/>
          <w:szCs w:val="20"/>
          <w:color w:val="auto"/>
        </w:rPr>
      </w:pPr>
      <w:r>
        <w:rPr>
          <w:rFonts w:ascii="Arial" w:cs="Arial" w:eastAsia="Arial" w:hAnsi="Arial"/>
          <w:sz w:val="18"/>
          <w:szCs w:val="18"/>
          <w:color w:val="auto"/>
        </w:rPr>
        <w:t>Transactions during the three months ended March 31, 2020 involving the Company’s controlled investments and non-controlled/affiliate investments were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Interest, Fees,</w:t>
            </w:r>
          </w:p>
        </w:tc>
        <w:tc>
          <w:tcPr>
            <w:tcW w:w="10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Purchases,</w:t>
            </w: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78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0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8"/>
              </w:rPr>
              <w:t>Principal/</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Dividends</w:t>
            </w:r>
          </w:p>
        </w:tc>
        <w:tc>
          <w:tcPr>
            <w:tcW w:w="102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Fees,</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Realized</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Unrealized</w:t>
            </w:r>
          </w:p>
        </w:tc>
        <w:tc>
          <w:tcPr>
            <w:tcW w:w="9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Type/Industry/Portfolio Company/Investment</w:t>
            </w:r>
          </w:p>
        </w:tc>
        <w:tc>
          <w:tcPr>
            <w:tcW w:w="100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Credited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0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March 31,</w:t>
            </w:r>
          </w:p>
        </w:tc>
        <w:tc>
          <w:tcPr>
            <w:tcW w:w="78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0"/>
              </w:rPr>
              <w:t>of Net</w:t>
            </w:r>
          </w:p>
        </w:tc>
        <w:tc>
          <w:tcPr>
            <w:tcW w:w="0" w:type="dxa"/>
            <w:vAlign w:val="bottom"/>
          </w:tcPr>
          <w:p>
            <w:pPr>
              <w:spacing w:after="0"/>
              <w:rPr>
                <w:sz w:val="1"/>
                <w:szCs w:val="1"/>
                <w:color w:val="auto"/>
              </w:rPr>
            </w:pPr>
          </w:p>
        </w:tc>
      </w:tr>
      <w:tr>
        <w:trPr>
          <w:trHeight w:val="186"/>
        </w:trPr>
        <w:tc>
          <w:tcPr>
            <w:tcW w:w="3080" w:type="dxa"/>
            <w:vAlign w:val="bottom"/>
            <w:vMerge w:val="continue"/>
          </w:tcPr>
          <w:p>
            <w:pPr>
              <w:spacing w:after="0"/>
              <w:rPr>
                <w:sz w:val="16"/>
                <w:szCs w:val="16"/>
                <w:color w:val="auto"/>
              </w:rPr>
            </w:pPr>
          </w:p>
        </w:tc>
        <w:tc>
          <w:tcPr>
            <w:tcW w:w="1000" w:type="dxa"/>
            <w:vAlign w:val="bottom"/>
          </w:tcPr>
          <w:p>
            <w:pPr>
              <w:jc w:val="center"/>
              <w:ind w:left="28"/>
              <w:spacing w:after="0"/>
              <w:rPr>
                <w:sz w:val="20"/>
                <w:szCs w:val="20"/>
                <w:color w:val="auto"/>
              </w:rPr>
            </w:pPr>
            <w:r>
              <w:rPr>
                <w:rFonts w:ascii="Arial" w:cs="Arial" w:eastAsia="Arial" w:hAnsi="Arial"/>
                <w:sz w:val="14"/>
                <w:szCs w:val="14"/>
                <w:b w:val="1"/>
                <w:bCs w:val="1"/>
                <w:color w:val="auto"/>
                <w:w w:val="95"/>
              </w:rPr>
              <w:t>Quantity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in Income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31, 2019</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780" w:type="dxa"/>
            <w:vAlign w:val="bottom"/>
          </w:tcPr>
          <w:p>
            <w:pPr>
              <w:jc w:val="center"/>
              <w:ind w:left="4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b w:val="1"/>
          <w:bCs w:val="1"/>
          <w:u w:val="single" w:color="auto"/>
          <w:color w:val="auto"/>
        </w:rPr>
        <w:t>CONTROLLED INVESTMENTS</w:t>
      </w:r>
      <w:r>
        <w:rPr>
          <w:rFonts w:ascii="Arial" w:cs="Arial" w:eastAsia="Arial" w:hAnsi="Arial"/>
          <w:sz w:val="16"/>
          <w:szCs w:val="16"/>
          <w:b w:val="1"/>
          <w:bCs w:val="1"/>
          <w:color w:val="auto"/>
        </w:rPr>
        <w:t>*</w:t>
      </w:r>
      <w:r>
        <w:rPr>
          <w:rFonts w:ascii="Arial" w:cs="Arial" w:eastAsia="Arial" w:hAnsi="Arial"/>
          <w:sz w:val="21"/>
          <w:szCs w:val="21"/>
          <w:b w:val="1"/>
          <w:bCs w:val="1"/>
          <w:color w:val="auto"/>
          <w:vertAlign w:val="superscript"/>
        </w:rPr>
        <w:t>(2)</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75"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Clean Technology</w:t>
      </w:r>
    </w:p>
    <w:p>
      <w:pPr>
        <w:spacing w:after="0" w:line="73" w:lineRule="exact"/>
        <w:rPr>
          <w:sz w:val="20"/>
          <w:szCs w:val="20"/>
          <w:color w:val="auto"/>
        </w:rPr>
      </w:pPr>
    </w:p>
    <w:p>
      <w:pPr>
        <w:ind w:left="280" w:right="200"/>
        <w:spacing w:after="0" w:line="270" w:lineRule="auto"/>
        <w:rPr>
          <w:sz w:val="20"/>
          <w:szCs w:val="20"/>
          <w:color w:val="auto"/>
        </w:rPr>
      </w:pPr>
      <w:r>
        <w:rPr>
          <w:rFonts w:ascii="Arial" w:cs="Arial" w:eastAsia="Arial" w:hAnsi="Arial"/>
          <w:sz w:val="16"/>
          <w:szCs w:val="16"/>
          <w:color w:val="auto"/>
        </w:rPr>
        <w:t>SPBRX, INC. (f/k/a GSV Sustainability Partners, Inc.)–Preferred shares, Class A***</w:t>
      </w:r>
      <w:r>
        <w:rPr>
          <w:rFonts w:ascii="Arial" w:cs="Arial" w:eastAsia="Arial" w:hAnsi="Arial"/>
          <w:sz w:val="21"/>
          <w:szCs w:val="21"/>
          <w:color w:val="auto"/>
          <w:vertAlign w:val="superscript"/>
        </w:rPr>
        <w:t>(4)</w:t>
      </w:r>
    </w:p>
    <w:p>
      <w:pPr>
        <w:ind w:left="40"/>
        <w:spacing w:after="0"/>
        <w:rPr>
          <w:sz w:val="20"/>
          <w:szCs w:val="20"/>
          <w:color w:val="auto"/>
        </w:rPr>
      </w:pPr>
      <w:r>
        <w:rPr>
          <w:rFonts w:ascii="Arial" w:cs="Arial" w:eastAsia="Arial" w:hAnsi="Arial"/>
          <w:sz w:val="16"/>
          <w:szCs w:val="16"/>
          <w:b w:val="1"/>
          <w:bCs w:val="1"/>
          <w:color w:val="auto"/>
        </w:rPr>
        <w:t>Total Preferred Stock</w:t>
      </w:r>
    </w:p>
    <w:p>
      <w:pPr>
        <w:spacing w:after="0" w:line="7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Common Stock</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Clean Technology</w:t>
      </w:r>
    </w:p>
    <w:p>
      <w:pPr>
        <w:spacing w:after="0" w:line="73" w:lineRule="exact"/>
        <w:rPr>
          <w:sz w:val="20"/>
          <w:szCs w:val="20"/>
          <w:color w:val="auto"/>
        </w:rPr>
      </w:pPr>
    </w:p>
    <w:p>
      <w:pPr>
        <w:ind w:left="280" w:right="200"/>
        <w:spacing w:after="0" w:line="325" w:lineRule="auto"/>
        <w:rPr>
          <w:sz w:val="20"/>
          <w:szCs w:val="20"/>
          <w:color w:val="auto"/>
        </w:rPr>
      </w:pPr>
      <w:r>
        <w:rPr>
          <w:rFonts w:ascii="Arial" w:cs="Arial" w:eastAsia="Arial" w:hAnsi="Arial"/>
          <w:sz w:val="15"/>
          <w:szCs w:val="15"/>
          <w:color w:val="auto"/>
        </w:rPr>
        <w:t>SPBRX, INC. (f/k/a GSV Sustainability Partners, Inc.)–Common shares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Common Stock</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CONTROLLED INVESTMENTS*</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(2)</w:t>
      </w:r>
    </w:p>
    <w:p>
      <w:pPr>
        <w:spacing w:after="0" w:line="41" w:lineRule="exact"/>
        <w:rPr>
          <w:sz w:val="20"/>
          <w:szCs w:val="20"/>
          <w:color w:val="auto"/>
        </w:rPr>
      </w:pPr>
    </w:p>
    <w:p>
      <w:pPr>
        <w:ind w:left="40" w:right="560"/>
        <w:spacing w:after="0" w:line="274" w:lineRule="auto"/>
        <w:rPr>
          <w:sz w:val="20"/>
          <w:szCs w:val="20"/>
          <w:color w:val="auto"/>
        </w:rPr>
      </w:pPr>
      <w:r>
        <w:rPr>
          <w:rFonts w:ascii="Arial" w:cs="Arial" w:eastAsia="Arial" w:hAnsi="Arial"/>
          <w:sz w:val="16"/>
          <w:szCs w:val="16"/>
          <w:b w:val="1"/>
          <w:bCs w:val="1"/>
          <w:u w:val="single" w:color="auto"/>
          <w:color w:val="auto"/>
        </w:rPr>
        <w:t>NON-CONTROLLED/AFFILIATE INVESTMENTS</w:t>
      </w:r>
      <w:r>
        <w:rPr>
          <w:rFonts w:ascii="Arial" w:cs="Arial" w:eastAsia="Arial" w:hAnsi="Arial"/>
          <w:sz w:val="16"/>
          <w:szCs w:val="16"/>
          <w:b w:val="1"/>
          <w:bCs w:val="1"/>
          <w:color w:val="auto"/>
        </w:rPr>
        <w:t>*</w:t>
      </w:r>
      <w:r>
        <w:rPr>
          <w:rFonts w:ascii="Arial" w:cs="Arial" w:eastAsia="Arial" w:hAnsi="Arial"/>
          <w:sz w:val="21"/>
          <w:szCs w:val="21"/>
          <w:b w:val="1"/>
          <w:bCs w:val="1"/>
          <w:color w:val="auto"/>
          <w:vertAlign w:val="superscript"/>
        </w:rPr>
        <w:t>(1)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Debt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1" w:lineRule="exact"/>
        <w:rPr>
          <w:sz w:val="1"/>
          <w:szCs w:val="1"/>
          <w:color w:val="auto"/>
        </w:rPr>
      </w:pPr>
    </w:p>
    <w:tbl>
      <w:tblPr>
        <w:tblLayout w:type="fixed"/>
        <w:tblInd w:w="140" w:type="dxa"/>
        <w:tblCellMar>
          <w:top w:w="0" w:type="dxa"/>
          <w:left w:w="0" w:type="dxa"/>
          <w:bottom w:w="0" w:type="dxa"/>
          <w:right w:w="0" w:type="dxa"/>
        </w:tblCellMar>
      </w:tblPr>
      <w:tr>
        <w:trPr>
          <w:trHeight w:val="206"/>
        </w:trPr>
        <w:tc>
          <w:tcPr>
            <w:tcW w:w="860" w:type="dxa"/>
            <w:vAlign w:val="bottom"/>
          </w:tcPr>
          <w:p>
            <w:pPr>
              <w:jc w:val="right"/>
              <w:ind w:right="39"/>
              <w:spacing w:after="0"/>
              <w:rPr>
                <w:sz w:val="20"/>
                <w:szCs w:val="20"/>
                <w:color w:val="auto"/>
              </w:rPr>
            </w:pPr>
            <w:r>
              <w:rPr>
                <w:rFonts w:ascii="Arial" w:cs="Arial" w:eastAsia="Arial" w:hAnsi="Arial"/>
                <w:sz w:val="16"/>
                <w:szCs w:val="16"/>
                <w:color w:val="auto"/>
                <w:w w:val="89"/>
              </w:rPr>
              <w:t>14,300,000</w:t>
            </w: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775,198</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60" w:type="dxa"/>
            <w:vAlign w:val="bottom"/>
          </w:tcPr>
          <w:p>
            <w:pPr>
              <w:ind w:left="2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(45,698)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w w:val="96"/>
              </w:rPr>
              <w:t>729,500</w:t>
            </w:r>
          </w:p>
        </w:tc>
        <w:tc>
          <w:tcPr>
            <w:tcW w:w="680" w:type="dxa"/>
            <w:vAlign w:val="bottom"/>
          </w:tcPr>
          <w:p>
            <w:pPr>
              <w:jc w:val="right"/>
              <w:spacing w:after="0"/>
              <w:rPr>
                <w:sz w:val="20"/>
                <w:szCs w:val="20"/>
                <w:color w:val="auto"/>
              </w:rPr>
            </w:pPr>
            <w:r>
              <w:rPr>
                <w:rFonts w:ascii="Arial" w:cs="Arial" w:eastAsia="Arial" w:hAnsi="Arial"/>
                <w:sz w:val="16"/>
                <w:szCs w:val="16"/>
                <w:color w:val="auto"/>
              </w:rPr>
              <w:t>0.42%</w:t>
            </w:r>
          </w:p>
        </w:tc>
      </w:tr>
      <w:tr>
        <w:trPr>
          <w:trHeight w:val="270"/>
        </w:trPr>
        <w:tc>
          <w:tcPr>
            <w:tcW w:w="860" w:type="dxa"/>
            <w:vAlign w:val="bottom"/>
          </w:tcPr>
          <w:p>
            <w:pPr>
              <w:spacing w:after="0"/>
              <w:rPr>
                <w:sz w:val="23"/>
                <w:szCs w:val="23"/>
                <w:color w:val="auto"/>
              </w:rPr>
            </w:pPr>
          </w:p>
        </w:tc>
        <w:tc>
          <w:tcPr>
            <w:tcW w:w="5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580" w:type="dxa"/>
            <w:vAlign w:val="bottom"/>
          </w:tcPr>
          <w:p>
            <w:pPr>
              <w:ind w:left="280"/>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775,198</w:t>
            </w:r>
          </w:p>
        </w:tc>
        <w:tc>
          <w:tcPr>
            <w:tcW w:w="5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60" w:type="dxa"/>
            <w:vAlign w:val="bottom"/>
          </w:tcPr>
          <w:p>
            <w:pPr>
              <w:ind w:left="2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(45,698)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9"/>
              <w:spacing w:after="0"/>
              <w:rPr>
                <w:sz w:val="20"/>
                <w:szCs w:val="20"/>
                <w:color w:val="auto"/>
              </w:rPr>
            </w:pPr>
            <w:r>
              <w:rPr>
                <w:rFonts w:ascii="Arial" w:cs="Arial" w:eastAsia="Arial" w:hAnsi="Arial"/>
                <w:sz w:val="16"/>
                <w:szCs w:val="16"/>
                <w:color w:val="auto"/>
                <w:w w:val="96"/>
              </w:rPr>
              <w:t>729,500</w:t>
            </w:r>
          </w:p>
        </w:tc>
        <w:tc>
          <w:tcPr>
            <w:tcW w:w="680" w:type="dxa"/>
            <w:vAlign w:val="bottom"/>
          </w:tcPr>
          <w:p>
            <w:pPr>
              <w:jc w:val="right"/>
              <w:spacing w:after="0"/>
              <w:rPr>
                <w:sz w:val="20"/>
                <w:szCs w:val="20"/>
                <w:color w:val="auto"/>
              </w:rPr>
            </w:pPr>
            <w:r>
              <w:rPr>
                <w:rFonts w:ascii="Arial" w:cs="Arial" w:eastAsia="Arial" w:hAnsi="Arial"/>
                <w:sz w:val="16"/>
                <w:szCs w:val="16"/>
                <w:color w:val="auto"/>
              </w:rPr>
              <w:t>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-149860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192405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0" w:type="dxa"/>
            <w:vAlign w:val="bottom"/>
          </w:tcPr>
          <w:p>
            <w:pPr>
              <w:jc w:val="right"/>
              <w:ind w:right="19"/>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   $</w:t>
            </w:r>
          </w:p>
        </w:tc>
        <w:tc>
          <w:tcPr>
            <w:tcW w:w="1240" w:type="dxa"/>
            <w:vAlign w:val="bottom"/>
            <w:gridSpan w:val="3"/>
          </w:tcPr>
          <w:p>
            <w:pPr>
              <w:jc w:val="right"/>
              <w:ind w:right="239"/>
              <w:spacing w:after="0"/>
              <w:rPr>
                <w:sz w:val="20"/>
                <w:szCs w:val="20"/>
                <w:color w:val="auto"/>
              </w:rPr>
            </w:pPr>
            <w:r>
              <w:rPr>
                <w:rFonts w:ascii="Arial" w:cs="Arial" w:eastAsia="Arial" w:hAnsi="Arial"/>
                <w:sz w:val="16"/>
                <w:szCs w:val="16"/>
                <w:color w:val="auto"/>
              </w:rPr>
              <w:t>—   $</w:t>
            </w:r>
          </w:p>
        </w:tc>
        <w:tc>
          <w:tcPr>
            <w:tcW w:w="1060" w:type="dxa"/>
            <w:vAlign w:val="bottom"/>
            <w:gridSpan w:val="3"/>
          </w:tcPr>
          <w:p>
            <w:pPr>
              <w:jc w:val="right"/>
              <w:ind w:right="199"/>
              <w:spacing w:after="0"/>
              <w:rPr>
                <w:sz w:val="20"/>
                <w:szCs w:val="20"/>
                <w:color w:val="auto"/>
              </w:rPr>
            </w:pPr>
            <w:r>
              <w:rPr>
                <w:rFonts w:ascii="Arial" w:cs="Arial" w:eastAsia="Arial" w:hAnsi="Arial"/>
                <w:sz w:val="16"/>
                <w:szCs w:val="16"/>
                <w:color w:val="auto"/>
              </w:rPr>
              <w:t>—   $</w:t>
            </w:r>
          </w:p>
        </w:tc>
        <w:tc>
          <w:tcPr>
            <w:tcW w:w="880" w:type="dxa"/>
            <w:vAlign w:val="bottom"/>
            <w:gridSpan w:val="3"/>
          </w:tcPr>
          <w:p>
            <w:pPr>
              <w:jc w:val="right"/>
              <w:ind w:right="39"/>
              <w:spacing w:after="0"/>
              <w:rPr>
                <w:sz w:val="20"/>
                <w:szCs w:val="20"/>
                <w:color w:val="auto"/>
              </w:rPr>
            </w:pPr>
            <w:r>
              <w:rPr>
                <w:rFonts w:ascii="Arial" w:cs="Arial" w:eastAsia="Arial" w:hAnsi="Arial"/>
                <w:sz w:val="16"/>
                <w:szCs w:val="16"/>
                <w:color w:val="auto"/>
              </w:rPr>
              <w:t>—   $</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980" w:type="dxa"/>
            <w:vAlign w:val="bottom"/>
            <w:tcBorders>
              <w:bottom w:val="single" w:sz="8" w:color="CCEEFF"/>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25"/>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ind w:left="2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775,198</w:t>
            </w:r>
          </w:p>
        </w:tc>
        <w:tc>
          <w:tcPr>
            <w:tcW w:w="12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680" w:type="dxa"/>
            <w:vAlign w:val="bottom"/>
            <w:gridSpan w:val="2"/>
          </w:tcPr>
          <w:p>
            <w:pPr>
              <w:ind w:left="300"/>
              <w:spacing w:after="0"/>
              <w:rPr>
                <w:sz w:val="20"/>
                <w:szCs w:val="20"/>
                <w:color w:val="auto"/>
              </w:rPr>
            </w:pPr>
            <w:r>
              <w:rPr>
                <w:rFonts w:ascii="Arial" w:cs="Arial" w:eastAsia="Arial" w:hAnsi="Arial"/>
                <w:sz w:val="16"/>
                <w:szCs w:val="16"/>
                <w:b w:val="1"/>
                <w:bCs w:val="1"/>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660" w:type="dxa"/>
            <w:vAlign w:val="bottom"/>
            <w:gridSpan w:val="2"/>
          </w:tcPr>
          <w:p>
            <w:pPr>
              <w:ind w:left="2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(45,698)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b w:val="1"/>
                <w:bCs w:val="1"/>
                <w:color w:val="auto"/>
                <w:w w:val="96"/>
              </w:rPr>
              <w:t>729,500</w:t>
            </w: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0.42%</w:t>
            </w:r>
          </w:p>
        </w:tc>
      </w:tr>
      <w:tr>
        <w:trPr>
          <w:trHeight w:val="33"/>
        </w:trPr>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-16510</wp:posOffset>
            </wp:positionV>
            <wp:extent cx="7132320" cy="291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445770</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-1975485</wp:posOffset>
            </wp:positionH>
            <wp:positionV relativeFrom="paragraph">
              <wp:posOffset>-436245</wp:posOffset>
            </wp:positionV>
            <wp:extent cx="7132320" cy="1797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732" w:lineRule="exact"/>
        <w:rPr>
          <w:sz w:val="20"/>
          <w:szCs w:val="20"/>
          <w:color w:val="auto"/>
        </w:rPr>
      </w:pPr>
    </w:p>
    <w:p>
      <w:pPr>
        <w:sectPr>
          <w:pgSz w:w="11900" w:h="16838" w:orient="portrait"/>
          <w:cols w:equalWidth="0" w:num="2">
            <w:col w:w="3080" w:space="40"/>
            <w:col w:w="8120"/>
          </w:cols>
          <w:pgMar w:left="320" w:top="121" w:right="339" w:bottom="1440" w:gutter="0" w:footer="0" w:header="0"/>
          <w:type w:val="continuous"/>
        </w:sectPr>
      </w:pPr>
    </w:p>
    <w:p>
      <w:pPr>
        <w:ind w:left="180"/>
        <w:spacing w:after="0"/>
        <w:rPr>
          <w:sz w:val="20"/>
          <w:szCs w:val="20"/>
          <w:color w:val="auto"/>
        </w:rPr>
      </w:pPr>
      <w:r>
        <w:rPr>
          <w:rFonts w:ascii="Arial" w:cs="Arial" w:eastAsia="Arial" w:hAnsi="Arial"/>
          <w:sz w:val="16"/>
          <w:szCs w:val="16"/>
          <w:i w:val="1"/>
          <w:iCs w:val="1"/>
          <w:color w:val="auto"/>
        </w:rPr>
        <w:t>Corporate Education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20" w:type="dxa"/>
            <w:vAlign w:val="bottom"/>
          </w:tcPr>
          <w:p>
            <w:pPr>
              <w:ind w:left="280"/>
              <w:spacing w:after="0"/>
              <w:rPr>
                <w:sz w:val="20"/>
                <w:szCs w:val="20"/>
                <w:color w:val="auto"/>
              </w:rPr>
            </w:pPr>
            <w:r>
              <w:rPr>
                <w:rFonts w:ascii="Arial" w:cs="Arial" w:eastAsia="Arial" w:hAnsi="Arial"/>
                <w:sz w:val="16"/>
                <w:szCs w:val="16"/>
                <w:color w:val="auto"/>
              </w:rPr>
              <w:t>CUX, Inc. (d/b/a CorpU)–Senior</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120" w:type="dxa"/>
            <w:vAlign w:val="bottom"/>
          </w:tcPr>
          <w:p>
            <w:pPr>
              <w:ind w:left="280"/>
              <w:spacing w:after="0"/>
              <w:rPr>
                <w:sz w:val="20"/>
                <w:szCs w:val="20"/>
                <w:color w:val="auto"/>
              </w:rPr>
            </w:pPr>
            <w:r>
              <w:rPr>
                <w:rFonts w:ascii="Arial" w:cs="Arial" w:eastAsia="Arial" w:hAnsi="Arial"/>
                <w:sz w:val="16"/>
                <w:szCs w:val="16"/>
                <w:color w:val="auto"/>
                <w:w w:val="92"/>
              </w:rPr>
              <w:t>Subordinated Convertible Promissory Note</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9"/>
        </w:trPr>
        <w:tc>
          <w:tcPr>
            <w:tcW w:w="3120" w:type="dxa"/>
            <w:vAlign w:val="bottom"/>
          </w:tcPr>
          <w:p>
            <w:pPr>
              <w:ind w:left="280"/>
              <w:spacing w:after="0" w:line="239" w:lineRule="exact"/>
              <w:rPr>
                <w:sz w:val="20"/>
                <w:szCs w:val="20"/>
                <w:color w:val="auto"/>
              </w:rPr>
            </w:pPr>
            <w:r>
              <w:rPr>
                <w:rFonts w:ascii="Arial" w:cs="Arial" w:eastAsia="Arial" w:hAnsi="Arial"/>
                <w:sz w:val="16"/>
                <w:szCs w:val="16"/>
                <w:color w:val="auto"/>
              </w:rPr>
              <w:t>4% Due 2/14/2023</w:t>
            </w:r>
            <w:r>
              <w:rPr>
                <w:rFonts w:ascii="Arial" w:cs="Arial" w:eastAsia="Arial" w:hAnsi="Arial"/>
                <w:sz w:val="21"/>
                <w:szCs w:val="21"/>
                <w:color w:val="auto"/>
                <w:vertAlign w:val="superscript"/>
              </w:rPr>
              <w:t>(3)</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$1,251,158</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312,789</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312,789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0.18%</w:t>
            </w: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0"/>
        </w:trPr>
        <w:tc>
          <w:tcPr>
            <w:tcW w:w="3120" w:type="dxa"/>
            <w:vAlign w:val="bottom"/>
          </w:tcPr>
          <w:p>
            <w:pPr>
              <w:ind w:left="280"/>
              <w:spacing w:after="0"/>
              <w:rPr>
                <w:sz w:val="20"/>
                <w:szCs w:val="20"/>
                <w:color w:val="auto"/>
              </w:rPr>
            </w:pPr>
            <w:r>
              <w:rPr>
                <w:rFonts w:ascii="Arial" w:cs="Arial" w:eastAsia="Arial" w:hAnsi="Arial"/>
                <w:sz w:val="16"/>
                <w:szCs w:val="16"/>
                <w:color w:val="auto"/>
              </w:rPr>
              <w:t>NestGSV, Inc. (d/b/a GSV Labs, Inc.) –</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3120" w:type="dxa"/>
            <w:vAlign w:val="bottom"/>
          </w:tcPr>
          <w:p>
            <w:pPr>
              <w:ind w:left="280"/>
              <w:spacing w:after="0"/>
              <w:rPr>
                <w:sz w:val="20"/>
                <w:szCs w:val="20"/>
                <w:color w:val="auto"/>
              </w:rPr>
            </w:pPr>
            <w:r>
              <w:rPr>
                <w:rFonts w:ascii="Arial" w:cs="Arial" w:eastAsia="Arial" w:hAnsi="Arial"/>
                <w:sz w:val="16"/>
                <w:szCs w:val="16"/>
                <w:color w:val="auto"/>
              </w:rPr>
              <w:t>Convertible Promissory Note 8% Due</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9"/>
        </w:trPr>
        <w:tc>
          <w:tcPr>
            <w:tcW w:w="3120" w:type="dxa"/>
            <w:vAlign w:val="bottom"/>
          </w:tcPr>
          <w:p>
            <w:pPr>
              <w:ind w:left="280"/>
              <w:spacing w:after="0" w:line="239" w:lineRule="exact"/>
              <w:rPr>
                <w:sz w:val="20"/>
                <w:szCs w:val="20"/>
                <w:color w:val="auto"/>
              </w:rPr>
            </w:pPr>
            <w:r>
              <w:rPr>
                <w:rFonts w:ascii="Arial" w:cs="Arial" w:eastAsia="Arial" w:hAnsi="Arial"/>
                <w:sz w:val="16"/>
                <w:szCs w:val="16"/>
                <w:color w:val="auto"/>
              </w:rPr>
              <w:t>8/23/2024</w:t>
            </w:r>
            <w:r>
              <w:rPr>
                <w:rFonts w:ascii="Arial" w:cs="Arial" w:eastAsia="Arial" w:hAnsi="Arial"/>
                <w:sz w:val="21"/>
                <w:szCs w:val="21"/>
                <w:color w:val="auto"/>
                <w:vertAlign w:val="superscript"/>
              </w:rPr>
              <w:t>(3)(6)</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$1,010,198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20,428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w w:val="89"/>
              </w:rPr>
              <w:t>1,010,198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9"/>
              </w:rPr>
              <w:t>(505,099)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505,099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0.29%</w:t>
            </w: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1,322,987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(505,099)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817,888</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0.47%</w:t>
            </w: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b w:val="1"/>
                <w:bCs w:val="1"/>
                <w:color w:val="auto"/>
              </w:rPr>
              <w:t>Preferred Stock</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3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20"/>
        </w:trPr>
        <w:tc>
          <w:tcPr>
            <w:tcW w:w="3120" w:type="dxa"/>
            <w:vAlign w:val="bottom"/>
          </w:tcPr>
          <w:p>
            <w:pPr>
              <w:ind w:left="280"/>
              <w:spacing w:after="0"/>
              <w:rPr>
                <w:sz w:val="20"/>
                <w:szCs w:val="20"/>
                <w:color w:val="auto"/>
              </w:rPr>
            </w:pPr>
            <w:r>
              <w:rPr>
                <w:rFonts w:ascii="Arial" w:cs="Arial" w:eastAsia="Arial" w:hAnsi="Arial"/>
                <w:sz w:val="16"/>
                <w:szCs w:val="16"/>
                <w:color w:val="auto"/>
              </w:rPr>
              <w:t>CUX, Inc. (d/b/a CorpU)–Convertible</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3120" w:type="dxa"/>
            <w:vAlign w:val="bottom"/>
          </w:tcPr>
          <w:p>
            <w:pPr>
              <w:ind w:left="280"/>
              <w:spacing w:after="0"/>
              <w:rPr>
                <w:sz w:val="20"/>
                <w:szCs w:val="20"/>
                <w:color w:val="auto"/>
              </w:rPr>
            </w:pPr>
            <w:r>
              <w:rPr>
                <w:rFonts w:ascii="Arial" w:cs="Arial" w:eastAsia="Arial" w:hAnsi="Arial"/>
                <w:sz w:val="16"/>
                <w:szCs w:val="16"/>
                <w:color w:val="auto"/>
              </w:rPr>
              <w:t>preferred shares, Series D 6%</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169,033</w:t>
            </w:r>
          </w:p>
        </w:tc>
        <w:tc>
          <w:tcPr>
            <w:tcW w:w="100" w:type="dxa"/>
            <w:vAlign w:val="bottom"/>
          </w:tcPr>
          <w:p>
            <w:pPr>
              <w:spacing w:after="0"/>
              <w:rPr>
                <w:sz w:val="17"/>
                <w:szCs w:val="17"/>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34,980</w:t>
            </w:r>
          </w:p>
        </w:tc>
        <w:tc>
          <w:tcPr>
            <w:tcW w:w="120" w:type="dxa"/>
            <w:vAlign w:val="bottom"/>
          </w:tcPr>
          <w:p>
            <w:pPr>
              <w:spacing w:after="0"/>
              <w:rPr>
                <w:sz w:val="17"/>
                <w:szCs w:val="17"/>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(7,338)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27,642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0.02%</w:t>
            </w:r>
          </w:p>
        </w:tc>
      </w:tr>
      <w:tr>
        <w:trPr>
          <w:trHeight w:val="33"/>
        </w:trPr>
        <w:tc>
          <w:tcPr>
            <w:tcW w:w="3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0"/>
        </w:trPr>
        <w:tc>
          <w:tcPr>
            <w:tcW w:w="3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CUX, Inc. (d/b/a CorpU) -Convertible</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9"/>
        </w:trPr>
        <w:tc>
          <w:tcPr>
            <w:tcW w:w="3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shares, Series C 8%</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615,763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3120" w:type="dxa"/>
            <w:vAlign w:val="bottom"/>
            <w:tcBorders>
              <w:top w:val="single" w:sz="8" w:color="CCEEFF"/>
            </w:tcBorders>
          </w:tcPr>
          <w:p>
            <w:pPr>
              <w:ind w:left="180"/>
              <w:spacing w:after="0"/>
              <w:rPr>
                <w:sz w:val="20"/>
                <w:szCs w:val="20"/>
                <w:color w:val="auto"/>
              </w:rPr>
            </w:pPr>
            <w:r>
              <w:rPr>
                <w:rFonts w:ascii="Arial" w:cs="Arial" w:eastAsia="Arial" w:hAnsi="Arial"/>
                <w:sz w:val="16"/>
                <w:szCs w:val="16"/>
                <w:i w:val="1"/>
                <w:iCs w:val="1"/>
                <w:color w:val="auto"/>
              </w:rPr>
              <w:t>Total Corporate Education</w:t>
            </w:r>
          </w:p>
        </w:tc>
        <w:tc>
          <w:tcPr>
            <w:tcW w:w="980" w:type="dxa"/>
            <w:vAlign w:val="bottom"/>
            <w:tcBorders>
              <w:top w:val="single" w:sz="8" w:color="CCEEFF"/>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34,980</w:t>
            </w:r>
          </w:p>
        </w:tc>
        <w:tc>
          <w:tcPr>
            <w:tcW w:w="120" w:type="dxa"/>
            <w:vAlign w:val="bottom"/>
            <w:tcBorders>
              <w:top w:val="single" w:sz="8" w:color="CCEE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ind w:lef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(7,338)</w:t>
            </w:r>
          </w:p>
        </w:tc>
        <w:tc>
          <w:tcPr>
            <w:tcW w:w="12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27,642</w:t>
            </w:r>
          </w:p>
        </w:tc>
        <w:tc>
          <w:tcPr>
            <w:tcW w:w="100" w:type="dxa"/>
            <w:vAlign w:val="bottom"/>
            <w:tcBorders>
              <w:top w:val="single" w:sz="8" w:color="CCEEFF"/>
            </w:tcBorders>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0.02%</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Interest, Fees,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Purchases,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or</w:t>
            </w:r>
          </w:p>
        </w:tc>
        <w:tc>
          <w:tcPr>
            <w:tcW w:w="10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Fair Value at</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Fair Value at</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Principal/</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Dividends</w:t>
            </w:r>
          </w:p>
        </w:tc>
        <w:tc>
          <w:tcPr>
            <w:tcW w:w="1060" w:type="dxa"/>
            <w:vAlign w:val="bottom"/>
            <w:gridSpan w:val="2"/>
            <w:vMerge w:val="continue"/>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Fees,</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Realized</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Unrealized</w:t>
            </w:r>
          </w:p>
        </w:tc>
        <w:tc>
          <w:tcPr>
            <w:tcW w:w="106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Type/Industry/Portfolio Company/Investment</w:t>
            </w:r>
          </w:p>
        </w:tc>
        <w:tc>
          <w:tcPr>
            <w:tcW w:w="10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Credited</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March 31,</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of Net</w:t>
            </w:r>
          </w:p>
        </w:tc>
        <w:tc>
          <w:tcPr>
            <w:tcW w:w="0" w:type="dxa"/>
            <w:vAlign w:val="bottom"/>
          </w:tcPr>
          <w:p>
            <w:pPr>
              <w:spacing w:after="0"/>
              <w:rPr>
                <w:sz w:val="1"/>
                <w:szCs w:val="1"/>
                <w:color w:val="auto"/>
              </w:rPr>
            </w:pPr>
          </w:p>
        </w:tc>
      </w:tr>
      <w:tr>
        <w:trPr>
          <w:trHeight w:val="192"/>
        </w:trPr>
        <w:tc>
          <w:tcPr>
            <w:tcW w:w="310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Quantity</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Gains/(Losses)</w:t>
            </w: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Gains/(Losses)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
        </w:trPr>
        <w:tc>
          <w:tcPr>
            <w:tcW w:w="3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1"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Knowledge Networks</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160" w:type="dxa"/>
            <w:vAlign w:val="bottom"/>
          </w:tcPr>
          <w:p>
            <w:pPr>
              <w:ind w:left="240"/>
              <w:spacing w:after="0"/>
              <w:rPr>
                <w:sz w:val="20"/>
                <w:szCs w:val="20"/>
                <w:color w:val="auto"/>
              </w:rPr>
            </w:pPr>
            <w:r>
              <w:rPr>
                <w:rFonts w:ascii="Arial" w:cs="Arial" w:eastAsia="Arial" w:hAnsi="Arial"/>
                <w:sz w:val="16"/>
                <w:szCs w:val="16"/>
                <w:color w:val="auto"/>
              </w:rPr>
              <w:t>Maven Research, Inc.–Preferred shares,</w:t>
            </w: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6"/>
        </w:trPr>
        <w:tc>
          <w:tcPr>
            <w:tcW w:w="3160" w:type="dxa"/>
            <w:vAlign w:val="bottom"/>
          </w:tcPr>
          <w:p>
            <w:pPr>
              <w:ind w:left="240"/>
              <w:spacing w:after="0"/>
              <w:rPr>
                <w:sz w:val="20"/>
                <w:szCs w:val="20"/>
                <w:color w:val="auto"/>
              </w:rPr>
            </w:pPr>
            <w:r>
              <w:rPr>
                <w:rFonts w:ascii="Arial" w:cs="Arial" w:eastAsia="Arial" w:hAnsi="Arial"/>
                <w:sz w:val="16"/>
                <w:szCs w:val="16"/>
                <w:color w:val="auto"/>
              </w:rPr>
              <w:t>Series C</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318,979</w:t>
            </w:r>
          </w:p>
        </w:tc>
        <w:tc>
          <w:tcPr>
            <w:tcW w:w="420" w:type="dxa"/>
            <w:vAlign w:val="bottom"/>
          </w:tcPr>
          <w:p>
            <w:pPr>
              <w:spacing w:after="0"/>
              <w:rPr>
                <w:sz w:val="17"/>
                <w:szCs w:val="17"/>
                <w:color w:val="auto"/>
              </w:rPr>
            </w:pP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53"/>
        </w:trPr>
        <w:tc>
          <w:tcPr>
            <w:tcW w:w="3160" w:type="dxa"/>
            <w:vAlign w:val="bottom"/>
          </w:tcPr>
          <w:p>
            <w:pPr>
              <w:ind w:left="240"/>
              <w:spacing w:after="0"/>
              <w:rPr>
                <w:sz w:val="20"/>
                <w:szCs w:val="20"/>
                <w:color w:val="auto"/>
              </w:rPr>
            </w:pPr>
            <w:r>
              <w:rPr>
                <w:rFonts w:ascii="Arial" w:cs="Arial" w:eastAsia="Arial" w:hAnsi="Arial"/>
                <w:sz w:val="16"/>
                <w:szCs w:val="16"/>
                <w:color w:val="auto"/>
              </w:rPr>
              <w:t>Maven Research, Inc.–Preferred shares,</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06"/>
        </w:trPr>
        <w:tc>
          <w:tcPr>
            <w:tcW w:w="3160" w:type="dxa"/>
            <w:vAlign w:val="bottom"/>
          </w:tcPr>
          <w:p>
            <w:pPr>
              <w:ind w:left="240"/>
              <w:spacing w:after="0"/>
              <w:rPr>
                <w:sz w:val="20"/>
                <w:szCs w:val="20"/>
                <w:color w:val="auto"/>
              </w:rPr>
            </w:pPr>
            <w:r>
              <w:rPr>
                <w:rFonts w:ascii="Arial" w:cs="Arial" w:eastAsia="Arial" w:hAnsi="Arial"/>
                <w:sz w:val="16"/>
                <w:szCs w:val="16"/>
                <w:color w:val="auto"/>
              </w:rPr>
              <w:t>Series B</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49,505</w:t>
            </w:r>
          </w:p>
        </w:tc>
        <w:tc>
          <w:tcPr>
            <w:tcW w:w="420" w:type="dxa"/>
            <w:vAlign w:val="bottom"/>
          </w:tcPr>
          <w:p>
            <w:pPr>
              <w:spacing w:after="0"/>
              <w:rPr>
                <w:sz w:val="17"/>
                <w:szCs w:val="17"/>
                <w:color w:val="auto"/>
              </w:rPr>
            </w:pP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33"/>
        </w:trPr>
        <w:tc>
          <w:tcPr>
            <w:tcW w:w="3160" w:type="dxa"/>
            <w:vAlign w:val="bottom"/>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3160" w:type="dxa"/>
            <w:vAlign w:val="bottom"/>
          </w:tcPr>
          <w:p>
            <w:pPr>
              <w:ind w:left="140"/>
              <w:spacing w:after="0"/>
              <w:rPr>
                <w:sz w:val="20"/>
                <w:szCs w:val="20"/>
                <w:color w:val="auto"/>
              </w:rPr>
            </w:pPr>
            <w:r>
              <w:rPr>
                <w:rFonts w:ascii="Arial" w:cs="Arial" w:eastAsia="Arial" w:hAnsi="Arial"/>
                <w:sz w:val="16"/>
                <w:szCs w:val="16"/>
                <w:i w:val="1"/>
                <w:iCs w:val="1"/>
                <w:color w:val="auto"/>
              </w:rPr>
              <w:t>Total Knowledge Networks</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70"/>
        </w:trPr>
        <w:tc>
          <w:tcPr>
            <w:tcW w:w="3160" w:type="dxa"/>
            <w:vAlign w:val="bottom"/>
          </w:tcPr>
          <w:p>
            <w:pPr>
              <w:ind w:left="140"/>
              <w:spacing w:after="0"/>
              <w:rPr>
                <w:sz w:val="20"/>
                <w:szCs w:val="20"/>
                <w:color w:val="auto"/>
              </w:rPr>
            </w:pPr>
            <w:r>
              <w:rPr>
                <w:rFonts w:ascii="Arial" w:cs="Arial" w:eastAsia="Arial" w:hAnsi="Arial"/>
                <w:sz w:val="16"/>
                <w:szCs w:val="16"/>
                <w:i w:val="1"/>
                <w:iCs w:val="1"/>
                <w:color w:val="auto"/>
              </w:rPr>
              <w:t>Digital Media Platform</w:t>
            </w: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53"/>
        </w:trPr>
        <w:tc>
          <w:tcPr>
            <w:tcW w:w="3160" w:type="dxa"/>
            <w:vAlign w:val="bottom"/>
          </w:tcPr>
          <w:p>
            <w:pPr>
              <w:ind w:left="240"/>
              <w:spacing w:after="0"/>
              <w:rPr>
                <w:sz w:val="20"/>
                <w:szCs w:val="20"/>
                <w:color w:val="auto"/>
              </w:rPr>
            </w:pPr>
            <w:r>
              <w:rPr>
                <w:rFonts w:ascii="Arial" w:cs="Arial" w:eastAsia="Arial" w:hAnsi="Arial"/>
                <w:sz w:val="16"/>
                <w:szCs w:val="16"/>
                <w:color w:val="auto"/>
              </w:rPr>
              <w:t>OzyMedia, Inc.–Preferred shares,</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06"/>
        </w:trPr>
        <w:tc>
          <w:tcPr>
            <w:tcW w:w="3160" w:type="dxa"/>
            <w:vAlign w:val="bottom"/>
          </w:tcPr>
          <w:p>
            <w:pPr>
              <w:ind w:left="240"/>
              <w:spacing w:after="0"/>
              <w:rPr>
                <w:sz w:val="20"/>
                <w:szCs w:val="20"/>
                <w:color w:val="auto"/>
              </w:rPr>
            </w:pPr>
            <w:r>
              <w:rPr>
                <w:rFonts w:ascii="Arial" w:cs="Arial" w:eastAsia="Arial" w:hAnsi="Arial"/>
                <w:sz w:val="16"/>
                <w:szCs w:val="16"/>
                <w:color w:val="auto"/>
              </w:rPr>
              <w:t>Series C-2 6%</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683,482</w:t>
            </w:r>
          </w:p>
        </w:tc>
        <w:tc>
          <w:tcPr>
            <w:tcW w:w="420" w:type="dxa"/>
            <w:vAlign w:val="bottom"/>
          </w:tcPr>
          <w:p>
            <w:pPr>
              <w:spacing w:after="0"/>
              <w:rPr>
                <w:sz w:val="17"/>
                <w:szCs w:val="17"/>
                <w:color w:val="auto"/>
              </w:rPr>
            </w:pP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53"/>
        </w:trPr>
        <w:tc>
          <w:tcPr>
            <w:tcW w:w="3160" w:type="dxa"/>
            <w:vAlign w:val="bottom"/>
          </w:tcPr>
          <w:p>
            <w:pPr>
              <w:ind w:left="240"/>
              <w:spacing w:after="0"/>
              <w:rPr>
                <w:sz w:val="20"/>
                <w:szCs w:val="20"/>
                <w:color w:val="auto"/>
              </w:rPr>
            </w:pPr>
            <w:r>
              <w:rPr>
                <w:rFonts w:ascii="Arial" w:cs="Arial" w:eastAsia="Arial" w:hAnsi="Arial"/>
                <w:sz w:val="16"/>
                <w:szCs w:val="16"/>
                <w:color w:val="auto"/>
                <w:w w:val="95"/>
              </w:rPr>
              <w:t>OzyMedia, Inc.–Preferred shares, Series B</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06"/>
        </w:trPr>
        <w:tc>
          <w:tcPr>
            <w:tcW w:w="3160" w:type="dxa"/>
            <w:vAlign w:val="bottom"/>
          </w:tcPr>
          <w:p>
            <w:pPr>
              <w:ind w:left="240"/>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922,509</w:t>
            </w:r>
          </w:p>
        </w:tc>
        <w:tc>
          <w:tcPr>
            <w:tcW w:w="420" w:type="dxa"/>
            <w:vAlign w:val="bottom"/>
          </w:tcPr>
          <w:p>
            <w:pPr>
              <w:spacing w:after="0"/>
              <w:rPr>
                <w:sz w:val="17"/>
                <w:szCs w:val="17"/>
                <w:color w:val="auto"/>
              </w:rPr>
            </w:pP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53"/>
        </w:trPr>
        <w:tc>
          <w:tcPr>
            <w:tcW w:w="3160" w:type="dxa"/>
            <w:vAlign w:val="bottom"/>
          </w:tcPr>
          <w:p>
            <w:pPr>
              <w:ind w:left="240"/>
              <w:spacing w:after="0"/>
              <w:rPr>
                <w:sz w:val="20"/>
                <w:szCs w:val="20"/>
                <w:color w:val="auto"/>
              </w:rPr>
            </w:pPr>
            <w:r>
              <w:rPr>
                <w:rFonts w:ascii="Arial" w:cs="Arial" w:eastAsia="Arial" w:hAnsi="Arial"/>
                <w:sz w:val="16"/>
                <w:szCs w:val="16"/>
                <w:color w:val="auto"/>
                <w:w w:val="95"/>
              </w:rPr>
              <w:t>OzyMedia, Inc.–Preferred shares, Series A</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06"/>
        </w:trPr>
        <w:tc>
          <w:tcPr>
            <w:tcW w:w="3160" w:type="dxa"/>
            <w:vAlign w:val="bottom"/>
          </w:tcPr>
          <w:p>
            <w:pPr>
              <w:ind w:left="240"/>
              <w:spacing w:after="0"/>
              <w:rPr>
                <w:sz w:val="20"/>
                <w:szCs w:val="20"/>
                <w:color w:val="auto"/>
              </w:rPr>
            </w:pPr>
            <w:r>
              <w:rPr>
                <w:rFonts w:ascii="Arial" w:cs="Arial" w:eastAsia="Arial" w:hAnsi="Arial"/>
                <w:sz w:val="16"/>
                <w:szCs w:val="16"/>
                <w:color w:val="auto"/>
              </w:rPr>
              <w:t>6%</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w w:val="92"/>
              </w:rPr>
              <w:t>1,090,909</w:t>
            </w:r>
          </w:p>
        </w:tc>
        <w:tc>
          <w:tcPr>
            <w:tcW w:w="420" w:type="dxa"/>
            <w:vAlign w:val="bottom"/>
          </w:tcPr>
          <w:p>
            <w:pPr>
              <w:spacing w:after="0"/>
              <w:rPr>
                <w:sz w:val="17"/>
                <w:szCs w:val="17"/>
                <w:color w:val="auto"/>
              </w:rPr>
            </w:pP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53"/>
        </w:trPr>
        <w:tc>
          <w:tcPr>
            <w:tcW w:w="3160" w:type="dxa"/>
            <w:vAlign w:val="bottom"/>
          </w:tcPr>
          <w:p>
            <w:pPr>
              <w:ind w:left="240"/>
              <w:spacing w:after="0"/>
              <w:rPr>
                <w:sz w:val="20"/>
                <w:szCs w:val="20"/>
                <w:color w:val="auto"/>
              </w:rPr>
            </w:pPr>
            <w:r>
              <w:rPr>
                <w:rFonts w:ascii="Arial" w:cs="Arial" w:eastAsia="Arial" w:hAnsi="Arial"/>
                <w:sz w:val="16"/>
                <w:szCs w:val="16"/>
                <w:color w:val="auto"/>
              </w:rPr>
              <w:t>OzyMedia, Inc.–Preferred shares,</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06"/>
        </w:trPr>
        <w:tc>
          <w:tcPr>
            <w:tcW w:w="3160" w:type="dxa"/>
            <w:vAlign w:val="bottom"/>
          </w:tcPr>
          <w:p>
            <w:pPr>
              <w:ind w:left="240"/>
              <w:spacing w:after="0"/>
              <w:rPr>
                <w:sz w:val="20"/>
                <w:szCs w:val="20"/>
                <w:color w:val="auto"/>
              </w:rPr>
            </w:pPr>
            <w:r>
              <w:rPr>
                <w:rFonts w:ascii="Arial" w:cs="Arial" w:eastAsia="Arial" w:hAnsi="Arial"/>
                <w:sz w:val="16"/>
                <w:szCs w:val="16"/>
                <w:color w:val="auto"/>
              </w:rPr>
              <w:t>Series Seed 6%</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500,000</w:t>
            </w:r>
          </w:p>
        </w:tc>
        <w:tc>
          <w:tcPr>
            <w:tcW w:w="420" w:type="dxa"/>
            <w:vAlign w:val="bottom"/>
          </w:tcPr>
          <w:p>
            <w:pPr>
              <w:spacing w:after="0"/>
              <w:rPr>
                <w:sz w:val="17"/>
                <w:szCs w:val="17"/>
                <w:color w:val="auto"/>
              </w:rPr>
            </w:pP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33"/>
        </w:trPr>
        <w:tc>
          <w:tcPr>
            <w:tcW w:w="3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6"/>
                <w:szCs w:val="16"/>
                <w:i w:val="1"/>
                <w:iCs w:val="1"/>
                <w:color w:val="auto"/>
              </w:rPr>
              <w:t>Total Digital Media Platform</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70"/>
        </w:trPr>
        <w:tc>
          <w:tcPr>
            <w:tcW w:w="3160" w:type="dxa"/>
            <w:vAlign w:val="bottom"/>
          </w:tcPr>
          <w:p>
            <w:pPr>
              <w:ind w:left="140"/>
              <w:spacing w:after="0"/>
              <w:rPr>
                <w:sz w:val="20"/>
                <w:szCs w:val="20"/>
                <w:color w:val="auto"/>
              </w:rPr>
            </w:pPr>
            <w:r>
              <w:rPr>
                <w:rFonts w:ascii="Arial" w:cs="Arial" w:eastAsia="Arial" w:hAnsi="Arial"/>
                <w:sz w:val="16"/>
                <w:szCs w:val="16"/>
                <w:i w:val="1"/>
                <w:iCs w:val="1"/>
                <w:color w:val="auto"/>
              </w:rPr>
              <w:t>Interactive Learning</w:t>
            </w: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253"/>
        </w:trPr>
        <w:tc>
          <w:tcPr>
            <w:tcW w:w="3160" w:type="dxa"/>
            <w:vAlign w:val="bottom"/>
          </w:tcPr>
          <w:p>
            <w:pPr>
              <w:ind w:left="240"/>
              <w:spacing w:after="0"/>
              <w:rPr>
                <w:sz w:val="20"/>
                <w:szCs w:val="20"/>
                <w:color w:val="auto"/>
              </w:rPr>
            </w:pPr>
            <w:r>
              <w:rPr>
                <w:rFonts w:ascii="Arial" w:cs="Arial" w:eastAsia="Arial" w:hAnsi="Arial"/>
                <w:sz w:val="16"/>
                <w:szCs w:val="16"/>
                <w:color w:val="auto"/>
              </w:rPr>
              <w:t>StormWind, LLC–Preferred shares,</w:t>
            </w: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57"/>
        </w:trPr>
        <w:tc>
          <w:tcPr>
            <w:tcW w:w="3160" w:type="dxa"/>
            <w:vAlign w:val="bottom"/>
          </w:tcPr>
          <w:p>
            <w:pPr>
              <w:ind w:left="240"/>
              <w:spacing w:after="0"/>
              <w:rPr>
                <w:sz w:val="20"/>
                <w:szCs w:val="20"/>
                <w:color w:val="auto"/>
              </w:rPr>
            </w:pPr>
            <w:r>
              <w:rPr>
                <w:rFonts w:ascii="Arial" w:cs="Arial" w:eastAsia="Arial" w:hAnsi="Arial"/>
                <w:sz w:val="16"/>
                <w:szCs w:val="16"/>
                <w:color w:val="auto"/>
              </w:rPr>
              <w:t>Series D 8%</w:t>
            </w:r>
            <w:r>
              <w:rPr>
                <w:rFonts w:ascii="Arial" w:cs="Arial" w:eastAsia="Arial" w:hAnsi="Arial"/>
                <w:sz w:val="21"/>
                <w:szCs w:val="21"/>
                <w:color w:val="auto"/>
                <w:vertAlign w:val="superscript"/>
              </w:rPr>
              <w:t>(5)</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329,337</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03"/>
        </w:trPr>
        <w:tc>
          <w:tcPr>
            <w:tcW w:w="3160" w:type="dxa"/>
            <w:vAlign w:val="bottom"/>
          </w:tcPr>
          <w:p>
            <w:pPr>
              <w:ind w:left="240"/>
              <w:spacing w:after="0"/>
              <w:rPr>
                <w:sz w:val="20"/>
                <w:szCs w:val="20"/>
                <w:color w:val="auto"/>
              </w:rPr>
            </w:pPr>
            <w:r>
              <w:rPr>
                <w:rFonts w:ascii="Arial" w:cs="Arial" w:eastAsia="Arial" w:hAnsi="Arial"/>
                <w:sz w:val="16"/>
                <w:szCs w:val="16"/>
                <w:color w:val="auto"/>
              </w:rPr>
              <w:t>StormWind, LLC–Preferred shares,</w:t>
            </w: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56"/>
        </w:trPr>
        <w:tc>
          <w:tcPr>
            <w:tcW w:w="3160" w:type="dxa"/>
            <w:vAlign w:val="bottom"/>
          </w:tcPr>
          <w:p>
            <w:pPr>
              <w:ind w:left="240"/>
              <w:spacing w:after="0"/>
              <w:rPr>
                <w:sz w:val="20"/>
                <w:szCs w:val="20"/>
                <w:color w:val="auto"/>
              </w:rPr>
            </w:pPr>
            <w:r>
              <w:rPr>
                <w:rFonts w:ascii="Arial" w:cs="Arial" w:eastAsia="Arial" w:hAnsi="Arial"/>
                <w:sz w:val="16"/>
                <w:szCs w:val="16"/>
                <w:color w:val="auto"/>
              </w:rPr>
              <w:t>Series C 8%</w:t>
            </w:r>
            <w:r>
              <w:rPr>
                <w:rFonts w:ascii="Arial" w:cs="Arial" w:eastAsia="Arial" w:hAnsi="Arial"/>
                <w:sz w:val="21"/>
                <w:szCs w:val="21"/>
                <w:color w:val="auto"/>
                <w:vertAlign w:val="superscript"/>
              </w:rPr>
              <w:t>(5)</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w w:val="92"/>
              </w:rPr>
              <w:t>2,779,134</w:t>
            </w:r>
          </w:p>
        </w:tc>
        <w:tc>
          <w:tcPr>
            <w:tcW w:w="420" w:type="dxa"/>
            <w:vAlign w:val="bottom"/>
          </w:tcPr>
          <w:p>
            <w:pPr>
              <w:spacing w:after="0"/>
              <w:rPr>
                <w:sz w:val="22"/>
                <w:szCs w:val="22"/>
                <w:color w:val="auto"/>
              </w:rPr>
            </w:pP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03"/>
        </w:trPr>
        <w:tc>
          <w:tcPr>
            <w:tcW w:w="3160" w:type="dxa"/>
            <w:vAlign w:val="bottom"/>
          </w:tcPr>
          <w:p>
            <w:pPr>
              <w:ind w:left="240"/>
              <w:spacing w:after="0"/>
              <w:rPr>
                <w:sz w:val="20"/>
                <w:szCs w:val="20"/>
                <w:color w:val="auto"/>
              </w:rPr>
            </w:pPr>
            <w:r>
              <w:rPr>
                <w:rFonts w:ascii="Arial" w:cs="Arial" w:eastAsia="Arial" w:hAnsi="Arial"/>
                <w:sz w:val="16"/>
                <w:szCs w:val="16"/>
                <w:color w:val="auto"/>
              </w:rPr>
              <w:t>StormWind, LLC–Preferred shares,</w:t>
            </w: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57"/>
        </w:trPr>
        <w:tc>
          <w:tcPr>
            <w:tcW w:w="3160" w:type="dxa"/>
            <w:vAlign w:val="bottom"/>
          </w:tcPr>
          <w:p>
            <w:pPr>
              <w:ind w:left="240"/>
              <w:spacing w:after="0"/>
              <w:rPr>
                <w:sz w:val="20"/>
                <w:szCs w:val="20"/>
                <w:color w:val="auto"/>
              </w:rPr>
            </w:pPr>
            <w:r>
              <w:rPr>
                <w:rFonts w:ascii="Arial" w:cs="Arial" w:eastAsia="Arial" w:hAnsi="Arial"/>
                <w:sz w:val="16"/>
                <w:szCs w:val="16"/>
                <w:color w:val="auto"/>
              </w:rPr>
              <w:t>Series B 8%</w:t>
            </w:r>
            <w:r>
              <w:rPr>
                <w:rFonts w:ascii="Arial" w:cs="Arial" w:eastAsia="Arial" w:hAnsi="Arial"/>
                <w:sz w:val="21"/>
                <w:szCs w:val="21"/>
                <w:color w:val="auto"/>
                <w:vertAlign w:val="superscript"/>
              </w:rPr>
              <w:t>(5)</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w w:val="92"/>
              </w:rPr>
              <w:t>3,279,629</w:t>
            </w:r>
          </w:p>
        </w:tc>
        <w:tc>
          <w:tcPr>
            <w:tcW w:w="420" w:type="dxa"/>
            <w:vAlign w:val="bottom"/>
          </w:tcPr>
          <w:p>
            <w:pPr>
              <w:spacing w:after="0"/>
              <w:rPr>
                <w:sz w:val="22"/>
                <w:szCs w:val="22"/>
                <w:color w:val="auto"/>
              </w:rPr>
            </w:pP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03"/>
        </w:trPr>
        <w:tc>
          <w:tcPr>
            <w:tcW w:w="3160" w:type="dxa"/>
            <w:vAlign w:val="bottom"/>
          </w:tcPr>
          <w:p>
            <w:pPr>
              <w:ind w:left="240"/>
              <w:spacing w:after="0"/>
              <w:rPr>
                <w:sz w:val="20"/>
                <w:szCs w:val="20"/>
                <w:color w:val="auto"/>
              </w:rPr>
            </w:pPr>
            <w:r>
              <w:rPr>
                <w:rFonts w:ascii="Arial" w:cs="Arial" w:eastAsia="Arial" w:hAnsi="Arial"/>
                <w:sz w:val="16"/>
                <w:szCs w:val="16"/>
                <w:color w:val="auto"/>
              </w:rPr>
              <w:t>StormWind, LLC–Preferred shares,</w:t>
            </w: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9"/>
        </w:trPr>
        <w:tc>
          <w:tcPr>
            <w:tcW w:w="3160" w:type="dxa"/>
            <w:vAlign w:val="bottom"/>
          </w:tcPr>
          <w:p>
            <w:pPr>
              <w:ind w:left="240"/>
              <w:spacing w:after="0" w:line="239" w:lineRule="exact"/>
              <w:rPr>
                <w:sz w:val="20"/>
                <w:szCs w:val="20"/>
                <w:color w:val="auto"/>
              </w:rPr>
            </w:pPr>
            <w:r>
              <w:rPr>
                <w:rFonts w:ascii="Arial" w:cs="Arial" w:eastAsia="Arial" w:hAnsi="Arial"/>
                <w:sz w:val="16"/>
                <w:szCs w:val="16"/>
                <w:color w:val="auto"/>
              </w:rPr>
              <w:t>Series A 8%</w:t>
            </w:r>
            <w:r>
              <w:rPr>
                <w:rFonts w:ascii="Arial" w:cs="Arial" w:eastAsia="Arial" w:hAnsi="Arial"/>
                <w:sz w:val="21"/>
                <w:szCs w:val="21"/>
                <w:color w:val="auto"/>
                <w:vertAlign w:val="superscript"/>
              </w:rPr>
              <w:t>(5)</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366,666</w:t>
            </w:r>
          </w:p>
        </w:tc>
        <w:tc>
          <w:tcPr>
            <w:tcW w:w="4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w:t>
            </w:r>
          </w:p>
        </w:tc>
      </w:tr>
      <w:tr>
        <w:trPr>
          <w:trHeight w:val="230"/>
        </w:trPr>
        <w:tc>
          <w:tcPr>
            <w:tcW w:w="3160" w:type="dxa"/>
            <w:vAlign w:val="bottom"/>
          </w:tcPr>
          <w:p>
            <w:pPr>
              <w:ind w:left="140"/>
              <w:spacing w:after="0"/>
              <w:rPr>
                <w:sz w:val="20"/>
                <w:szCs w:val="20"/>
                <w:color w:val="auto"/>
              </w:rPr>
            </w:pPr>
            <w:r>
              <w:rPr>
                <w:rFonts w:ascii="Arial" w:cs="Arial" w:eastAsia="Arial" w:hAnsi="Arial"/>
                <w:sz w:val="16"/>
                <w:szCs w:val="16"/>
                <w:i w:val="1"/>
                <w:iCs w:val="1"/>
                <w:color w:val="auto"/>
              </w:rPr>
              <w:t>Total Interactive Learning</w:t>
            </w: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70"/>
        </w:trPr>
        <w:tc>
          <w:tcPr>
            <w:tcW w:w="3160" w:type="dxa"/>
            <w:vAlign w:val="bottom"/>
          </w:tcPr>
          <w:p>
            <w:pPr>
              <w:spacing w:after="0"/>
              <w:rPr>
                <w:sz w:val="20"/>
                <w:szCs w:val="20"/>
                <w:color w:val="auto"/>
              </w:rPr>
            </w:pPr>
            <w:r>
              <w:rPr>
                <w:rFonts w:ascii="Arial" w:cs="Arial" w:eastAsia="Arial" w:hAnsi="Arial"/>
                <w:sz w:val="16"/>
                <w:szCs w:val="16"/>
                <w:b w:val="1"/>
                <w:bCs w:val="1"/>
                <w:color w:val="auto"/>
              </w:rPr>
              <w:t>Total Preferred Stock</w:t>
            </w:r>
          </w:p>
        </w:tc>
        <w:tc>
          <w:tcPr>
            <w:tcW w:w="880" w:type="dxa"/>
            <w:vAlign w:val="bottom"/>
          </w:tcPr>
          <w:p>
            <w:pPr>
              <w:spacing w:after="0"/>
              <w:rPr>
                <w:sz w:val="23"/>
                <w:szCs w:val="23"/>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r>
      <w:tr>
        <w:trPr>
          <w:trHeight w:val="270"/>
        </w:trPr>
        <w:tc>
          <w:tcPr>
            <w:tcW w:w="3160" w:type="dxa"/>
            <w:vAlign w:val="bottom"/>
          </w:tcPr>
          <w:p>
            <w:pPr>
              <w:spacing w:after="0"/>
              <w:rPr>
                <w:sz w:val="20"/>
                <w:szCs w:val="20"/>
                <w:color w:val="auto"/>
              </w:rPr>
            </w:pPr>
            <w:r>
              <w:rPr>
                <w:rFonts w:ascii="Arial" w:cs="Arial" w:eastAsia="Arial" w:hAnsi="Arial"/>
                <w:sz w:val="16"/>
                <w:szCs w:val="16"/>
                <w:b w:val="1"/>
                <w:bCs w:val="1"/>
                <w:color w:val="auto"/>
              </w:rPr>
              <w:t>Options</w:t>
            </w: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80" w:type="dxa"/>
            <w:vAlign w:val="bottom"/>
          </w:tcPr>
          <w:p>
            <w:pPr>
              <w:spacing w:after="0"/>
              <w:rPr>
                <w:sz w:val="23"/>
                <w:szCs w:val="23"/>
                <w:color w:val="auto"/>
              </w:rPr>
            </w:pPr>
          </w:p>
        </w:tc>
      </w:tr>
    </w:tbl>
    <w:p>
      <w:pPr>
        <w:spacing w:after="0" w:line="77"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Digital Media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34925</wp:posOffset>
            </wp:positionV>
            <wp:extent cx="4883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59"/>
        </w:trPr>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Pr>
          <w:p>
            <w:pPr>
              <w:spacing w:after="0"/>
              <w:rPr>
                <w:sz w:val="2"/>
                <w:szCs w:val="2"/>
                <w:color w:val="auto"/>
              </w:rPr>
            </w:pPr>
          </w:p>
        </w:tc>
      </w:tr>
      <w:tr>
        <w:trPr>
          <w:trHeight w:val="231"/>
        </w:trPr>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729"/>
        </w:trPr>
        <w:tc>
          <w:tcPr>
            <w:tcW w:w="940" w:type="dxa"/>
            <w:vAlign w:val="bottom"/>
          </w:tcPr>
          <w:p>
            <w:pPr>
              <w:jc w:val="right"/>
              <w:ind w:right="19"/>
              <w:spacing w:after="0"/>
              <w:rPr>
                <w:sz w:val="20"/>
                <w:szCs w:val="20"/>
                <w:color w:val="auto"/>
              </w:rPr>
            </w:pPr>
            <w:r>
              <w:rPr>
                <w:rFonts w:ascii="Arial" w:cs="Arial" w:eastAsia="Arial" w:hAnsi="Arial"/>
                <w:sz w:val="16"/>
                <w:szCs w:val="16"/>
                <w:color w:val="auto"/>
              </w:rPr>
              <w:t>2,970,252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(1,113,986)</w:t>
            </w:r>
          </w:p>
        </w:tc>
        <w:tc>
          <w:tcPr>
            <w:tcW w:w="1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1,856,266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1.08%</w:t>
            </w:r>
          </w:p>
        </w:tc>
      </w:tr>
      <w:tr>
        <w:trPr>
          <w:trHeight w:val="459"/>
        </w:trPr>
        <w:tc>
          <w:tcPr>
            <w:tcW w:w="940" w:type="dxa"/>
            <w:vAlign w:val="bottom"/>
          </w:tcPr>
          <w:p>
            <w:pPr>
              <w:jc w:val="right"/>
              <w:ind w:right="19"/>
              <w:spacing w:after="0"/>
              <w:rPr>
                <w:sz w:val="20"/>
                <w:szCs w:val="20"/>
                <w:color w:val="auto"/>
              </w:rPr>
            </w:pPr>
            <w:r>
              <w:rPr>
                <w:rFonts w:ascii="Arial" w:cs="Arial" w:eastAsia="Arial" w:hAnsi="Arial"/>
                <w:sz w:val="16"/>
                <w:szCs w:val="16"/>
                <w:color w:val="auto"/>
              </w:rPr>
              <w:t>5,001,420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(1,667,140)</w:t>
            </w:r>
          </w:p>
        </w:tc>
        <w:tc>
          <w:tcPr>
            <w:tcW w:w="1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3,334,280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1.93%</w:t>
            </w:r>
          </w:p>
        </w:tc>
      </w:tr>
      <w:tr>
        <w:trPr>
          <w:trHeight w:val="459"/>
        </w:trPr>
        <w:tc>
          <w:tcPr>
            <w:tcW w:w="940" w:type="dxa"/>
            <w:vAlign w:val="bottom"/>
          </w:tcPr>
          <w:p>
            <w:pPr>
              <w:jc w:val="right"/>
              <w:ind w:right="19"/>
              <w:spacing w:after="0"/>
              <w:rPr>
                <w:sz w:val="20"/>
                <w:szCs w:val="20"/>
                <w:color w:val="auto"/>
              </w:rPr>
            </w:pPr>
            <w:r>
              <w:rPr>
                <w:rFonts w:ascii="Arial" w:cs="Arial" w:eastAsia="Arial" w:hAnsi="Arial"/>
                <w:sz w:val="16"/>
                <w:szCs w:val="16"/>
                <w:color w:val="auto"/>
              </w:rPr>
              <w:t>4,528,107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(1,848,948)</w:t>
            </w:r>
          </w:p>
        </w:tc>
        <w:tc>
          <w:tcPr>
            <w:tcW w:w="1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2,679,159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1.55%</w:t>
            </w:r>
          </w:p>
        </w:tc>
      </w:tr>
      <w:tr>
        <w:trPr>
          <w:trHeight w:val="459"/>
        </w:trPr>
        <w:tc>
          <w:tcPr>
            <w:tcW w:w="940" w:type="dxa"/>
            <w:vAlign w:val="bottom"/>
          </w:tcPr>
          <w:p>
            <w:pPr>
              <w:jc w:val="right"/>
              <w:ind w:right="19"/>
              <w:spacing w:after="0"/>
              <w:rPr>
                <w:sz w:val="20"/>
                <w:szCs w:val="20"/>
                <w:color w:val="auto"/>
              </w:rPr>
            </w:pPr>
            <w:r>
              <w:rPr>
                <w:rFonts w:ascii="Arial" w:cs="Arial" w:eastAsia="Arial" w:hAnsi="Arial"/>
                <w:sz w:val="16"/>
                <w:szCs w:val="16"/>
                <w:color w:val="auto"/>
              </w:rPr>
              <w:t>2,002,143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(1,065,862)</w:t>
            </w:r>
          </w:p>
        </w:tc>
        <w:tc>
          <w:tcPr>
            <w:tcW w:w="1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936,281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0.54%</w:t>
            </w:r>
          </w:p>
        </w:tc>
      </w:tr>
      <w:tr>
        <w:trPr>
          <w:trHeight w:val="33"/>
        </w:trPr>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60" w:type="dxa"/>
            <w:vAlign w:val="bottom"/>
            <w:gridSpan w:val="2"/>
          </w:tcPr>
          <w:p>
            <w:pPr>
              <w:spacing w:after="0"/>
              <w:rPr>
                <w:sz w:val="2"/>
                <w:szCs w:val="2"/>
                <w:color w:val="auto"/>
              </w:rPr>
            </w:pPr>
          </w:p>
        </w:tc>
      </w:tr>
      <w:tr>
        <w:trPr>
          <w:trHeight w:val="230"/>
        </w:trPr>
        <w:tc>
          <w:tcPr>
            <w:tcW w:w="940" w:type="dxa"/>
            <w:vAlign w:val="bottom"/>
          </w:tcPr>
          <w:p>
            <w:pPr>
              <w:jc w:val="right"/>
              <w:ind w:right="19"/>
              <w:spacing w:after="0"/>
              <w:rPr>
                <w:sz w:val="20"/>
                <w:szCs w:val="20"/>
                <w:color w:val="auto"/>
              </w:rPr>
            </w:pPr>
            <w:r>
              <w:rPr>
                <w:rFonts w:ascii="Arial" w:cs="Arial" w:eastAsia="Arial" w:hAnsi="Arial"/>
                <w:sz w:val="16"/>
                <w:szCs w:val="16"/>
                <w:color w:val="auto"/>
              </w:rPr>
              <w:t>14,501,922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(5,695,936)</w:t>
            </w:r>
          </w:p>
        </w:tc>
        <w:tc>
          <w:tcPr>
            <w:tcW w:w="1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8,805,986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5.10%</w:t>
            </w:r>
          </w:p>
        </w:tc>
      </w:tr>
      <w:tr>
        <w:trPr>
          <w:trHeight w:val="729"/>
        </w:trPr>
        <w:tc>
          <w:tcPr>
            <w:tcW w:w="940" w:type="dxa"/>
            <w:vAlign w:val="bottom"/>
          </w:tcPr>
          <w:p>
            <w:pPr>
              <w:jc w:val="right"/>
              <w:ind w:right="19"/>
              <w:spacing w:after="0"/>
              <w:rPr>
                <w:sz w:val="20"/>
                <w:szCs w:val="20"/>
                <w:color w:val="auto"/>
              </w:rPr>
            </w:pPr>
            <w:r>
              <w:rPr>
                <w:rFonts w:ascii="Arial" w:cs="Arial" w:eastAsia="Arial" w:hAnsi="Arial"/>
                <w:sz w:val="16"/>
                <w:szCs w:val="16"/>
                <w:color w:val="auto"/>
              </w:rPr>
              <w:t>503,120</w:t>
            </w:r>
          </w:p>
        </w:tc>
        <w:tc>
          <w:tcPr>
            <w:tcW w:w="12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(22,103)</w:t>
            </w:r>
          </w:p>
        </w:tc>
        <w:tc>
          <w:tcPr>
            <w:tcW w:w="1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481,017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0.28%</w:t>
            </w:r>
          </w:p>
        </w:tc>
      </w:tr>
      <w:tr>
        <w:trPr>
          <w:trHeight w:val="459"/>
        </w:trPr>
        <w:tc>
          <w:tcPr>
            <w:tcW w:w="940" w:type="dxa"/>
            <w:vAlign w:val="bottom"/>
          </w:tcPr>
          <w:p>
            <w:pPr>
              <w:jc w:val="right"/>
              <w:ind w:right="19"/>
              <w:spacing w:after="0"/>
              <w:rPr>
                <w:sz w:val="20"/>
                <w:szCs w:val="20"/>
                <w:color w:val="auto"/>
              </w:rPr>
            </w:pPr>
            <w:r>
              <w:rPr>
                <w:rFonts w:ascii="Arial" w:cs="Arial" w:eastAsia="Arial" w:hAnsi="Arial"/>
                <w:sz w:val="16"/>
                <w:szCs w:val="16"/>
                <w:color w:val="auto"/>
              </w:rPr>
              <w:t>5,391,000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(207,163)</w:t>
            </w:r>
          </w:p>
        </w:tc>
        <w:tc>
          <w:tcPr>
            <w:tcW w:w="1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5,183,837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3.00%</w:t>
            </w:r>
          </w:p>
        </w:tc>
      </w:tr>
      <w:tr>
        <w:trPr>
          <w:trHeight w:val="459"/>
        </w:trPr>
        <w:tc>
          <w:tcPr>
            <w:tcW w:w="940" w:type="dxa"/>
            <w:vAlign w:val="bottom"/>
          </w:tcPr>
          <w:p>
            <w:pPr>
              <w:jc w:val="right"/>
              <w:ind w:right="19"/>
              <w:spacing w:after="0"/>
              <w:rPr>
                <w:sz w:val="20"/>
                <w:szCs w:val="20"/>
                <w:color w:val="auto"/>
              </w:rPr>
            </w:pPr>
            <w:r>
              <w:rPr>
                <w:rFonts w:ascii="Arial" w:cs="Arial" w:eastAsia="Arial" w:hAnsi="Arial"/>
                <w:sz w:val="16"/>
                <w:szCs w:val="16"/>
                <w:color w:val="auto"/>
              </w:rPr>
              <w:t>3,248,804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(220,105)</w:t>
            </w:r>
          </w:p>
        </w:tc>
        <w:tc>
          <w:tcPr>
            <w:tcW w:w="1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3,028,699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1.76%</w:t>
            </w:r>
          </w:p>
        </w:tc>
      </w:tr>
      <w:tr>
        <w:trPr>
          <w:trHeight w:val="459"/>
        </w:trPr>
        <w:tc>
          <w:tcPr>
            <w:tcW w:w="940" w:type="dxa"/>
            <w:vAlign w:val="bottom"/>
          </w:tcPr>
          <w:p>
            <w:pPr>
              <w:jc w:val="right"/>
              <w:ind w:right="19"/>
              <w:spacing w:after="0"/>
              <w:rPr>
                <w:sz w:val="20"/>
                <w:szCs w:val="20"/>
                <w:color w:val="auto"/>
              </w:rPr>
            </w:pPr>
            <w:r>
              <w:rPr>
                <w:rFonts w:ascii="Arial" w:cs="Arial" w:eastAsia="Arial" w:hAnsi="Arial"/>
                <w:sz w:val="16"/>
                <w:szCs w:val="16"/>
                <w:color w:val="auto"/>
              </w:rPr>
              <w:t>157,949</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(24,608)</w:t>
            </w:r>
          </w:p>
        </w:tc>
        <w:tc>
          <w:tcPr>
            <w:tcW w:w="12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133,341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0.08%</w:t>
            </w:r>
          </w:p>
        </w:tc>
      </w:tr>
      <w:tr>
        <w:trPr>
          <w:trHeight w:val="33"/>
        </w:trPr>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Pr>
          <w:p>
            <w:pPr>
              <w:spacing w:after="0"/>
              <w:rPr>
                <w:sz w:val="2"/>
                <w:szCs w:val="2"/>
                <w:color w:val="auto"/>
              </w:rPr>
            </w:pPr>
          </w:p>
        </w:tc>
      </w:tr>
      <w:tr>
        <w:trPr>
          <w:trHeight w:val="230"/>
        </w:trPr>
        <w:tc>
          <w:tcPr>
            <w:tcW w:w="940" w:type="dxa"/>
            <w:vAlign w:val="bottom"/>
          </w:tcPr>
          <w:p>
            <w:pPr>
              <w:jc w:val="right"/>
              <w:ind w:right="19"/>
              <w:spacing w:after="0"/>
              <w:rPr>
                <w:sz w:val="20"/>
                <w:szCs w:val="20"/>
                <w:color w:val="auto"/>
              </w:rPr>
            </w:pPr>
            <w:r>
              <w:rPr>
                <w:rFonts w:ascii="Arial" w:cs="Arial" w:eastAsia="Arial" w:hAnsi="Arial"/>
                <w:sz w:val="16"/>
                <w:szCs w:val="16"/>
                <w:color w:val="auto"/>
              </w:rPr>
              <w:t>9,300,873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(473,979)</w:t>
            </w:r>
          </w:p>
        </w:tc>
        <w:tc>
          <w:tcPr>
            <w:tcW w:w="12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8,826,894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5.12%</w:t>
            </w:r>
          </w:p>
        </w:tc>
      </w:tr>
      <w:tr>
        <w:trPr>
          <w:trHeight w:val="270"/>
        </w:trPr>
        <w:tc>
          <w:tcPr>
            <w:tcW w:w="940" w:type="dxa"/>
            <w:vAlign w:val="bottom"/>
          </w:tcPr>
          <w:p>
            <w:pPr>
              <w:jc w:val="right"/>
              <w:ind w:right="19"/>
              <w:spacing w:after="0"/>
              <w:rPr>
                <w:sz w:val="20"/>
                <w:szCs w:val="20"/>
                <w:color w:val="auto"/>
              </w:rPr>
            </w:pPr>
            <w:r>
              <w:rPr>
                <w:rFonts w:ascii="Arial" w:cs="Arial" w:eastAsia="Arial" w:hAnsi="Arial"/>
                <w:sz w:val="16"/>
                <w:szCs w:val="16"/>
                <w:color w:val="auto"/>
                <w:w w:val="92"/>
              </w:rPr>
              <w:t>$23,837,775</w:t>
            </w:r>
          </w:p>
        </w:tc>
        <w:tc>
          <w:tcPr>
            <w:tcW w:w="120" w:type="dxa"/>
            <w:vAlign w:val="bottom"/>
          </w:tcPr>
          <w:p>
            <w:pPr>
              <w:spacing w:after="0"/>
              <w:rPr>
                <w:sz w:val="23"/>
                <w:szCs w:val="23"/>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ind w:left="2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w w:val="94"/>
              </w:rPr>
              <w:t>$(6,177,253)</w:t>
            </w:r>
          </w:p>
        </w:tc>
        <w:tc>
          <w:tcPr>
            <w:tcW w:w="1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w w:val="92"/>
              </w:rPr>
              <w:t>$17,660,522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-3655695</wp:posOffset>
            </wp:positionV>
            <wp:extent cx="7132320" cy="2914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-3184525</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-2721610</wp:posOffset>
            </wp:positionV>
            <wp:extent cx="7132320"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-2138680</wp:posOffset>
            </wp:positionV>
            <wp:extent cx="7132320" cy="291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-1666875</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-1203960</wp:posOffset>
            </wp:positionV>
            <wp:extent cx="7132320" cy="2914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-621030</wp:posOffset>
            </wp:positionV>
            <wp:extent cx="7132320"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-149860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192405</wp:posOffset>
            </wp:positionV>
            <wp:extent cx="7132320" cy="1797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617" w:lineRule="exact"/>
        <w:rPr>
          <w:sz w:val="20"/>
          <w:szCs w:val="20"/>
          <w:color w:val="auto"/>
        </w:rPr>
      </w:pPr>
    </w:p>
    <w:p>
      <w:pPr>
        <w:sectPr>
          <w:pgSz w:w="11900" w:h="16838" w:orient="portrait"/>
          <w:cols w:equalWidth="0" w:num="2">
            <w:col w:w="5080" w:space="100"/>
            <w:col w:w="60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200" w:type="dxa"/>
            <w:vAlign w:val="bottom"/>
          </w:tcPr>
          <w:p>
            <w:pPr>
              <w:ind w:left="280"/>
              <w:spacing w:after="0"/>
              <w:rPr>
                <w:sz w:val="20"/>
                <w:szCs w:val="20"/>
                <w:color w:val="auto"/>
              </w:rPr>
            </w:pPr>
            <w:r>
              <w:rPr>
                <w:rFonts w:ascii="Arial" w:cs="Arial" w:eastAsia="Arial" w:hAnsi="Arial"/>
                <w:sz w:val="16"/>
                <w:szCs w:val="16"/>
                <w:color w:val="auto"/>
                <w:w w:val="96"/>
              </w:rPr>
              <w:t>OzyMedia, Inc.–Common Warrants, Strike</w:t>
            </w: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3200" w:type="dxa"/>
            <w:vAlign w:val="bottom"/>
          </w:tcPr>
          <w:p>
            <w:pPr>
              <w:ind w:left="280"/>
              <w:spacing w:after="0"/>
              <w:rPr>
                <w:sz w:val="20"/>
                <w:szCs w:val="20"/>
                <w:color w:val="auto"/>
              </w:rPr>
            </w:pPr>
            <w:r>
              <w:rPr>
                <w:rFonts w:ascii="Arial" w:cs="Arial" w:eastAsia="Arial" w:hAnsi="Arial"/>
                <w:sz w:val="16"/>
                <w:szCs w:val="16"/>
                <w:color w:val="auto"/>
              </w:rPr>
              <w:t>Price $0.01, Expiration Date 4/9/2028</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295,565</w:t>
            </w:r>
          </w:p>
        </w:tc>
        <w:tc>
          <w:tcPr>
            <w:tcW w:w="118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79"/>
              <w:spacing w:after="0"/>
              <w:rPr>
                <w:sz w:val="20"/>
                <w:szCs w:val="20"/>
                <w:color w:val="auto"/>
              </w:rPr>
            </w:pPr>
            <w:r>
              <w:rPr>
                <w:rFonts w:ascii="Arial" w:cs="Arial" w:eastAsia="Arial" w:hAnsi="Arial"/>
                <w:sz w:val="16"/>
                <w:szCs w:val="16"/>
                <w:color w:val="auto"/>
              </w:rPr>
              <w:t>1,182,260</w:t>
            </w:r>
          </w:p>
        </w:tc>
        <w:tc>
          <w:tcPr>
            <w:tcW w:w="1080" w:type="dxa"/>
            <w:vAlign w:val="bottom"/>
          </w:tcPr>
          <w:p>
            <w:pPr>
              <w:ind w:left="480"/>
              <w:spacing w:after="0"/>
              <w:rPr>
                <w:sz w:val="20"/>
                <w:szCs w:val="20"/>
                <w:color w:val="auto"/>
              </w:rPr>
            </w:pPr>
            <w:r>
              <w:rPr>
                <w:rFonts w:ascii="Arial" w:cs="Arial" w:eastAsia="Arial" w:hAnsi="Arial"/>
                <w:sz w:val="16"/>
                <w:szCs w:val="16"/>
                <w:color w:val="auto"/>
              </w:rPr>
              <w:t>—</w:t>
            </w:r>
          </w:p>
        </w:tc>
        <w:tc>
          <w:tcPr>
            <w:tcW w:w="840" w:type="dxa"/>
            <w:vAlign w:val="bottom"/>
          </w:tcPr>
          <w:p>
            <w:pPr>
              <w:ind w:left="4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(653,199)</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529,061</w:t>
            </w:r>
          </w:p>
        </w:tc>
        <w:tc>
          <w:tcPr>
            <w:tcW w:w="720" w:type="dxa"/>
            <w:vAlign w:val="bottom"/>
          </w:tcPr>
          <w:p>
            <w:pPr>
              <w:jc w:val="right"/>
              <w:spacing w:after="0"/>
              <w:rPr>
                <w:sz w:val="20"/>
                <w:szCs w:val="20"/>
                <w:color w:val="auto"/>
              </w:rPr>
            </w:pPr>
            <w:r>
              <w:rPr>
                <w:rFonts w:ascii="Arial" w:cs="Arial" w:eastAsia="Arial" w:hAnsi="Arial"/>
                <w:sz w:val="16"/>
                <w:szCs w:val="16"/>
                <w:color w:val="auto"/>
              </w:rPr>
              <w:t>0.31%</w:t>
            </w:r>
          </w:p>
        </w:tc>
      </w:tr>
      <w:tr>
        <w:trPr>
          <w:trHeight w:val="33"/>
        </w:trPr>
        <w:tc>
          <w:tcPr>
            <w:tcW w:w="3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7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r>
      <w:tr>
        <w:trPr>
          <w:trHeight w:val="200"/>
        </w:trPr>
        <w:tc>
          <w:tcPr>
            <w:tcW w:w="3200" w:type="dxa"/>
            <w:vAlign w:val="bottom"/>
          </w:tcPr>
          <w:p>
            <w:pPr>
              <w:ind w:left="280"/>
              <w:spacing w:after="0"/>
              <w:rPr>
                <w:sz w:val="20"/>
                <w:szCs w:val="20"/>
                <w:color w:val="auto"/>
              </w:rPr>
            </w:pPr>
            <w:r>
              <w:rPr>
                <w:rFonts w:ascii="Arial" w:cs="Arial" w:eastAsia="Arial" w:hAnsi="Arial"/>
                <w:sz w:val="16"/>
                <w:szCs w:val="16"/>
                <w:color w:val="auto"/>
              </w:rPr>
              <w:t>NestGSV, Inc. (d/b/a GSV Labs, Inc.)–</w:t>
            </w: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200" w:type="dxa"/>
            <w:vAlign w:val="bottom"/>
          </w:tcPr>
          <w:p>
            <w:pPr>
              <w:ind w:left="280"/>
              <w:spacing w:after="0"/>
              <w:rPr>
                <w:sz w:val="20"/>
                <w:szCs w:val="20"/>
                <w:color w:val="auto"/>
              </w:rPr>
            </w:pPr>
            <w:r>
              <w:rPr>
                <w:rFonts w:ascii="Arial" w:cs="Arial" w:eastAsia="Arial" w:hAnsi="Arial"/>
                <w:sz w:val="16"/>
                <w:szCs w:val="16"/>
                <w:color w:val="auto"/>
                <w:w w:val="97"/>
              </w:rPr>
              <w:t>Preferred Warrant Series A-3, Strike Price</w:t>
            </w: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3200" w:type="dxa"/>
            <w:vAlign w:val="bottom"/>
          </w:tcPr>
          <w:p>
            <w:pPr>
              <w:ind w:left="280"/>
              <w:spacing w:after="0"/>
              <w:rPr>
                <w:sz w:val="20"/>
                <w:szCs w:val="20"/>
                <w:color w:val="auto"/>
              </w:rPr>
            </w:pPr>
            <w:r>
              <w:rPr>
                <w:rFonts w:ascii="Arial" w:cs="Arial" w:eastAsia="Arial" w:hAnsi="Arial"/>
                <w:sz w:val="16"/>
                <w:szCs w:val="16"/>
                <w:color w:val="auto"/>
              </w:rPr>
              <w:t>$1.33, Expiration Date 4/4/2021</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187,500</w:t>
            </w:r>
          </w:p>
        </w:tc>
        <w:tc>
          <w:tcPr>
            <w:tcW w:w="118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79"/>
              <w:spacing w:after="0"/>
              <w:rPr>
                <w:sz w:val="20"/>
                <w:szCs w:val="20"/>
                <w:color w:val="auto"/>
              </w:rPr>
            </w:pPr>
            <w:r>
              <w:rPr>
                <w:rFonts w:ascii="Arial" w:cs="Arial" w:eastAsia="Arial" w:hAnsi="Arial"/>
                <w:sz w:val="16"/>
                <w:szCs w:val="16"/>
                <w:color w:val="auto"/>
              </w:rPr>
              <w:t>20,625</w:t>
            </w:r>
          </w:p>
        </w:tc>
        <w:tc>
          <w:tcPr>
            <w:tcW w:w="1080" w:type="dxa"/>
            <w:vAlign w:val="bottom"/>
          </w:tcPr>
          <w:p>
            <w:pPr>
              <w:ind w:left="480"/>
              <w:spacing w:after="0"/>
              <w:rPr>
                <w:sz w:val="20"/>
                <w:szCs w:val="20"/>
                <w:color w:val="auto"/>
              </w:rPr>
            </w:pPr>
            <w:r>
              <w:rPr>
                <w:rFonts w:ascii="Arial" w:cs="Arial" w:eastAsia="Arial" w:hAnsi="Arial"/>
                <w:sz w:val="16"/>
                <w:szCs w:val="16"/>
                <w:color w:val="auto"/>
              </w:rPr>
              <w:t>—</w:t>
            </w:r>
          </w:p>
        </w:tc>
        <w:tc>
          <w:tcPr>
            <w:tcW w:w="840" w:type="dxa"/>
            <w:vAlign w:val="bottom"/>
          </w:tcPr>
          <w:p>
            <w:pPr>
              <w:ind w:left="4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(10,312)</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10,313</w:t>
            </w:r>
          </w:p>
        </w:tc>
        <w:tc>
          <w:tcPr>
            <w:tcW w:w="720" w:type="dxa"/>
            <w:vAlign w:val="bottom"/>
          </w:tcPr>
          <w:p>
            <w:pPr>
              <w:jc w:val="right"/>
              <w:spacing w:after="0"/>
              <w:rPr>
                <w:sz w:val="20"/>
                <w:szCs w:val="20"/>
                <w:color w:val="auto"/>
              </w:rPr>
            </w:pPr>
            <w:r>
              <w:rPr>
                <w:rFonts w:ascii="Arial" w:cs="Arial" w:eastAsia="Arial" w:hAnsi="Arial"/>
                <w:sz w:val="16"/>
                <w:szCs w:val="16"/>
                <w:color w:val="auto"/>
              </w:rPr>
              <w:t>0.01%</w:t>
            </w:r>
          </w:p>
        </w:tc>
      </w:tr>
      <w:tr>
        <w:trPr>
          <w:trHeight w:val="33"/>
        </w:trPr>
        <w:tc>
          <w:tcPr>
            <w:tcW w:w="3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0"/>
        </w:trPr>
        <w:tc>
          <w:tcPr>
            <w:tcW w:w="3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NestGSV, Inc. (d/b/a GSV Labs, Inc.)–</w:t>
            </w:r>
          </w:p>
        </w:tc>
        <w:tc>
          <w:tcPr>
            <w:tcW w:w="7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03"/>
        </w:trPr>
        <w:tc>
          <w:tcPr>
            <w:tcW w:w="32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7"/>
              </w:rPr>
              <w:t>Preferred Warrant Series A-4, Strike Price</w:t>
            </w:r>
          </w:p>
        </w:tc>
        <w:tc>
          <w:tcPr>
            <w:tcW w:w="7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9"/>
        </w:trPr>
        <w:tc>
          <w:tcPr>
            <w:tcW w:w="3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$1.33, Expiration Date 10/6/2021</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1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135,000</w:t>
            </w:r>
          </w:p>
        </w:tc>
        <w:tc>
          <w:tcPr>
            <w:tcW w:w="1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(65,000)</w:t>
            </w:r>
          </w:p>
        </w:tc>
        <w:tc>
          <w:tcPr>
            <w:tcW w:w="10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70,000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00"/>
        </w:trPr>
        <w:tc>
          <w:tcPr>
            <w:tcW w:w="3200" w:type="dxa"/>
            <w:vAlign w:val="bottom"/>
          </w:tcPr>
          <w:p>
            <w:pPr>
              <w:ind w:left="280"/>
              <w:spacing w:after="0"/>
              <w:rPr>
                <w:sz w:val="20"/>
                <w:szCs w:val="20"/>
                <w:color w:val="auto"/>
              </w:rPr>
            </w:pPr>
            <w:r>
              <w:rPr>
                <w:rFonts w:ascii="Arial" w:cs="Arial" w:eastAsia="Arial" w:hAnsi="Arial"/>
                <w:sz w:val="16"/>
                <w:szCs w:val="16"/>
                <w:color w:val="auto"/>
              </w:rPr>
              <w:t>NestGSV, Inc. (d/b/a GSV Labs, Inc.)–</w:t>
            </w: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3200" w:type="dxa"/>
            <w:vAlign w:val="bottom"/>
          </w:tcPr>
          <w:p>
            <w:pPr>
              <w:ind w:left="280"/>
              <w:spacing w:after="0"/>
              <w:rPr>
                <w:sz w:val="20"/>
                <w:szCs w:val="20"/>
                <w:color w:val="auto"/>
              </w:rPr>
            </w:pPr>
            <w:r>
              <w:rPr>
                <w:rFonts w:ascii="Arial" w:cs="Arial" w:eastAsia="Arial" w:hAnsi="Arial"/>
                <w:sz w:val="16"/>
                <w:szCs w:val="16"/>
                <w:color w:val="auto"/>
                <w:w w:val="97"/>
              </w:rPr>
              <w:t>Preferred Warrant Series A-4, Strike Price</w:t>
            </w: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3200" w:type="dxa"/>
            <w:vAlign w:val="bottom"/>
          </w:tcPr>
          <w:p>
            <w:pPr>
              <w:ind w:left="280"/>
              <w:spacing w:after="0"/>
              <w:rPr>
                <w:sz w:val="20"/>
                <w:szCs w:val="20"/>
                <w:color w:val="auto"/>
              </w:rPr>
            </w:pPr>
            <w:r>
              <w:rPr>
                <w:rFonts w:ascii="Arial" w:cs="Arial" w:eastAsia="Arial" w:hAnsi="Arial"/>
                <w:sz w:val="16"/>
                <w:szCs w:val="16"/>
                <w:color w:val="auto"/>
              </w:rPr>
              <w:t>$1.33, Expiration Date 7/18/2021</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250,000</w:t>
            </w:r>
          </w:p>
        </w:tc>
        <w:tc>
          <w:tcPr>
            <w:tcW w:w="1180" w:type="dxa"/>
            <w:vAlign w:val="bottom"/>
          </w:tcPr>
          <w:p>
            <w:pPr>
              <w:ind w:left="8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79"/>
              <w:spacing w:after="0"/>
              <w:rPr>
                <w:sz w:val="20"/>
                <w:szCs w:val="20"/>
                <w:color w:val="auto"/>
              </w:rPr>
            </w:pPr>
            <w:r>
              <w:rPr>
                <w:rFonts w:ascii="Arial" w:cs="Arial" w:eastAsia="Arial" w:hAnsi="Arial"/>
                <w:sz w:val="16"/>
                <w:szCs w:val="16"/>
                <w:color w:val="auto"/>
              </w:rPr>
              <w:t>62,500</w:t>
            </w:r>
          </w:p>
        </w:tc>
        <w:tc>
          <w:tcPr>
            <w:tcW w:w="1080" w:type="dxa"/>
            <w:vAlign w:val="bottom"/>
          </w:tcPr>
          <w:p>
            <w:pPr>
              <w:ind w:left="480"/>
              <w:spacing w:after="0"/>
              <w:rPr>
                <w:sz w:val="20"/>
                <w:szCs w:val="20"/>
                <w:color w:val="auto"/>
              </w:rPr>
            </w:pPr>
            <w:r>
              <w:rPr>
                <w:rFonts w:ascii="Arial" w:cs="Arial" w:eastAsia="Arial" w:hAnsi="Arial"/>
                <w:sz w:val="16"/>
                <w:szCs w:val="16"/>
                <w:color w:val="auto"/>
              </w:rPr>
              <w:t>—</w:t>
            </w:r>
          </w:p>
        </w:tc>
        <w:tc>
          <w:tcPr>
            <w:tcW w:w="840" w:type="dxa"/>
            <w:vAlign w:val="bottom"/>
          </w:tcPr>
          <w:p>
            <w:pPr>
              <w:ind w:left="4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59"/>
              <w:spacing w:after="0"/>
              <w:rPr>
                <w:sz w:val="20"/>
                <w:szCs w:val="20"/>
                <w:color w:val="auto"/>
              </w:rPr>
            </w:pPr>
            <w:r>
              <w:rPr>
                <w:rFonts w:ascii="Arial" w:cs="Arial" w:eastAsia="Arial" w:hAnsi="Arial"/>
                <w:sz w:val="16"/>
                <w:szCs w:val="16"/>
                <w:color w:val="auto"/>
              </w:rPr>
              <w:t>(30,000)</w:t>
            </w:r>
          </w:p>
        </w:tc>
        <w:tc>
          <w:tcPr>
            <w:tcW w:w="1020" w:type="dxa"/>
            <w:vAlign w:val="bottom"/>
          </w:tcPr>
          <w:p>
            <w:pPr>
              <w:jc w:val="right"/>
              <w:ind w:right="179"/>
              <w:spacing w:after="0"/>
              <w:rPr>
                <w:sz w:val="20"/>
                <w:szCs w:val="20"/>
                <w:color w:val="auto"/>
              </w:rPr>
            </w:pPr>
            <w:r>
              <w:rPr>
                <w:rFonts w:ascii="Arial" w:cs="Arial" w:eastAsia="Arial" w:hAnsi="Arial"/>
                <w:sz w:val="16"/>
                <w:szCs w:val="16"/>
                <w:color w:val="auto"/>
              </w:rPr>
              <w:t>32,500</w:t>
            </w:r>
          </w:p>
        </w:tc>
        <w:tc>
          <w:tcPr>
            <w:tcW w:w="720" w:type="dxa"/>
            <w:vAlign w:val="bottom"/>
          </w:tcPr>
          <w:p>
            <w:pPr>
              <w:jc w:val="right"/>
              <w:spacing w:after="0"/>
              <w:rPr>
                <w:sz w:val="20"/>
                <w:szCs w:val="20"/>
                <w:color w:val="auto"/>
              </w:rPr>
            </w:pPr>
            <w:r>
              <w:rPr>
                <w:rFonts w:ascii="Arial" w:cs="Arial" w:eastAsia="Arial" w:hAnsi="Arial"/>
                <w:sz w:val="16"/>
                <w:szCs w:val="16"/>
                <w:color w:val="auto"/>
              </w:rPr>
              <w:t>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-1409700</wp:posOffset>
            </wp:positionV>
            <wp:extent cx="196278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Fees,</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Purchases,</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or</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8"/>
              </w:rPr>
              <w:t>Fair Value at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Unrealized</w:t>
            </w:r>
          </w:p>
        </w:tc>
        <w:tc>
          <w:tcPr>
            <w:tcW w:w="104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Type/Industry/Portfolio Company/Investment</w:t>
            </w:r>
          </w:p>
        </w:tc>
        <w:tc>
          <w:tcPr>
            <w:tcW w:w="120" w:type="dxa"/>
            <w:vAlign w:val="bottom"/>
            <w:vMerge w:val="restart"/>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31,</w:t>
            </w:r>
          </w:p>
        </w:tc>
        <w:tc>
          <w:tcPr>
            <w:tcW w:w="80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Quantity</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 Labs, Inc.)–</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Preferred Warrant Series B, Strike Price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$2.31, Expiration Date 11/29/2021</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100,000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NestGSV, Inc. (d/b/a GSV Labs, Inc.)–</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Preferred Warrant Series B, Strike Price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$2.31, Expiration Date 5/29/2022</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125,000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 Labs, Inc.)–</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2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Preferred Warrant Series B, Strike Price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$2.31, Expiration Date 12/31/2023</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2,500</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00"/>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Derivative Security, Expiration Date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080" w:type="dxa"/>
            <w:vAlign w:val="bottom"/>
            <w:tcBorders>
              <w:bottom w:val="single" w:sz="8" w:color="CCEEFF"/>
            </w:tcBorders>
          </w:tcPr>
          <w:p>
            <w:pPr>
              <w:ind w:left="280"/>
              <w:spacing w:after="0" w:line="239" w:lineRule="exact"/>
              <w:rPr>
                <w:sz w:val="20"/>
                <w:szCs w:val="20"/>
                <w:color w:val="auto"/>
              </w:rPr>
            </w:pPr>
            <w:r>
              <w:rPr>
                <w:rFonts w:ascii="Arial" w:cs="Arial" w:eastAsia="Arial" w:hAnsi="Arial"/>
                <w:sz w:val="16"/>
                <w:szCs w:val="16"/>
                <w:color w:val="auto"/>
              </w:rPr>
              <w:t>8/23/2024</w:t>
            </w:r>
            <w:r>
              <w:rPr>
                <w:rFonts w:ascii="Arial" w:cs="Arial" w:eastAsia="Arial" w:hAnsi="Arial"/>
                <w:sz w:val="21"/>
                <w:szCs w:val="21"/>
                <w:color w:val="auto"/>
                <w:vertAlign w:val="superscript"/>
              </w:rPr>
              <w:t>(6)</w:t>
            </w:r>
          </w:p>
        </w:tc>
        <w:tc>
          <w:tcPr>
            <w:tcW w:w="12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8"/>
              </w:rPr>
              <w:t>3,880,621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(1,884,551)</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98"/>
              </w:rPr>
              <w:t>1,996,070</w:t>
            </w:r>
          </w:p>
        </w:tc>
        <w:tc>
          <w:tcPr>
            <w:tcW w:w="1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43"/>
        </w:trPr>
        <w:tc>
          <w:tcPr>
            <w:tcW w:w="32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Global Innovation Platform</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4,101,246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(1,989,863)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8"/>
              </w:rPr>
              <w:t>2,111,383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7"/>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Options</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5,283,506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(2,643,062)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w w:val="98"/>
              </w:rPr>
              <w:t>2,640,444</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w:t>
            </w:r>
          </w:p>
        </w:tc>
        <w:tc>
          <w:tcPr>
            <w:tcW w:w="7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3200" w:type="dxa"/>
            <w:vAlign w:val="bottom"/>
            <w:gridSpan w:val="2"/>
          </w:tcPr>
          <w:p>
            <w:pPr>
              <w:ind w:left="180"/>
              <w:spacing w:after="0"/>
              <w:rPr>
                <w:sz w:val="20"/>
                <w:szCs w:val="20"/>
                <w:color w:val="auto"/>
              </w:rPr>
            </w:pPr>
            <w:r>
              <w:rPr>
                <w:rFonts w:ascii="Arial" w:cs="Arial" w:eastAsia="Arial" w:hAnsi="Arial"/>
                <w:sz w:val="16"/>
                <w:szCs w:val="16"/>
                <w:i w:val="1"/>
                <w:iCs w:val="1"/>
                <w:color w:val="auto"/>
              </w:rPr>
              <w:t>Online Education</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Curious.com, Inc.–Common shares</w:t>
            </w:r>
          </w:p>
        </w:tc>
        <w:tc>
          <w:tcPr>
            <w:tcW w:w="7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1,135,944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200" w:type="dxa"/>
            <w:vAlign w:val="bottom"/>
            <w:gridSpan w:val="2"/>
          </w:tcPr>
          <w:p>
            <w:pPr>
              <w:ind w:left="180"/>
              <w:spacing w:after="0"/>
              <w:rPr>
                <w:sz w:val="20"/>
                <w:szCs w:val="20"/>
                <w:color w:val="auto"/>
              </w:rPr>
            </w:pPr>
            <w:r>
              <w:rPr>
                <w:rFonts w:ascii="Arial" w:cs="Arial" w:eastAsia="Arial" w:hAnsi="Arial"/>
                <w:sz w:val="16"/>
                <w:szCs w:val="16"/>
                <w:i w:val="1"/>
                <w:iCs w:val="1"/>
                <w:color w:val="auto"/>
              </w:rPr>
              <w:t>Cannabis REIT</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GreenAcreage Real Estate Corp. -</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0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Common shares***</w:t>
            </w:r>
            <w:r>
              <w:rPr>
                <w:rFonts w:ascii="Arial" w:cs="Arial" w:eastAsia="Arial" w:hAnsi="Arial"/>
                <w:sz w:val="21"/>
                <w:szCs w:val="21"/>
                <w:color w:val="auto"/>
                <w:vertAlign w:val="superscript"/>
              </w:rPr>
              <w:t>(7)</w:t>
            </w: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375,000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26,250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7,500,000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8"/>
              </w:rPr>
              <w:t>6,750,000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37"/>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Common Stock</w:t>
            </w: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2"/>
              <w:spacing w:after="0"/>
              <w:rPr>
                <w:sz w:val="20"/>
                <w:szCs w:val="20"/>
                <w:color w:val="auto"/>
              </w:rPr>
            </w:pPr>
            <w:r>
              <w:rPr>
                <w:rFonts w:ascii="Arial" w:cs="Arial" w:eastAsia="Arial" w:hAnsi="Arial"/>
                <w:sz w:val="16"/>
                <w:szCs w:val="16"/>
                <w:color w:val="auto"/>
              </w:rPr>
              <w:t>26,250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7,500,000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(750,000)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w w:val="98"/>
              </w:rPr>
              <w:t>6,750,000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NON-</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CONTROLLED/AFFILIATE</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46,678</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87"/>
              </w:rPr>
              <w:t>37,944,268</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shd w:val="clear" w:color="auto" w:fill="CCEEFF"/>
          </w:tcPr>
          <w:p>
            <w:pPr>
              <w:ind w:left="60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shd w:val="clear" w:color="auto" w:fill="CCEEFF"/>
          </w:tcPr>
          <w:p>
            <w:pPr>
              <w:spacing w:after="0"/>
              <w:rPr>
                <w:sz w:val="17"/>
                <w:szCs w:val="17"/>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60" w:type="dxa"/>
            <w:vAlign w:val="bottom"/>
            <w:vMerge w:val="restart"/>
            <w:shd w:val="clear" w:color="auto" w:fill="CCEEFF"/>
          </w:tcPr>
          <w:p>
            <w:pPr>
              <w:ind w:left="50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(10,075,414)</w:t>
            </w:r>
          </w:p>
        </w:tc>
        <w:tc>
          <w:tcPr>
            <w:tcW w:w="10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7"/>
              </w:rPr>
              <w:t>27,868,854</w:t>
            </w: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16.15%</w:t>
            </w:r>
          </w:p>
        </w:tc>
        <w:tc>
          <w:tcPr>
            <w:tcW w:w="0" w:type="dxa"/>
            <w:vAlign w:val="bottom"/>
          </w:tcPr>
          <w:p>
            <w:pPr>
              <w:spacing w:after="0"/>
              <w:rPr>
                <w:sz w:val="1"/>
                <w:szCs w:val="1"/>
                <w:color w:val="auto"/>
              </w:rPr>
            </w:pPr>
          </w:p>
        </w:tc>
      </w:tr>
      <w:tr>
        <w:trPr>
          <w:trHeight w:val="270"/>
        </w:trPr>
        <w:tc>
          <w:tcPr>
            <w:tcW w:w="3080" w:type="dxa"/>
            <w:vAlign w:val="bottom"/>
            <w:tcBorders>
              <w:bottom w:val="single" w:sz="8" w:color="CCEEFF"/>
            </w:tcBorders>
            <w:shd w:val="clear" w:color="auto" w:fill="CCEEFF"/>
          </w:tcPr>
          <w:p>
            <w:pPr>
              <w:ind w:left="4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vMerge w:val="continue"/>
            <w:shd w:val="clear" w:color="auto" w:fill="CCEEFF"/>
          </w:tcPr>
          <w:p>
            <w:pPr>
              <w:spacing w:after="0"/>
              <w:rPr>
                <w:sz w:val="23"/>
                <w:szCs w:val="23"/>
                <w:color w:val="auto"/>
              </w:rPr>
            </w:pPr>
          </w:p>
        </w:tc>
        <w:tc>
          <w:tcPr>
            <w:tcW w:w="82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82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86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vMerge w:val="continue"/>
            <w:shd w:val="clear" w:color="auto" w:fill="CCEEFF"/>
          </w:tcPr>
          <w:p>
            <w:pPr>
              <w:spacing w:after="0"/>
              <w:rPr>
                <w:sz w:val="23"/>
                <w:szCs w:val="23"/>
                <w:color w:val="auto"/>
              </w:rPr>
            </w:pPr>
          </w:p>
        </w:tc>
        <w:tc>
          <w:tcPr>
            <w:tcW w:w="160" w:type="dxa"/>
            <w:vAlign w:val="bottom"/>
            <w:tcBorders>
              <w:bottom w:val="single" w:sz="8" w:color="auto"/>
            </w:tcBorders>
            <w:vMerge w:val="continue"/>
            <w:shd w:val="clear" w:color="auto" w:fill="CCEEFF"/>
          </w:tcPr>
          <w:p>
            <w:pPr>
              <w:spacing w:after="0"/>
              <w:rPr>
                <w:sz w:val="23"/>
                <w:szCs w:val="23"/>
                <w:color w:val="auto"/>
              </w:rPr>
            </w:pPr>
          </w:p>
        </w:tc>
        <w:tc>
          <w:tcPr>
            <w:tcW w:w="760" w:type="dxa"/>
            <w:vAlign w:val="bottom"/>
            <w:tcBorders>
              <w:bottom w:val="single" w:sz="8" w:color="auto"/>
            </w:tcBorders>
            <w:vMerge w:val="continue"/>
            <w:shd w:val="clear" w:color="auto" w:fill="CCEEFF"/>
          </w:tcPr>
          <w:p>
            <w:pPr>
              <w:spacing w:after="0"/>
              <w:rPr>
                <w:sz w:val="23"/>
                <w:szCs w:val="23"/>
                <w:color w:val="auto"/>
              </w:rPr>
            </w:pPr>
          </w:p>
        </w:tc>
        <w:tc>
          <w:tcPr>
            <w:tcW w:w="120" w:type="dxa"/>
            <w:vAlign w:val="bottom"/>
            <w:tcBorders>
              <w:bottom w:val="single" w:sz="8" w:color="CCEEFF"/>
            </w:tcBorders>
            <w:vMerge w:val="continue"/>
            <w:shd w:val="clear" w:color="auto" w:fill="CCEEFF"/>
          </w:tcPr>
          <w:p>
            <w:pPr>
              <w:spacing w:after="0"/>
              <w:rPr>
                <w:sz w:val="23"/>
                <w:szCs w:val="23"/>
                <w:color w:val="auto"/>
              </w:rPr>
            </w:pPr>
          </w:p>
        </w:tc>
        <w:tc>
          <w:tcPr>
            <w:tcW w:w="100" w:type="dxa"/>
            <w:vAlign w:val="bottom"/>
            <w:tcBorders>
              <w:bottom w:val="single" w:sz="8" w:color="auto"/>
            </w:tcBorders>
            <w:vMerge w:val="continue"/>
            <w:shd w:val="clear" w:color="auto" w:fill="CCEEFF"/>
          </w:tcPr>
          <w:p>
            <w:pPr>
              <w:spacing w:after="0"/>
              <w:rPr>
                <w:sz w:val="23"/>
                <w:szCs w:val="23"/>
                <w:color w:val="auto"/>
              </w:rPr>
            </w:pPr>
          </w:p>
        </w:tc>
        <w:tc>
          <w:tcPr>
            <w:tcW w:w="90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vMerge w:val="continue"/>
            <w:shd w:val="clear" w:color="auto" w:fill="CCEEFF"/>
          </w:tcPr>
          <w:p>
            <w:pPr>
              <w:spacing w:after="0"/>
              <w:rPr>
                <w:sz w:val="23"/>
                <w:szCs w:val="23"/>
                <w:color w:val="auto"/>
              </w:rPr>
            </w:pPr>
          </w:p>
        </w:tc>
        <w:tc>
          <w:tcPr>
            <w:tcW w:w="820" w:type="dxa"/>
            <w:vAlign w:val="bottom"/>
            <w:tcBorders>
              <w:bottom w:val="single" w:sz="8" w:color="auto"/>
            </w:tcBorders>
            <w:vMerge w:val="continue"/>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vMerge w:val="continue"/>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6562725</wp:posOffset>
            </wp:positionH>
            <wp:positionV relativeFrom="paragraph">
              <wp:posOffset>-1971040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-1971040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-1971040</wp:posOffset>
            </wp:positionV>
            <wp:extent cx="5486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-3531235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45" w:lineRule="exact"/>
        <w:rPr>
          <w:sz w:val="20"/>
          <w:szCs w:val="20"/>
          <w:color w:val="auto"/>
        </w:rPr>
      </w:pPr>
    </w:p>
    <w:p>
      <w:pPr>
        <w:jc w:val="both"/>
        <w:ind w:left="340" w:hanging="332"/>
        <w:spacing w:after="0" w:line="301"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44" w:lineRule="exact"/>
        <w:rPr>
          <w:sz w:val="20"/>
          <w:szCs w:val="20"/>
          <w:color w:val="auto"/>
        </w:rPr>
      </w:pPr>
    </w:p>
    <w:p>
      <w:pPr>
        <w:ind w:left="340" w:right="20" w:hanging="332"/>
        <w:spacing w:after="0" w:line="275" w:lineRule="auto"/>
        <w:tabs>
          <w:tab w:leader="none" w:pos="218"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Indicates assets that Sutter Rock Capital Corp believes do not represent “qualifying assets” under Section 55(a) of the Investment Company Act of 1940, as amended (the “1940 Act”). Of the Company’s total investments as of March 31, 2020, 0.00% of its total investments are non-qualifying assets.</w:t>
      </w:r>
    </w:p>
    <w:p>
      <w:pPr>
        <w:spacing w:after="0" w:line="145" w:lineRule="exact"/>
        <w:rPr>
          <w:rFonts w:ascii="Arial" w:cs="Arial" w:eastAsia="Arial" w:hAnsi="Arial"/>
          <w:sz w:val="16"/>
          <w:szCs w:val="16"/>
          <w:color w:val="auto"/>
        </w:rPr>
      </w:pPr>
    </w:p>
    <w:p>
      <w:pPr>
        <w:ind w:left="340" w:hanging="332"/>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194" w:lineRule="exact"/>
        <w:rPr>
          <w:sz w:val="20"/>
          <w:szCs w:val="20"/>
          <w:color w:val="auto"/>
        </w:rPr>
      </w:pPr>
    </w:p>
    <w:p>
      <w:pPr>
        <w:jc w:val="both"/>
        <w:ind w:left="500" w:hanging="492"/>
        <w:spacing w:after="0" w:line="261"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Sutter Rock Capital Corp., as defined in the 1940 Act. In general, a company is deemed to be an “Affiliate” of Sutter Rock Capital Corp. if Sutter Rock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0" w:lineRule="exact"/>
        <w:rPr>
          <w:sz w:val="20"/>
          <w:szCs w:val="20"/>
          <w:color w:val="auto"/>
        </w:rPr>
      </w:pPr>
    </w:p>
    <w:p>
      <w:pPr>
        <w:spacing w:after="0" w:line="204" w:lineRule="exact"/>
        <w:rPr>
          <w:sz w:val="20"/>
          <w:szCs w:val="20"/>
          <w:color w:val="auto"/>
        </w:rPr>
      </w:pPr>
    </w:p>
    <w:p>
      <w:pPr>
        <w:jc w:val="both"/>
        <w:ind w:left="500" w:hanging="492"/>
        <w:spacing w:after="0" w:line="286" w:lineRule="auto"/>
        <w:tabs>
          <w:tab w:leader="none" w:pos="5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“Control Investments” are investments in those companies that are “Controlled Companies” of Sutter Rock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39" w:lineRule="exact"/>
        <w:rPr>
          <w:rFonts w:ascii="Arial" w:cs="Arial" w:eastAsia="Arial" w:hAnsi="Arial"/>
          <w:sz w:val="15"/>
          <w:szCs w:val="15"/>
          <w:color w:val="auto"/>
        </w:rPr>
      </w:pPr>
    </w:p>
    <w:p>
      <w:pPr>
        <w:ind w:left="500" w:hanging="492"/>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of March 31, 2020, the investments noted had been placed on non-accrual status.</w:t>
      </w:r>
    </w:p>
    <w:p>
      <w:pPr>
        <w:spacing w:after="0" w:line="194"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SPBRX, INC. (f/k/a GSV Sustainability Partners, Inc.) preferred shares held by Sutter Rock Capital Corp. do not entitle Sutter Rock Capital Corp. to a preferred dividend rate. During the three months ended March 31, 2020, SPBRX, INC. (f/k/a GSV Sustainability Partners, Inc.) declared, and Sutter Rock Capital Corp. received, an aggregate of $0 in dividend distributions. Sutter Rock Capital Corp. does not anticipate that SPBRX, INC. will pay distributions on a quarterly or regular basis or become a predictable distributor of distributions.</w:t>
      </w:r>
    </w:p>
    <w:p>
      <w:pPr>
        <w:spacing w:after="0" w:line="159" w:lineRule="exact"/>
        <w:rPr>
          <w:rFonts w:ascii="Arial" w:cs="Arial" w:eastAsia="Arial" w:hAnsi="Arial"/>
          <w:sz w:val="16"/>
          <w:szCs w:val="16"/>
          <w:color w:val="auto"/>
        </w:rPr>
      </w:pPr>
    </w:p>
    <w:p>
      <w:pPr>
        <w:ind w:left="500" w:hanging="492"/>
        <w:spacing w:after="0"/>
        <w:tabs>
          <w:tab w:leader="none" w:pos="5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Sutter Rock Capital Corp.’s investments in StormWind, LLC are held through Sutter Rock Capital Corp.'s wholly owned subsidiary, GSVC SW Holdings, Inc.</w:t>
      </w:r>
    </w:p>
    <w:p>
      <w:pPr>
        <w:spacing w:after="0" w:line="205" w:lineRule="exact"/>
        <w:rPr>
          <w:rFonts w:ascii="Arial" w:cs="Arial" w:eastAsia="Arial" w:hAnsi="Arial"/>
          <w:sz w:val="15"/>
          <w:szCs w:val="15"/>
          <w:color w:val="auto"/>
        </w:rPr>
      </w:pPr>
    </w:p>
    <w:p>
      <w:pPr>
        <w:jc w:val="both"/>
        <w:ind w:left="500" w:hanging="492"/>
        <w:spacing w:after="0" w:line="256"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On August 23, 2019, Sutter Rock Capital Corp. amended the structure of its investment in NestGSV, Inc. (d/b/a GSV Labs, Inc.). As part of the agreement, Sutter Rock Capital Corp’s equity holdings (warrants notwithstanding) were restructured into a derivative security. NestGSV, Inc. (d/b/a GSV Labs,Inc.) has the right to call the position at any time over a five year period, while Sutter Rock Capital Corp. can put the shares to NestGSV, Inc. (d/b/a GSV Labs, Inc.) at the end of the five year period.</w:t>
      </w:r>
    </w:p>
    <w:p>
      <w:pPr>
        <w:spacing w:after="0" w:line="159" w:lineRule="exact"/>
        <w:rPr>
          <w:rFonts w:ascii="Arial" w:cs="Arial" w:eastAsia="Arial" w:hAnsi="Arial"/>
          <w:sz w:val="16"/>
          <w:szCs w:val="16"/>
          <w:color w:val="auto"/>
        </w:rPr>
      </w:pPr>
    </w:p>
    <w:p>
      <w:pPr>
        <w:ind w:left="500" w:hanging="492"/>
        <w:spacing w:after="0" w:line="310" w:lineRule="auto"/>
        <w:tabs>
          <w:tab w:leader="none" w:pos="5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During the three months ended March 31, 2020, GreenAcreage Real Estate Corp. declared a $26,250 dividend distribution. Sutter Rock Capital Corp. does not anticipate that Green Acreage Real Estate Corp. will pay distributions on a recurring or regular basis or become a predictable distributor of distributions.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29" w:lineRule="exact"/>
        <w:rPr>
          <w:sz w:val="20"/>
          <w:szCs w:val="20"/>
          <w:color w:val="auto"/>
        </w:rPr>
      </w:pPr>
    </w:p>
    <w:p>
      <w:pPr>
        <w:ind w:right="40" w:firstLine="351"/>
        <w:spacing w:after="0" w:line="277" w:lineRule="auto"/>
        <w:rPr>
          <w:sz w:val="20"/>
          <w:szCs w:val="20"/>
          <w:color w:val="auto"/>
        </w:rPr>
      </w:pPr>
      <w:r>
        <w:rPr>
          <w:rFonts w:ascii="Arial" w:cs="Arial" w:eastAsia="Arial" w:hAnsi="Arial"/>
          <w:sz w:val="18"/>
          <w:szCs w:val="18"/>
          <w:color w:val="auto"/>
        </w:rPr>
        <w:t>Transactions during the year ended December 31, 2019 involving the Company’s controlled investments and non-controlled/affiliate investments were as follows: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Interest, Fees,</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Purchases,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or</w:t>
            </w: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Capitalized</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8"/>
              </w:rPr>
              <w:t>Fair Value at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8"/>
        </w:trPr>
        <w:tc>
          <w:tcPr>
            <w:tcW w:w="21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Dividends</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December</w:t>
            </w:r>
          </w:p>
        </w:tc>
        <w:tc>
          <w:tcPr>
            <w:tcW w:w="14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gridSpan w:val="3"/>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1"/>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760" w:type="dxa"/>
            <w:vAlign w:val="bottom"/>
          </w:tcPr>
          <w:p>
            <w:pPr>
              <w:jc w:val="right"/>
              <w:ind w:right="122"/>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Quantity</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Action</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Gains/(Losses)</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Gains/(Losses)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31, 2019</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89"/>
        </w:trPr>
        <w:tc>
          <w:tcPr>
            <w:tcW w:w="216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CONTROLLED</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tcBorders>
              <w:left w:val="single" w:sz="8" w:color="CCEEFF"/>
              <w:right w:val="single" w:sz="8" w:color="CCEEFF"/>
            </w:tcBorders>
            <w:shd w:val="clear" w:color="auto" w:fill="000000"/>
          </w:tcPr>
          <w:p>
            <w:pPr>
              <w:spacing w:after="0" w:line="20" w:lineRule="exact"/>
              <w:rPr>
                <w:sz w:val="1"/>
                <w:szCs w:val="1"/>
                <w:color w:val="auto"/>
              </w:rPr>
            </w:pPr>
          </w:p>
        </w:tc>
        <w:tc>
          <w:tcPr>
            <w:tcW w:w="94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60" w:type="dxa"/>
            <w:vAlign w:val="bottom"/>
            <w:tcBorders>
              <w:left w:val="single" w:sz="8" w:color="CCEEFF"/>
            </w:tcBorders>
            <w:gridSpan w:val="3"/>
            <w:shd w:val="clear" w:color="auto" w:fill="CCEEFF"/>
          </w:tcPr>
          <w:p>
            <w:pPr>
              <w:ind w:left="40"/>
              <w:spacing w:after="0" w:line="183"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(2)</w:t>
            </w: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5"/>
              </w:rPr>
              <w:t>Preferred Stock</w:t>
            </w:r>
          </w:p>
        </w:tc>
        <w:tc>
          <w:tcPr>
            <w:tcW w:w="940" w:type="dxa"/>
            <w:vAlign w:val="bottom"/>
            <w:tcBorders>
              <w:top w:val="single" w:sz="8" w:color="CCEEFF"/>
            </w:tcBorders>
            <w:gridSpan w:val="2"/>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7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8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6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7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Clean Technology</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160" w:type="dxa"/>
            <w:vAlign w:val="bottom"/>
            <w:gridSpan w:val="3"/>
          </w:tcPr>
          <w:p>
            <w:pPr>
              <w:ind w:left="280"/>
              <w:spacing w:after="0"/>
              <w:rPr>
                <w:sz w:val="20"/>
                <w:szCs w:val="20"/>
                <w:color w:val="auto"/>
              </w:rPr>
            </w:pPr>
            <w:r>
              <w:rPr>
                <w:rFonts w:ascii="Arial" w:cs="Arial" w:eastAsia="Arial" w:hAnsi="Arial"/>
                <w:sz w:val="16"/>
                <w:szCs w:val="16"/>
                <w:color w:val="auto"/>
              </w:rPr>
              <w:t>SPBRX, INC. (f/k/a GSV</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60" w:type="dxa"/>
            <w:vAlign w:val="bottom"/>
            <w:gridSpan w:val="3"/>
          </w:tcPr>
          <w:p>
            <w:pPr>
              <w:ind w:left="280"/>
              <w:spacing w:after="0"/>
              <w:rPr>
                <w:sz w:val="20"/>
                <w:szCs w:val="20"/>
                <w:color w:val="auto"/>
              </w:rPr>
            </w:pPr>
            <w:r>
              <w:rPr>
                <w:rFonts w:ascii="Arial" w:cs="Arial" w:eastAsia="Arial" w:hAnsi="Arial"/>
                <w:sz w:val="16"/>
                <w:szCs w:val="16"/>
                <w:color w:val="auto"/>
              </w:rPr>
              <w:t>Sustainability Partners,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gridSpan w:val="3"/>
          </w:tcPr>
          <w:p>
            <w:pPr>
              <w:ind w:left="280"/>
              <w:spacing w:after="0"/>
              <w:rPr>
                <w:sz w:val="20"/>
                <w:szCs w:val="20"/>
                <w:color w:val="auto"/>
              </w:rPr>
            </w:pPr>
            <w:r>
              <w:rPr>
                <w:rFonts w:ascii="Arial" w:cs="Arial" w:eastAsia="Arial" w:hAnsi="Arial"/>
                <w:sz w:val="16"/>
                <w:szCs w:val="16"/>
                <w:color w:val="auto"/>
              </w:rPr>
              <w:t>Inc.)–Preferred shares,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60" w:type="dxa"/>
            <w:vAlign w:val="bottom"/>
            <w:gridSpan w:val="3"/>
          </w:tcPr>
          <w:p>
            <w:pPr>
              <w:ind w:left="280"/>
              <w:spacing w:after="0" w:line="239" w:lineRule="exact"/>
              <w:rPr>
                <w:sz w:val="20"/>
                <w:szCs w:val="20"/>
                <w:color w:val="auto"/>
              </w:rPr>
            </w:pPr>
            <w:r>
              <w:rPr>
                <w:rFonts w:ascii="Arial" w:cs="Arial" w:eastAsia="Arial" w:hAnsi="Arial"/>
                <w:sz w:val="16"/>
                <w:szCs w:val="16"/>
                <w:color w:val="auto"/>
              </w:rPr>
              <w:t>Class A***</w:t>
            </w:r>
            <w:r>
              <w:rPr>
                <w:rFonts w:ascii="Arial" w:cs="Arial" w:eastAsia="Arial" w:hAnsi="Arial"/>
                <w:sz w:val="21"/>
                <w:szCs w:val="21"/>
                <w:color w:val="auto"/>
                <w:vertAlign w:val="superscript"/>
              </w:rPr>
              <w:t>(3)</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w w:val="92"/>
              </w:rPr>
              <w:t>14,300,000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750,198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20"/>
                <w:szCs w:val="20"/>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775,198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50"/>
        </w:trPr>
        <w:tc>
          <w:tcPr>
            <w:tcW w:w="216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160" w:type="dxa"/>
            <w:vAlign w:val="bottom"/>
            <w:gridSpan w:val="3"/>
          </w:tcPr>
          <w:p>
            <w:pPr>
              <w:ind w:left="280"/>
              <w:spacing w:after="0"/>
              <w:rPr>
                <w:sz w:val="20"/>
                <w:szCs w:val="20"/>
                <w:color w:val="auto"/>
              </w:rPr>
            </w:pPr>
            <w:r>
              <w:rPr>
                <w:rFonts w:ascii="Arial" w:cs="Arial" w:eastAsia="Arial" w:hAnsi="Arial"/>
                <w:sz w:val="16"/>
                <w:szCs w:val="16"/>
                <w:color w:val="auto"/>
              </w:rPr>
              <w:t>NestGSV, Inc. (d/b/a GSV</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60" w:type="dxa"/>
            <w:vAlign w:val="bottom"/>
            <w:gridSpan w:val="3"/>
          </w:tcPr>
          <w:p>
            <w:pPr>
              <w:ind w:left="280"/>
              <w:spacing w:after="0"/>
              <w:rPr>
                <w:sz w:val="20"/>
                <w:szCs w:val="20"/>
                <w:color w:val="auto"/>
              </w:rPr>
            </w:pPr>
            <w:r>
              <w:rPr>
                <w:rFonts w:ascii="Arial" w:cs="Arial" w:eastAsia="Arial" w:hAnsi="Arial"/>
                <w:sz w:val="16"/>
                <w:szCs w:val="16"/>
                <w:color w:val="auto"/>
              </w:rPr>
              <w:t>Labs, Inc.)–Preferred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60" w:type="dxa"/>
            <w:vAlign w:val="bottom"/>
            <w:gridSpan w:val="3"/>
          </w:tcPr>
          <w:p>
            <w:pPr>
              <w:ind w:left="280"/>
              <w:spacing w:after="0" w:line="239" w:lineRule="exact"/>
              <w:rPr>
                <w:sz w:val="20"/>
                <w:szCs w:val="20"/>
                <w:color w:val="auto"/>
              </w:rPr>
            </w:pPr>
            <w:r>
              <w:rPr>
                <w:rFonts w:ascii="Arial" w:cs="Arial" w:eastAsia="Arial" w:hAnsi="Arial"/>
                <w:sz w:val="16"/>
                <w:szCs w:val="16"/>
                <w:color w:val="auto"/>
              </w:rPr>
              <w:t xml:space="preserve">stock Series A-4 </w:t>
            </w:r>
            <w:r>
              <w:rPr>
                <w:rFonts w:ascii="Arial" w:cs="Arial" w:eastAsia="Arial" w:hAnsi="Arial"/>
                <w:sz w:val="21"/>
                <w:szCs w:val="21"/>
                <w:color w:val="auto"/>
                <w:vertAlign w:val="superscript"/>
              </w:rPr>
              <w:t>(7)</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4,960,553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5"/>
              </w:rPr>
              <w:t>(4,904,498)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(56,055)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16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NestGSV, Inc. (d/b/a GSV</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6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Labs, Inc.)–Preferred</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60" w:type="dxa"/>
            <w:vAlign w:val="bottom"/>
            <w:tcBorders>
              <w:left w:val="single" w:sz="8" w:color="CCEEFF"/>
            </w:tcBorders>
            <w:gridSpan w:val="3"/>
            <w:shd w:val="clear" w:color="auto" w:fill="CCEEFF"/>
          </w:tcPr>
          <w:p>
            <w:pPr>
              <w:ind w:left="280"/>
              <w:spacing w:after="0" w:line="239" w:lineRule="exact"/>
              <w:rPr>
                <w:sz w:val="20"/>
                <w:szCs w:val="20"/>
                <w:color w:val="auto"/>
              </w:rPr>
            </w:pPr>
            <w:r>
              <w:rPr>
                <w:rFonts w:ascii="Arial" w:cs="Arial" w:eastAsia="Arial" w:hAnsi="Arial"/>
                <w:sz w:val="16"/>
                <w:szCs w:val="16"/>
                <w:color w:val="auto"/>
              </w:rPr>
              <w:t xml:space="preserve">stock Series A-3 </w:t>
            </w:r>
            <w:r>
              <w:rPr>
                <w:rFonts w:ascii="Arial" w:cs="Arial" w:eastAsia="Arial" w:hAnsi="Arial"/>
                <w:sz w:val="21"/>
                <w:szCs w:val="21"/>
                <w:color w:val="auto"/>
                <w:vertAlign w:val="superscript"/>
              </w:rPr>
              <w:t>(7)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1,735,134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(2,005,730)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270,596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160" w:type="dxa"/>
            <w:vAlign w:val="bottom"/>
            <w:gridSpan w:val="3"/>
          </w:tcPr>
          <w:p>
            <w:pPr>
              <w:ind w:left="280"/>
              <w:spacing w:after="0"/>
              <w:rPr>
                <w:sz w:val="20"/>
                <w:szCs w:val="20"/>
                <w:color w:val="auto"/>
              </w:rPr>
            </w:pPr>
            <w:r>
              <w:rPr>
                <w:rFonts w:ascii="Arial" w:cs="Arial" w:eastAsia="Arial" w:hAnsi="Arial"/>
                <w:sz w:val="16"/>
                <w:szCs w:val="16"/>
                <w:color w:val="auto"/>
              </w:rPr>
              <w:t>NestGSV, Inc. (d/b/a GSV</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60" w:type="dxa"/>
            <w:vAlign w:val="bottom"/>
            <w:gridSpan w:val="3"/>
          </w:tcPr>
          <w:p>
            <w:pPr>
              <w:ind w:left="280"/>
              <w:spacing w:after="0"/>
              <w:rPr>
                <w:sz w:val="20"/>
                <w:szCs w:val="20"/>
                <w:color w:val="auto"/>
              </w:rPr>
            </w:pPr>
            <w:r>
              <w:rPr>
                <w:rFonts w:ascii="Arial" w:cs="Arial" w:eastAsia="Arial" w:hAnsi="Arial"/>
                <w:sz w:val="16"/>
                <w:szCs w:val="16"/>
                <w:color w:val="auto"/>
              </w:rPr>
              <w:t>Labs, Inc.)–Preferred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60" w:type="dxa"/>
            <w:vAlign w:val="bottom"/>
            <w:gridSpan w:val="3"/>
          </w:tcPr>
          <w:p>
            <w:pPr>
              <w:ind w:left="280"/>
              <w:spacing w:after="0" w:line="239" w:lineRule="exact"/>
              <w:rPr>
                <w:sz w:val="20"/>
                <w:szCs w:val="20"/>
                <w:color w:val="auto"/>
              </w:rPr>
            </w:pPr>
            <w:r>
              <w:rPr>
                <w:rFonts w:ascii="Arial" w:cs="Arial" w:eastAsia="Arial" w:hAnsi="Arial"/>
                <w:sz w:val="16"/>
                <w:szCs w:val="16"/>
                <w:color w:val="auto"/>
              </w:rPr>
              <w:t xml:space="preserve">stock Series A-2 </w:t>
            </w:r>
            <w:r>
              <w:rPr>
                <w:rFonts w:ascii="Arial" w:cs="Arial" w:eastAsia="Arial" w:hAnsi="Arial"/>
                <w:sz w:val="21"/>
                <w:szCs w:val="21"/>
                <w:color w:val="auto"/>
                <w:vertAlign w:val="superscript"/>
              </w:rPr>
              <w:t>(7)</w:t>
            </w: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(605,500)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305,500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16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NestGSV, Inc. (d/b/a GSV</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60" w:type="dxa"/>
            <w:vAlign w:val="bottom"/>
            <w:tcBorders>
              <w:left w:val="single" w:sz="8" w:color="CCEEFF"/>
            </w:tcBorders>
            <w:gridSpan w:val="3"/>
            <w:shd w:val="clear" w:color="auto" w:fill="CCEEFF"/>
          </w:tcPr>
          <w:p>
            <w:pPr>
              <w:ind w:left="280"/>
              <w:spacing w:after="0"/>
              <w:rPr>
                <w:sz w:val="20"/>
                <w:szCs w:val="20"/>
                <w:color w:val="auto"/>
              </w:rPr>
            </w:pPr>
            <w:r>
              <w:rPr>
                <w:rFonts w:ascii="Arial" w:cs="Arial" w:eastAsia="Arial" w:hAnsi="Arial"/>
                <w:sz w:val="16"/>
                <w:szCs w:val="16"/>
                <w:color w:val="auto"/>
              </w:rPr>
              <w:t>Labs, Inc.)–Preferred</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60" w:type="dxa"/>
            <w:vAlign w:val="bottom"/>
            <w:tcBorders>
              <w:left w:val="single" w:sz="8" w:color="CCEEFF"/>
            </w:tcBorders>
            <w:gridSpan w:val="3"/>
            <w:shd w:val="clear" w:color="auto" w:fill="CCEEFF"/>
          </w:tcPr>
          <w:p>
            <w:pPr>
              <w:ind w:left="280"/>
              <w:spacing w:after="0" w:line="239" w:lineRule="exact"/>
              <w:rPr>
                <w:sz w:val="20"/>
                <w:szCs w:val="20"/>
                <w:color w:val="auto"/>
              </w:rPr>
            </w:pPr>
            <w:r>
              <w:rPr>
                <w:rFonts w:ascii="Arial" w:cs="Arial" w:eastAsia="Arial" w:hAnsi="Arial"/>
                <w:sz w:val="16"/>
                <w:szCs w:val="16"/>
                <w:color w:val="auto"/>
              </w:rPr>
              <w:t xml:space="preserve">stock Series A-1 </w:t>
            </w:r>
            <w:r>
              <w:rPr>
                <w:rFonts w:ascii="Arial" w:cs="Arial" w:eastAsia="Arial" w:hAnsi="Arial"/>
                <w:sz w:val="21"/>
                <w:szCs w:val="21"/>
                <w:color w:val="auto"/>
                <w:vertAlign w:val="superscript"/>
              </w:rPr>
              <w:t>(7)</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499,999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(1,021,778)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521,779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160" w:type="dxa"/>
            <w:vAlign w:val="bottom"/>
            <w:gridSpan w:val="3"/>
          </w:tcPr>
          <w:p>
            <w:pPr>
              <w:ind w:left="180"/>
              <w:spacing w:after="0"/>
              <w:rPr>
                <w:sz w:val="20"/>
                <w:szCs w:val="20"/>
                <w:color w:val="auto"/>
              </w:rPr>
            </w:pPr>
            <w:r>
              <w:rPr>
                <w:rFonts w:ascii="Arial" w:cs="Arial" w:eastAsia="Arial" w:hAnsi="Arial"/>
                <w:sz w:val="16"/>
                <w:szCs w:val="16"/>
                <w:i w:val="1"/>
                <w:iCs w:val="1"/>
                <w:color w:val="auto"/>
              </w:rPr>
              <w:t>Total Global Innovation</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60" w:type="dxa"/>
            <w:vAlign w:val="bottom"/>
            <w:gridSpan w:val="3"/>
          </w:tcPr>
          <w:p>
            <w:pPr>
              <w:ind w:left="180"/>
              <w:spacing w:after="0"/>
              <w:rPr>
                <w:sz w:val="20"/>
                <w:szCs w:val="20"/>
                <w:color w:val="auto"/>
              </w:rPr>
            </w:pPr>
            <w:r>
              <w:rPr>
                <w:rFonts w:ascii="Arial" w:cs="Arial" w:eastAsia="Arial" w:hAnsi="Arial"/>
                <w:sz w:val="16"/>
                <w:szCs w:val="16"/>
                <w:i w:val="1"/>
                <w:iCs w:val="1"/>
                <w:color w:val="auto"/>
              </w:rPr>
              <w:t>Platform</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7,495,686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5"/>
              </w:rPr>
              <w:t>(8,537,506)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w w:val="95"/>
              </w:rPr>
              <w:t>1,041,820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left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8,245,884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(8,537,506)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5"/>
              </w:rPr>
              <w:t>1,066,820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775,198</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0.39%</w:t>
            </w:r>
          </w:p>
        </w:tc>
        <w:tc>
          <w:tcPr>
            <w:tcW w:w="0" w:type="dxa"/>
            <w:vAlign w:val="bottom"/>
          </w:tcPr>
          <w:p>
            <w:pPr>
              <w:spacing w:after="0"/>
              <w:rPr>
                <w:sz w:val="1"/>
                <w:szCs w:val="1"/>
                <w:color w:val="auto"/>
              </w:rPr>
            </w:pPr>
          </w:p>
        </w:tc>
      </w:tr>
      <w:tr>
        <w:trPr>
          <w:trHeight w:val="237"/>
        </w:trPr>
        <w:tc>
          <w:tcPr>
            <w:tcW w:w="216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Common Stock</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left w:val="single" w:sz="8" w:color="CCEEFF"/>
              <w:bottom w:val="single" w:sz="8" w:color="CCEEFF"/>
            </w:tcBorders>
            <w:gridSpan w:val="3"/>
            <w:shd w:val="clear" w:color="auto" w:fill="CCEEFF"/>
          </w:tcPr>
          <w:p>
            <w:pPr>
              <w:ind w:left="180"/>
              <w:spacing w:after="0"/>
              <w:rPr>
                <w:sz w:val="20"/>
                <w:szCs w:val="20"/>
                <w:color w:val="auto"/>
              </w:rPr>
            </w:pPr>
            <w:r>
              <w:rPr>
                <w:rFonts w:ascii="Arial" w:cs="Arial" w:eastAsia="Arial" w:hAnsi="Arial"/>
                <w:sz w:val="16"/>
                <w:szCs w:val="16"/>
                <w:i w:val="1"/>
                <w:iCs w:val="1"/>
                <w:color w:val="auto"/>
              </w:rPr>
              <w:t>Clean Technology</w:t>
            </w: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160" w:type="dxa"/>
            <w:vAlign w:val="bottom"/>
            <w:gridSpan w:val="3"/>
          </w:tcPr>
          <w:p>
            <w:pPr>
              <w:ind w:left="280"/>
              <w:spacing w:after="0"/>
              <w:rPr>
                <w:sz w:val="20"/>
                <w:szCs w:val="20"/>
                <w:color w:val="auto"/>
              </w:rPr>
            </w:pPr>
            <w:r>
              <w:rPr>
                <w:rFonts w:ascii="Arial" w:cs="Arial" w:eastAsia="Arial" w:hAnsi="Arial"/>
                <w:sz w:val="16"/>
                <w:szCs w:val="16"/>
                <w:color w:val="auto"/>
              </w:rPr>
              <w:t>SPBRX, INC. (f/k/a GSV</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60" w:type="dxa"/>
            <w:vAlign w:val="bottom"/>
            <w:gridSpan w:val="3"/>
          </w:tcPr>
          <w:p>
            <w:pPr>
              <w:ind w:left="280"/>
              <w:spacing w:after="0"/>
              <w:rPr>
                <w:sz w:val="20"/>
                <w:szCs w:val="20"/>
                <w:color w:val="auto"/>
              </w:rPr>
            </w:pPr>
            <w:r>
              <w:rPr>
                <w:rFonts w:ascii="Arial" w:cs="Arial" w:eastAsia="Arial" w:hAnsi="Arial"/>
                <w:sz w:val="16"/>
                <w:szCs w:val="16"/>
                <w:color w:val="auto"/>
              </w:rPr>
              <w:t>Sustainability Partners,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60" w:type="dxa"/>
            <w:vAlign w:val="bottom"/>
            <w:gridSpan w:val="3"/>
          </w:tcPr>
          <w:p>
            <w:pPr>
              <w:ind w:left="280"/>
              <w:spacing w:after="0"/>
              <w:rPr>
                <w:sz w:val="20"/>
                <w:szCs w:val="20"/>
                <w:color w:val="auto"/>
              </w:rPr>
            </w:pPr>
            <w:r>
              <w:rPr>
                <w:rFonts w:ascii="Arial" w:cs="Arial" w:eastAsia="Arial" w:hAnsi="Arial"/>
                <w:sz w:val="16"/>
                <w:szCs w:val="16"/>
                <w:color w:val="auto"/>
              </w:rPr>
              <w:t>Inc.)–Common shares</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-4247515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Fees,</w:t>
            </w:r>
          </w:p>
        </w:tc>
        <w:tc>
          <w:tcPr>
            <w:tcW w:w="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or</w:t>
            </w:r>
          </w:p>
        </w:tc>
        <w:tc>
          <w:tcPr>
            <w:tcW w:w="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Fair Value at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8"/>
        </w:trPr>
        <w:tc>
          <w:tcPr>
            <w:tcW w:w="21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Principal/</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December</w:t>
            </w:r>
          </w:p>
        </w:tc>
        <w:tc>
          <w:tcPr>
            <w:tcW w:w="14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Fees,</w:t>
            </w:r>
          </w:p>
        </w:tc>
        <w:tc>
          <w:tcPr>
            <w:tcW w:w="100" w:type="dxa"/>
            <w:vAlign w:val="bottom"/>
          </w:tcPr>
          <w:p>
            <w:pPr>
              <w:spacing w:after="0"/>
              <w:rPr>
                <w:sz w:val="12"/>
                <w:szCs w:val="12"/>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8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00" w:type="dxa"/>
            <w:vAlign w:val="bottom"/>
          </w:tcPr>
          <w:p>
            <w:pPr>
              <w:spacing w:after="0"/>
              <w:rPr>
                <w:sz w:val="12"/>
                <w:szCs w:val="12"/>
                <w:color w:val="auto"/>
              </w:rPr>
            </w:pPr>
          </w:p>
        </w:tc>
        <w:tc>
          <w:tcPr>
            <w:tcW w:w="7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2"/>
              </w:rPr>
              <w:t>31,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41"/>
              <w:spacing w:after="0" w:line="149" w:lineRule="exact"/>
              <w:rPr>
                <w:sz w:val="20"/>
                <w:szCs w:val="20"/>
                <w:color w:val="auto"/>
              </w:rPr>
            </w:pPr>
            <w:r>
              <w:rPr>
                <w:rFonts w:ascii="Arial" w:cs="Arial" w:eastAsia="Arial" w:hAnsi="Arial"/>
                <w:sz w:val="14"/>
                <w:szCs w:val="14"/>
                <w:b w:val="1"/>
                <w:bCs w:val="1"/>
                <w:color w:val="auto"/>
                <w:w w:val="91"/>
              </w:rPr>
              <w:t>December</w:t>
            </w:r>
          </w:p>
        </w:tc>
        <w:tc>
          <w:tcPr>
            <w:tcW w:w="100" w:type="dxa"/>
            <w:vAlign w:val="bottom"/>
          </w:tcPr>
          <w:p>
            <w:pPr>
              <w:spacing w:after="0"/>
              <w:rPr>
                <w:sz w:val="12"/>
                <w:szCs w:val="12"/>
                <w:color w:val="auto"/>
              </w:rPr>
            </w:pPr>
          </w:p>
        </w:tc>
        <w:tc>
          <w:tcPr>
            <w:tcW w:w="80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140" w:type="dxa"/>
            <w:vAlign w:val="bottom"/>
            <w:gridSpan w:val="4"/>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Quantity</w:t>
            </w: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Action</w:t>
            </w: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Amortization</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Gains/(Losses)</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Gains/(Losses)</w:t>
            </w:r>
          </w:p>
        </w:tc>
        <w:tc>
          <w:tcPr>
            <w:tcW w:w="100" w:type="dxa"/>
            <w:vAlign w:val="bottom"/>
          </w:tcPr>
          <w:p>
            <w:pPr>
              <w:spacing w:after="0"/>
              <w:rPr>
                <w:sz w:val="16"/>
                <w:szCs w:val="16"/>
                <w:color w:val="auto"/>
              </w:rPr>
            </w:pPr>
          </w:p>
        </w:tc>
        <w:tc>
          <w:tcPr>
            <w:tcW w:w="760" w:type="dxa"/>
            <w:vAlign w:val="bottom"/>
          </w:tcPr>
          <w:p>
            <w:pPr>
              <w:jc w:val="right"/>
              <w:ind w:right="101"/>
              <w:spacing w:after="0"/>
              <w:rPr>
                <w:sz w:val="20"/>
                <w:szCs w:val="20"/>
                <w:color w:val="auto"/>
              </w:rPr>
            </w:pPr>
            <w:r>
              <w:rPr>
                <w:rFonts w:ascii="Arial" w:cs="Arial" w:eastAsia="Arial" w:hAnsi="Arial"/>
                <w:sz w:val="14"/>
                <w:szCs w:val="14"/>
                <w:b w:val="1"/>
                <w:bCs w:val="1"/>
                <w:color w:val="auto"/>
              </w:rPr>
              <w:t>31, 2019</w:t>
            </w:r>
          </w:p>
        </w:tc>
        <w:tc>
          <w:tcPr>
            <w:tcW w:w="100" w:type="dxa"/>
            <w:vAlign w:val="bottom"/>
          </w:tcPr>
          <w:p>
            <w:pPr>
              <w:spacing w:after="0"/>
              <w:rPr>
                <w:sz w:val="16"/>
                <w:szCs w:val="16"/>
                <w:color w:val="auto"/>
              </w:rPr>
            </w:pPr>
          </w:p>
        </w:tc>
        <w:tc>
          <w:tcPr>
            <w:tcW w:w="800" w:type="dxa"/>
            <w:vAlign w:val="bottom"/>
          </w:tcPr>
          <w:p>
            <w:pPr>
              <w:jc w:val="right"/>
              <w:ind w:right="122"/>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2140" w:type="dxa"/>
            <w:vAlign w:val="bottom"/>
            <w:tcBorders>
              <w:top w:val="single" w:sz="8" w:color="auto"/>
              <w:left w:val="single" w:sz="8" w:color="CCEEFF"/>
              <w:bottom w:val="single" w:sz="8" w:color="CCEEFF"/>
            </w:tcBorders>
            <w:gridSpan w:val="4"/>
            <w:shd w:val="clear" w:color="auto" w:fill="CCEEFF"/>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140" w:type="dxa"/>
            <w:vAlign w:val="bottom"/>
            <w:gridSpan w:val="4"/>
          </w:tcPr>
          <w:p>
            <w:pPr>
              <w:ind w:left="280"/>
              <w:spacing w:after="0"/>
              <w:rPr>
                <w:sz w:val="20"/>
                <w:szCs w:val="20"/>
                <w:color w:val="auto"/>
              </w:rPr>
            </w:pPr>
            <w:r>
              <w:rPr>
                <w:rFonts w:ascii="Arial" w:cs="Arial" w:eastAsia="Arial" w:hAnsi="Arial"/>
                <w:sz w:val="16"/>
                <w:szCs w:val="16"/>
                <w:color w:val="auto"/>
                <w:w w:val="99"/>
              </w:rPr>
              <w:t>NestGSV, Inc. (d/b/a GSV</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40" w:type="dxa"/>
            <w:vAlign w:val="bottom"/>
            <w:gridSpan w:val="4"/>
          </w:tcPr>
          <w:p>
            <w:pPr>
              <w:ind w:left="280"/>
              <w:spacing w:after="0"/>
              <w:rPr>
                <w:sz w:val="20"/>
                <w:szCs w:val="20"/>
                <w:color w:val="auto"/>
              </w:rPr>
            </w:pPr>
            <w:r>
              <w:rPr>
                <w:rFonts w:ascii="Arial" w:cs="Arial" w:eastAsia="Arial" w:hAnsi="Arial"/>
                <w:sz w:val="16"/>
                <w:szCs w:val="16"/>
                <w:color w:val="auto"/>
                <w:w w:val="91"/>
              </w:rPr>
              <w:t>Labs, Inc.)–Common 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vMerge w:val="restart"/>
          </w:tcPr>
          <w:p>
            <w:pPr>
              <w:jc w:val="right"/>
              <w:ind w:right="2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6"/>
        </w:trPr>
        <w:tc>
          <w:tcPr>
            <w:tcW w:w="440" w:type="dxa"/>
            <w:vAlign w:val="bottom"/>
          </w:tcPr>
          <w:p>
            <w:pPr>
              <w:ind w:left="280"/>
              <w:spacing w:after="0"/>
              <w:rPr>
                <w:sz w:val="20"/>
                <w:szCs w:val="20"/>
                <w:color w:val="auto"/>
              </w:rPr>
            </w:pPr>
            <w:r>
              <w:rPr>
                <w:rFonts w:ascii="Arial" w:cs="Arial" w:eastAsia="Arial" w:hAnsi="Arial"/>
                <w:sz w:val="11"/>
                <w:szCs w:val="11"/>
                <w:color w:val="auto"/>
              </w:rPr>
              <w:t>(7)</w:t>
            </w: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140" w:type="dxa"/>
            <w:vAlign w:val="bottom"/>
            <w:tcBorders>
              <w:left w:val="single" w:sz="8" w:color="CCEEFF"/>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Total Common Stock</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140" w:type="dxa"/>
            <w:vAlign w:val="bottom"/>
            <w:tcBorders>
              <w:top w:val="single" w:sz="8" w:color="CCEEFF"/>
            </w:tcBorders>
            <w:gridSpan w:val="4"/>
          </w:tcPr>
          <w:p>
            <w:pPr>
              <w:ind w:left="40"/>
              <w:spacing w:after="0"/>
              <w:rPr>
                <w:sz w:val="20"/>
                <w:szCs w:val="20"/>
                <w:color w:val="auto"/>
              </w:rPr>
            </w:pPr>
            <w:r>
              <w:rPr>
                <w:rFonts w:ascii="Arial" w:cs="Arial" w:eastAsia="Arial" w:hAnsi="Arial"/>
                <w:sz w:val="16"/>
                <w:szCs w:val="16"/>
                <w:b w:val="1"/>
                <w:bCs w:val="1"/>
                <w:color w:val="auto"/>
              </w:rPr>
              <w:t>TOTAL CONTROLLED</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6"/>
                <w:szCs w:val="16"/>
                <w:b w:val="1"/>
                <w:bCs w:val="1"/>
                <w:color w:val="auto"/>
              </w:rPr>
              <w:t>400,000</w:t>
            </w: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b w:val="1"/>
                <w:bCs w:val="1"/>
                <w:color w:val="auto"/>
                <w:w w:val="89"/>
              </w:rPr>
              <w:t>8,245,884</w:t>
            </w: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95"/>
              </w:rPr>
              <w:t>(8,538,506)</w:t>
            </w: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vMerge w:val="restart"/>
          </w:tcPr>
          <w:p>
            <w:pPr>
              <w:jc w:val="right"/>
              <w:ind w:right="22"/>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tcBorders>
            <w:vMerge w:val="restart"/>
          </w:tcPr>
          <w:p>
            <w:pPr>
              <w:spacing w:after="0"/>
              <w:rPr>
                <w:sz w:val="18"/>
                <w:szCs w:val="18"/>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CCEEFF"/>
            </w:tcBorders>
            <w:vMerge w:val="restart"/>
          </w:tcPr>
          <w:p>
            <w:pPr>
              <w:spacing w:after="0"/>
              <w:rPr>
                <w:sz w:val="18"/>
                <w:szCs w:val="18"/>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w w:val="98"/>
              </w:rPr>
              <w:t>1,067,820</w:t>
            </w: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vMerge w:val="restart"/>
          </w:tcPr>
          <w:p>
            <w:pPr>
              <w:jc w:val="right"/>
              <w:ind w:right="21"/>
              <w:spacing w:after="0"/>
              <w:rPr>
                <w:sz w:val="20"/>
                <w:szCs w:val="20"/>
                <w:color w:val="auto"/>
              </w:rPr>
            </w:pPr>
            <w:r>
              <w:rPr>
                <w:rFonts w:ascii="Arial" w:cs="Arial" w:eastAsia="Arial" w:hAnsi="Arial"/>
                <w:sz w:val="16"/>
                <w:szCs w:val="16"/>
                <w:b w:val="1"/>
                <w:bCs w:val="1"/>
                <w:color w:val="auto"/>
              </w:rPr>
              <w:t>775,198</w:t>
            </w:r>
          </w:p>
        </w:tc>
        <w:tc>
          <w:tcPr>
            <w:tcW w:w="100" w:type="dxa"/>
            <w:vAlign w:val="bottom"/>
            <w:vMerge w:val="restart"/>
          </w:tcPr>
          <w:p>
            <w:pPr>
              <w:spacing w:after="0"/>
              <w:rPr>
                <w:sz w:val="18"/>
                <w:szCs w:val="18"/>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0.39%</w:t>
            </w:r>
          </w:p>
        </w:tc>
        <w:tc>
          <w:tcPr>
            <w:tcW w:w="0" w:type="dxa"/>
            <w:vAlign w:val="bottom"/>
          </w:tcPr>
          <w:p>
            <w:pPr>
              <w:spacing w:after="0"/>
              <w:rPr>
                <w:sz w:val="1"/>
                <w:szCs w:val="1"/>
                <w:color w:val="auto"/>
              </w:rPr>
            </w:pPr>
          </w:p>
        </w:tc>
      </w:tr>
      <w:tr>
        <w:trPr>
          <w:trHeight w:val="270"/>
        </w:trPr>
        <w:tc>
          <w:tcPr>
            <w:tcW w:w="2140" w:type="dxa"/>
            <w:vAlign w:val="bottom"/>
            <w:tcBorders>
              <w:bottom w:val="single" w:sz="8" w:color="CCEEFF"/>
            </w:tcBorders>
            <w:gridSpan w:val="4"/>
          </w:tcPr>
          <w:p>
            <w:pPr>
              <w:ind w:left="4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7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8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86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vMerge w:val="continue"/>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760" w:type="dxa"/>
            <w:vAlign w:val="bottom"/>
            <w:tcBorders>
              <w:bottom w:val="single" w:sz="8" w:color="auto"/>
            </w:tcBorders>
            <w:vMerge w:val="continue"/>
          </w:tcPr>
          <w:p>
            <w:pPr>
              <w:spacing w:after="0"/>
              <w:rPr>
                <w:sz w:val="23"/>
                <w:szCs w:val="23"/>
                <w:color w:val="auto"/>
              </w:rPr>
            </w:pPr>
          </w:p>
        </w:tc>
        <w:tc>
          <w:tcPr>
            <w:tcW w:w="100" w:type="dxa"/>
            <w:vAlign w:val="bottom"/>
            <w:tcBorders>
              <w:bottom w:val="single" w:sz="8" w:color="CCEEFF"/>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140" w:type="dxa"/>
            <w:vAlign w:val="bottom"/>
            <w:tcBorders>
              <w:left w:val="single" w:sz="8" w:color="CCEEFF"/>
            </w:tcBorders>
            <w:gridSpan w:val="4"/>
            <w:shd w:val="clear" w:color="auto" w:fill="CCEEFF"/>
          </w:tcPr>
          <w:p>
            <w:pPr>
              <w:ind w:left="40"/>
              <w:spacing w:after="0" w:line="142" w:lineRule="exact"/>
              <w:rPr>
                <w:sz w:val="20"/>
                <w:szCs w:val="20"/>
                <w:color w:val="auto"/>
              </w:rPr>
            </w:pPr>
            <w:r>
              <w:rPr>
                <w:rFonts w:ascii="Arial" w:cs="Arial" w:eastAsia="Arial" w:hAnsi="Arial"/>
                <w:sz w:val="16"/>
                <w:szCs w:val="16"/>
                <w:b w:val="1"/>
                <w:bCs w:val="1"/>
                <w:color w:val="auto"/>
              </w:rPr>
              <w:t>NON-</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40" w:type="dxa"/>
            <w:vAlign w:val="bottom"/>
            <w:tcBorders>
              <w:left w:val="single" w:sz="8" w:color="CCEEFF"/>
            </w:tcBorders>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140" w:type="dxa"/>
            <w:vAlign w:val="bottom"/>
            <w:tcBorders>
              <w:left w:val="single" w:sz="8" w:color="CCEEFF"/>
            </w:tcBorders>
            <w:gridSpan w:val="4"/>
            <w:shd w:val="clear" w:color="auto" w:fill="CCEEFF"/>
          </w:tcPr>
          <w:p>
            <w:pPr>
              <w:ind w:left="40"/>
              <w:spacing w:after="0" w:line="183" w:lineRule="exact"/>
              <w:rPr>
                <w:sz w:val="20"/>
                <w:szCs w:val="20"/>
                <w:color w:val="auto"/>
              </w:rPr>
            </w:pPr>
            <w:r>
              <w:rPr>
                <w:rFonts w:ascii="Arial" w:cs="Arial" w:eastAsia="Arial" w:hAnsi="Arial"/>
                <w:sz w:val="16"/>
                <w:szCs w:val="16"/>
                <w:b w:val="1"/>
                <w:bCs w:val="1"/>
                <w:color w:val="auto"/>
              </w:rPr>
              <w:t>CONTROLLED/AFFILIATE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100" w:type="dxa"/>
            <w:vAlign w:val="bottom"/>
            <w:tcBorders>
              <w:top w:val="single" w:sz="8" w:color="auto"/>
              <w:left w:val="single" w:sz="8" w:color="CCEEFF"/>
            </w:tcBorders>
            <w:gridSpan w:val="3"/>
            <w:shd w:val="clear" w:color="auto" w:fill="CCEEFF"/>
          </w:tcPr>
          <w:p>
            <w:pPr>
              <w:ind w:left="40"/>
              <w:spacing w:after="0" w:line="183"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40" w:type="dxa"/>
            <w:vAlign w:val="bottom"/>
            <w:tcBorders>
              <w:top w:val="single" w:sz="8" w:color="auto"/>
              <w:left w:val="single" w:sz="8" w:color="CCEEFF"/>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140" w:type="dxa"/>
            <w:vAlign w:val="bottom"/>
            <w:gridSpan w:val="4"/>
          </w:tcPr>
          <w:p>
            <w:pPr>
              <w:ind w:left="40"/>
              <w:spacing w:after="0"/>
              <w:rPr>
                <w:sz w:val="20"/>
                <w:szCs w:val="20"/>
                <w:color w:val="auto"/>
              </w:rPr>
            </w:pPr>
            <w:r>
              <w:rPr>
                <w:rFonts w:ascii="Arial" w:cs="Arial" w:eastAsia="Arial" w:hAnsi="Arial"/>
                <w:sz w:val="16"/>
                <w:szCs w:val="16"/>
                <w:b w:val="1"/>
                <w:bCs w:val="1"/>
                <w:color w:val="auto"/>
              </w:rPr>
              <w:t>Debt Investments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left w:val="single" w:sz="8" w:color="CCEEFF"/>
              <w:bottom w:val="single" w:sz="8" w:color="CCEEFF"/>
            </w:tcBorders>
            <w:gridSpan w:val="4"/>
            <w:shd w:val="clear" w:color="auto" w:fill="CCEEFF"/>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140" w:type="dxa"/>
            <w:vAlign w:val="bottom"/>
            <w:gridSpan w:val="4"/>
          </w:tcPr>
          <w:p>
            <w:pPr>
              <w:ind w:left="280"/>
              <w:spacing w:after="0"/>
              <w:rPr>
                <w:sz w:val="20"/>
                <w:szCs w:val="20"/>
                <w:color w:val="auto"/>
              </w:rPr>
            </w:pPr>
            <w:r>
              <w:rPr>
                <w:rFonts w:ascii="Arial" w:cs="Arial" w:eastAsia="Arial" w:hAnsi="Arial"/>
                <w:sz w:val="16"/>
                <w:szCs w:val="16"/>
                <w:color w:val="auto"/>
              </w:rPr>
              <w:t>CUX, Inc. (d/b/a CorpU)–</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40" w:type="dxa"/>
            <w:vAlign w:val="bottom"/>
            <w:gridSpan w:val="4"/>
          </w:tcPr>
          <w:p>
            <w:pPr>
              <w:ind w:left="280"/>
              <w:spacing w:after="0"/>
              <w:rPr>
                <w:sz w:val="20"/>
                <w:szCs w:val="20"/>
                <w:color w:val="auto"/>
              </w:rPr>
            </w:pPr>
            <w:r>
              <w:rPr>
                <w:rFonts w:ascii="Arial" w:cs="Arial" w:eastAsia="Arial" w:hAnsi="Arial"/>
                <w:sz w:val="16"/>
                <w:szCs w:val="16"/>
                <w:color w:val="auto"/>
              </w:rPr>
              <w:t>Senior Subordinated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gridSpan w:val="4"/>
          </w:tcPr>
          <w:p>
            <w:pPr>
              <w:ind w:left="280"/>
              <w:spacing w:after="0"/>
              <w:rPr>
                <w:sz w:val="20"/>
                <w:szCs w:val="20"/>
                <w:color w:val="auto"/>
              </w:rPr>
            </w:pPr>
            <w:r>
              <w:rPr>
                <w:rFonts w:ascii="Arial" w:cs="Arial" w:eastAsia="Arial" w:hAnsi="Arial"/>
                <w:sz w:val="16"/>
                <w:szCs w:val="16"/>
                <w:color w:val="auto"/>
              </w:rPr>
              <w:t>Convertible Promissory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40" w:type="dxa"/>
            <w:vAlign w:val="bottom"/>
            <w:gridSpan w:val="4"/>
          </w:tcPr>
          <w:p>
            <w:pPr>
              <w:ind w:left="280"/>
              <w:spacing w:after="0" w:line="239" w:lineRule="exact"/>
              <w:rPr>
                <w:sz w:val="20"/>
                <w:szCs w:val="20"/>
                <w:color w:val="auto"/>
              </w:rPr>
            </w:pPr>
            <w:r>
              <w:rPr>
                <w:rFonts w:ascii="Arial" w:cs="Arial" w:eastAsia="Arial" w:hAnsi="Arial"/>
                <w:sz w:val="16"/>
                <w:szCs w:val="16"/>
                <w:color w:val="auto"/>
                <w:w w:val="97"/>
              </w:rPr>
              <w:t>Note 4% Due 2/14/2023</w:t>
            </w:r>
            <w:r>
              <w:rPr>
                <w:rFonts w:ascii="Arial" w:cs="Arial" w:eastAsia="Arial" w:hAnsi="Arial"/>
                <w:sz w:val="21"/>
                <w:szCs w:val="21"/>
                <w:color w:val="auto"/>
                <w:w w:val="97"/>
                <w:vertAlign w:val="superscript"/>
              </w:rPr>
              <w:t>(5)</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w w:val="87"/>
              </w:rPr>
              <w:t>1,251,158</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(13,142)</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1,360,489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3,553</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(109,331)</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(941,922)</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312,789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250"/>
        </w:trPr>
        <w:tc>
          <w:tcPr>
            <w:tcW w:w="2140" w:type="dxa"/>
            <w:vAlign w:val="bottom"/>
            <w:tcBorders>
              <w:left w:val="single" w:sz="8" w:color="CCEEFF"/>
              <w:bottom w:val="single" w:sz="8" w:color="CCEEFF"/>
            </w:tcBorders>
            <w:gridSpan w:val="4"/>
            <w:shd w:val="clear" w:color="auto" w:fill="CCEEFF"/>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140" w:type="dxa"/>
            <w:vAlign w:val="bottom"/>
            <w:gridSpan w:val="4"/>
          </w:tcPr>
          <w:p>
            <w:pPr>
              <w:ind w:left="280"/>
              <w:spacing w:after="0"/>
              <w:rPr>
                <w:sz w:val="20"/>
                <w:szCs w:val="20"/>
                <w:color w:val="auto"/>
              </w:rPr>
            </w:pPr>
            <w:r>
              <w:rPr>
                <w:rFonts w:ascii="Arial" w:cs="Arial" w:eastAsia="Arial" w:hAnsi="Arial"/>
                <w:sz w:val="16"/>
                <w:szCs w:val="16"/>
                <w:color w:val="auto"/>
              </w:rPr>
              <w:t>Ozy Media, Inc.–</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40" w:type="dxa"/>
            <w:vAlign w:val="bottom"/>
            <w:gridSpan w:val="4"/>
          </w:tcPr>
          <w:p>
            <w:pPr>
              <w:ind w:left="280"/>
              <w:spacing w:after="0"/>
              <w:rPr>
                <w:sz w:val="20"/>
                <w:szCs w:val="20"/>
                <w:color w:val="auto"/>
              </w:rPr>
            </w:pPr>
            <w:r>
              <w:rPr>
                <w:rFonts w:ascii="Arial" w:cs="Arial" w:eastAsia="Arial" w:hAnsi="Arial"/>
                <w:sz w:val="16"/>
                <w:szCs w:val="16"/>
                <w:color w:val="auto"/>
              </w:rPr>
              <w:t>Convertible Promissory</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gridSpan w:val="4"/>
          </w:tcPr>
          <w:p>
            <w:pPr>
              <w:ind w:left="280"/>
              <w:spacing w:after="0"/>
              <w:rPr>
                <w:sz w:val="20"/>
                <w:szCs w:val="20"/>
                <w:color w:val="auto"/>
              </w:rPr>
            </w:pPr>
            <w:r>
              <w:rPr>
                <w:rFonts w:ascii="Arial" w:cs="Arial" w:eastAsia="Arial" w:hAnsi="Arial"/>
                <w:sz w:val="16"/>
                <w:szCs w:val="16"/>
                <w:color w:val="auto"/>
              </w:rPr>
              <w:t>Note 5% Due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00" w:type="dxa"/>
            <w:vAlign w:val="bottom"/>
            <w:gridSpan w:val="3"/>
          </w:tcPr>
          <w:p>
            <w:pPr>
              <w:ind w:left="280"/>
              <w:spacing w:after="0" w:line="239" w:lineRule="exact"/>
              <w:rPr>
                <w:sz w:val="20"/>
                <w:szCs w:val="20"/>
                <w:color w:val="auto"/>
              </w:rPr>
            </w:pPr>
            <w:r>
              <w:rPr>
                <w:rFonts w:ascii="Arial" w:cs="Arial" w:eastAsia="Arial" w:hAnsi="Arial"/>
                <w:sz w:val="16"/>
                <w:szCs w:val="16"/>
                <w:color w:val="auto"/>
              </w:rPr>
              <w:t>12/31/2018***</w:t>
            </w:r>
            <w:r>
              <w:rPr>
                <w:rFonts w:ascii="Arial" w:cs="Arial" w:eastAsia="Arial" w:hAnsi="Arial"/>
                <w:sz w:val="21"/>
                <w:szCs w:val="21"/>
                <w:color w:val="auto"/>
                <w:vertAlign w:val="superscript"/>
              </w:rPr>
              <w:t>(6)</w:t>
            </w:r>
          </w:p>
        </w:tc>
        <w:tc>
          <w:tcPr>
            <w:tcW w:w="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72,864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3,153,575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5"/>
              </w:rPr>
              <w:t>(2,102,384)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0"/>
              </w:rPr>
              <w:t>(1,051,191)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140" w:type="dxa"/>
            <w:vAlign w:val="bottom"/>
            <w:tcBorders>
              <w:left w:val="single" w:sz="8" w:color="CCEEFF"/>
              <w:bottom w:val="single" w:sz="8" w:color="CCEEFF"/>
            </w:tcBorders>
            <w:gridSpan w:val="4"/>
            <w:shd w:val="clear" w:color="auto" w:fill="CCEEFF"/>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140" w:type="dxa"/>
            <w:vAlign w:val="bottom"/>
            <w:gridSpan w:val="4"/>
          </w:tcPr>
          <w:p>
            <w:pPr>
              <w:ind w:left="280"/>
              <w:spacing w:after="0"/>
              <w:rPr>
                <w:sz w:val="20"/>
                <w:szCs w:val="20"/>
                <w:color w:val="auto"/>
              </w:rPr>
            </w:pPr>
            <w:r>
              <w:rPr>
                <w:rFonts w:ascii="Arial" w:cs="Arial" w:eastAsia="Arial" w:hAnsi="Arial"/>
                <w:sz w:val="16"/>
                <w:szCs w:val="16"/>
                <w:color w:val="auto"/>
              </w:rPr>
              <w:t>Declara, Inc.–Convertible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40" w:type="dxa"/>
            <w:vAlign w:val="bottom"/>
            <w:gridSpan w:val="4"/>
          </w:tcPr>
          <w:p>
            <w:pPr>
              <w:ind w:left="280"/>
              <w:spacing w:after="0"/>
              <w:rPr>
                <w:sz w:val="20"/>
                <w:szCs w:val="20"/>
                <w:color w:val="auto"/>
              </w:rPr>
            </w:pPr>
            <w:r>
              <w:rPr>
                <w:rFonts w:ascii="Arial" w:cs="Arial" w:eastAsia="Arial" w:hAnsi="Arial"/>
                <w:sz w:val="16"/>
                <w:szCs w:val="16"/>
                <w:color w:val="auto"/>
                <w:w w:val="97"/>
              </w:rPr>
              <w:t>Promissory Note 12% Due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20" w:type="dxa"/>
            <w:vAlign w:val="bottom"/>
            <w:gridSpan w:val="2"/>
          </w:tcPr>
          <w:p>
            <w:pPr>
              <w:ind w:left="280"/>
              <w:spacing w:after="0"/>
              <w:rPr>
                <w:sz w:val="20"/>
                <w:szCs w:val="20"/>
                <w:color w:val="auto"/>
              </w:rPr>
            </w:pPr>
            <w:r>
              <w:rPr>
                <w:rFonts w:ascii="Arial" w:cs="Arial" w:eastAsia="Arial" w:hAnsi="Arial"/>
                <w:sz w:val="16"/>
                <w:szCs w:val="16"/>
                <w:color w:val="auto"/>
              </w:rPr>
              <w:t>4/30/2018</w:t>
            </w: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(2,334,832)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2,334,152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left w:val="single" w:sz="8" w:color="CCEEFF"/>
              <w:bottom w:val="single" w:sz="8" w:color="CCEEFF"/>
            </w:tcBorders>
            <w:gridSpan w:val="4"/>
            <w:shd w:val="clear" w:color="auto" w:fill="CCEEFF"/>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140" w:type="dxa"/>
            <w:vAlign w:val="bottom"/>
            <w:gridSpan w:val="4"/>
          </w:tcPr>
          <w:p>
            <w:pPr>
              <w:ind w:left="320"/>
              <w:spacing w:after="0"/>
              <w:rPr>
                <w:sz w:val="20"/>
                <w:szCs w:val="20"/>
                <w:color w:val="auto"/>
              </w:rPr>
            </w:pPr>
            <w:r>
              <w:rPr>
                <w:rFonts w:ascii="Arial" w:cs="Arial" w:eastAsia="Arial" w:hAnsi="Arial"/>
                <w:sz w:val="16"/>
                <w:szCs w:val="16"/>
                <w:color w:val="auto"/>
                <w:w w:val="97"/>
              </w:rPr>
              <w:t>NestGSV, Inc. (d/b/a GSV</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40" w:type="dxa"/>
            <w:vAlign w:val="bottom"/>
            <w:gridSpan w:val="4"/>
          </w:tcPr>
          <w:p>
            <w:pPr>
              <w:ind w:left="280"/>
              <w:spacing w:after="0"/>
              <w:rPr>
                <w:sz w:val="20"/>
                <w:szCs w:val="20"/>
                <w:color w:val="auto"/>
              </w:rPr>
            </w:pPr>
            <w:r>
              <w:rPr>
                <w:rFonts w:ascii="Arial" w:cs="Arial" w:eastAsia="Arial" w:hAnsi="Arial"/>
                <w:sz w:val="16"/>
                <w:szCs w:val="16"/>
                <w:color w:val="auto"/>
              </w:rPr>
              <w:t>Labs, Inc.) –Convertible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40" w:type="dxa"/>
            <w:vAlign w:val="bottom"/>
            <w:gridSpan w:val="4"/>
          </w:tcPr>
          <w:p>
            <w:pPr>
              <w:ind w:left="280"/>
              <w:spacing w:after="0"/>
              <w:rPr>
                <w:sz w:val="20"/>
                <w:szCs w:val="20"/>
                <w:color w:val="auto"/>
              </w:rPr>
            </w:pPr>
            <w:r>
              <w:rPr>
                <w:rFonts w:ascii="Arial" w:cs="Arial" w:eastAsia="Arial" w:hAnsi="Arial"/>
                <w:sz w:val="16"/>
                <w:szCs w:val="16"/>
                <w:color w:val="auto"/>
              </w:rPr>
              <w:t>Promissory Note 8% Due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00" w:type="dxa"/>
            <w:vAlign w:val="bottom"/>
            <w:gridSpan w:val="3"/>
          </w:tcPr>
          <w:p>
            <w:pPr>
              <w:ind w:left="280"/>
              <w:spacing w:after="0" w:line="239" w:lineRule="exact"/>
              <w:rPr>
                <w:sz w:val="20"/>
                <w:szCs w:val="20"/>
                <w:color w:val="auto"/>
              </w:rPr>
            </w:pPr>
            <w:r>
              <w:rPr>
                <w:rFonts w:ascii="Arial" w:cs="Arial" w:eastAsia="Arial" w:hAnsi="Arial"/>
                <w:sz w:val="16"/>
                <w:szCs w:val="16"/>
                <w:color w:val="auto"/>
              </w:rPr>
              <w:t>8/23/2024***</w:t>
            </w:r>
            <w:r>
              <w:rPr>
                <w:rFonts w:ascii="Arial" w:cs="Arial" w:eastAsia="Arial" w:hAnsi="Arial"/>
                <w:sz w:val="21"/>
                <w:szCs w:val="21"/>
                <w:color w:val="auto"/>
                <w:vertAlign w:val="superscript"/>
              </w:rPr>
              <w:t>(7)</w:t>
            </w:r>
          </w:p>
        </w:tc>
        <w:tc>
          <w:tcPr>
            <w:tcW w:w="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
              <w:spacing w:after="0"/>
              <w:rPr>
                <w:sz w:val="20"/>
                <w:szCs w:val="20"/>
                <w:color w:val="auto"/>
              </w:rPr>
            </w:pPr>
            <w:r>
              <w:rPr>
                <w:rFonts w:ascii="Arial" w:cs="Arial" w:eastAsia="Arial" w:hAnsi="Arial"/>
                <w:sz w:val="16"/>
                <w:szCs w:val="16"/>
                <w:color w:val="auto"/>
                <w:w w:val="87"/>
              </w:rPr>
              <w:t>1,010,198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107,611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936,525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78,739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(5,066)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1,010,198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00"/>
        </w:trPr>
        <w:tc>
          <w:tcPr>
            <w:tcW w:w="2140" w:type="dxa"/>
            <w:vAlign w:val="bottom"/>
            <w:tcBorders>
              <w:top w:val="single" w:sz="8" w:color="CCEEFF"/>
              <w:left w:val="single" w:sz="8" w:color="CCEEFF"/>
            </w:tcBorders>
            <w:gridSpan w:val="4"/>
            <w:shd w:val="clear" w:color="auto" w:fill="CCEEFF"/>
          </w:tcPr>
          <w:p>
            <w:pPr>
              <w:ind w:left="180"/>
              <w:spacing w:after="0"/>
              <w:rPr>
                <w:sz w:val="20"/>
                <w:szCs w:val="20"/>
                <w:color w:val="auto"/>
              </w:rPr>
            </w:pPr>
            <w:r>
              <w:rPr>
                <w:rFonts w:ascii="Arial" w:cs="Arial" w:eastAsia="Arial" w:hAnsi="Arial"/>
                <w:sz w:val="16"/>
                <w:szCs w:val="16"/>
                <w:i w:val="1"/>
                <w:iCs w:val="1"/>
                <w:color w:val="auto"/>
              </w:rPr>
              <w:t>Total Global Innovation</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40" w:type="dxa"/>
            <w:vAlign w:val="bottom"/>
            <w:tcBorders>
              <w:left w:val="single" w:sz="8" w:color="CCEEFF"/>
              <w:bottom w:val="single" w:sz="8" w:color="CCEEFF"/>
            </w:tcBorders>
            <w:gridSpan w:val="4"/>
            <w:shd w:val="clear" w:color="auto" w:fill="CCEEFF"/>
          </w:tcPr>
          <w:p>
            <w:pPr>
              <w:ind w:left="180"/>
              <w:spacing w:after="0"/>
              <w:rPr>
                <w:sz w:val="20"/>
                <w:szCs w:val="20"/>
                <w:color w:val="auto"/>
              </w:rPr>
            </w:pPr>
            <w:r>
              <w:rPr>
                <w:rFonts w:ascii="Arial" w:cs="Arial" w:eastAsia="Arial" w:hAnsi="Arial"/>
                <w:sz w:val="16"/>
                <w:szCs w:val="16"/>
                <w:i w:val="1"/>
                <w:iCs w:val="1"/>
                <w:color w:val="auto"/>
              </w:rPr>
              <w:t>Platform</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107,611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936,525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78,739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1,010,198</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0" w:type="dxa"/>
            <w:vAlign w:val="bottom"/>
          </w:tcPr>
          <w:p>
            <w:pPr>
              <w:spacing w:after="0"/>
              <w:rPr>
                <w:sz w:val="1"/>
                <w:szCs w:val="1"/>
                <w:color w:val="auto"/>
              </w:rPr>
            </w:pPr>
          </w:p>
        </w:tc>
      </w:tr>
      <w:tr>
        <w:trPr>
          <w:trHeight w:val="237"/>
        </w:trPr>
        <w:tc>
          <w:tcPr>
            <w:tcW w:w="2140" w:type="dxa"/>
            <w:vAlign w:val="bottom"/>
            <w:gridSpan w:val="4"/>
          </w:tcPr>
          <w:p>
            <w:pPr>
              <w:ind w:left="40"/>
              <w:spacing w:after="0"/>
              <w:rPr>
                <w:sz w:val="20"/>
                <w:szCs w:val="20"/>
                <w:color w:val="auto"/>
              </w:rPr>
            </w:pPr>
            <w:r>
              <w:rPr>
                <w:rFonts w:ascii="Arial" w:cs="Arial" w:eastAsia="Arial" w:hAnsi="Arial"/>
                <w:sz w:val="16"/>
                <w:szCs w:val="16"/>
                <w:b w:val="1"/>
                <w:bCs w:val="1"/>
                <w:color w:val="auto"/>
              </w:rPr>
              <w:t>Total Debt Investments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2"/>
              <w:spacing w:after="0"/>
              <w:rPr>
                <w:sz w:val="20"/>
                <w:szCs w:val="20"/>
                <w:color w:val="auto"/>
              </w:rPr>
            </w:pPr>
            <w:r>
              <w:rPr>
                <w:rFonts w:ascii="Arial" w:cs="Arial" w:eastAsia="Arial" w:hAnsi="Arial"/>
                <w:sz w:val="16"/>
                <w:szCs w:val="16"/>
                <w:color w:val="auto"/>
              </w:rPr>
              <w:t>167,333</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5,450,589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5"/>
              </w:rPr>
              <w:t>(2,102,384)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82,972</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2"/>
              </w:rPr>
              <w:t>(2,444,163)</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335,973</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w w:val="89"/>
              </w:rPr>
              <w:t>1,322,987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40" w:type="dxa"/>
            <w:vAlign w:val="bottom"/>
            <w:tcBorders>
              <w:left w:val="single" w:sz="8" w:color="CCEEFF"/>
              <w:bottom w:val="single" w:sz="8" w:color="CCEEFF"/>
            </w:tcBorders>
            <w:gridSpan w:val="4"/>
            <w:shd w:val="clear" w:color="auto" w:fill="CCEEFF"/>
          </w:tcPr>
          <w:p>
            <w:pPr>
              <w:ind w:left="180"/>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140" w:type="dxa"/>
            <w:vAlign w:val="bottom"/>
            <w:gridSpan w:val="4"/>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40" w:type="dxa"/>
            <w:vAlign w:val="bottom"/>
            <w:tcBorders>
              <w:left w:val="single" w:sz="8" w:color="CCEEFF"/>
            </w:tcBorders>
            <w:gridSpan w:val="4"/>
            <w:shd w:val="clear" w:color="auto" w:fill="CCEEFF"/>
          </w:tcPr>
          <w:p>
            <w:pPr>
              <w:ind w:left="280"/>
              <w:spacing w:after="0"/>
              <w:rPr>
                <w:sz w:val="20"/>
                <w:szCs w:val="20"/>
                <w:color w:val="auto"/>
              </w:rPr>
            </w:pPr>
            <w:r>
              <w:rPr>
                <w:rFonts w:ascii="Arial" w:cs="Arial" w:eastAsia="Arial" w:hAnsi="Arial"/>
                <w:sz w:val="16"/>
                <w:szCs w:val="16"/>
                <w:color w:val="auto"/>
              </w:rPr>
              <w:t>CUX, Inc. (d/b/a CorpU)–</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40" w:type="dxa"/>
            <w:vAlign w:val="bottom"/>
            <w:tcBorders>
              <w:left w:val="single" w:sz="8" w:color="CCEEFF"/>
            </w:tcBorders>
            <w:gridSpan w:val="4"/>
            <w:shd w:val="clear" w:color="auto" w:fill="CCEEFF"/>
          </w:tcPr>
          <w:p>
            <w:pPr>
              <w:ind w:left="280"/>
              <w:spacing w:after="0"/>
              <w:rPr>
                <w:sz w:val="20"/>
                <w:szCs w:val="20"/>
                <w:color w:val="auto"/>
              </w:rPr>
            </w:pPr>
            <w:r>
              <w:rPr>
                <w:rFonts w:ascii="Arial" w:cs="Arial" w:eastAsia="Arial" w:hAnsi="Arial"/>
                <w:sz w:val="16"/>
                <w:szCs w:val="16"/>
                <w:color w:val="auto"/>
              </w:rPr>
              <w:t>Convertible preferred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tcBorders>
              <w:left w:val="single" w:sz="8" w:color="CCEEFF"/>
            </w:tcBorders>
            <w:gridSpan w:val="4"/>
            <w:shd w:val="clear" w:color="auto" w:fill="CCEEFF"/>
          </w:tcPr>
          <w:p>
            <w:pPr>
              <w:ind w:left="280"/>
              <w:spacing w:after="0"/>
              <w:rPr>
                <w:sz w:val="20"/>
                <w:szCs w:val="20"/>
                <w:color w:val="auto"/>
              </w:rPr>
            </w:pPr>
            <w:r>
              <w:rPr>
                <w:rFonts w:ascii="Arial" w:cs="Arial" w:eastAsia="Arial" w:hAnsi="Arial"/>
                <w:sz w:val="16"/>
                <w:szCs w:val="16"/>
                <w:color w:val="auto"/>
              </w:rPr>
              <w:t>shares, Series D 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169,033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878,005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(843,025)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34,980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440" w:type="dxa"/>
            <w:vAlign w:val="bottom"/>
            <w:tcBorders>
              <w:left w:val="single" w:sz="8" w:color="CCEEFF"/>
            </w:tcBorders>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-5588635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Interest, Fees,</w:t>
            </w: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Fair Value at</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Purchases,</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or</w:t>
            </w:r>
          </w:p>
        </w:tc>
        <w:tc>
          <w:tcPr>
            <w:tcW w:w="100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Capitalized</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8"/>
        </w:trPr>
        <w:tc>
          <w:tcPr>
            <w:tcW w:w="2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Principal/</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Dividends</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December</w:t>
            </w: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Corporate</w:t>
            </w: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Fees,</w:t>
            </w: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Realized</w:t>
            </w: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Unrealized</w:t>
            </w: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Credited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31,</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Interest and</w:t>
            </w:r>
          </w:p>
        </w:tc>
        <w:tc>
          <w:tcPr>
            <w:tcW w:w="10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2"/>
                <w:szCs w:val="12"/>
                <w:color w:val="auto"/>
              </w:rPr>
            </w:pPr>
          </w:p>
        </w:tc>
        <w:tc>
          <w:tcPr>
            <w:tcW w:w="760" w:type="dxa"/>
            <w:vAlign w:val="bottom"/>
          </w:tcPr>
          <w:p>
            <w:pPr>
              <w:jc w:val="right"/>
              <w:ind w:right="12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Pr>
          <w:p>
            <w:pPr>
              <w:spacing w:after="0"/>
              <w:rPr>
                <w:sz w:val="16"/>
                <w:szCs w:val="16"/>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Quantity</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Action</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31, 2019</w:t>
            </w: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9"/>
        </w:trPr>
        <w:tc>
          <w:tcPr>
            <w:tcW w:w="2220" w:type="dxa"/>
            <w:vAlign w:val="bottom"/>
            <w:gridSpan w:val="2"/>
          </w:tcPr>
          <w:p>
            <w:pPr>
              <w:ind w:left="280"/>
              <w:spacing w:after="0"/>
              <w:rPr>
                <w:sz w:val="20"/>
                <w:szCs w:val="20"/>
                <w:color w:val="auto"/>
              </w:rPr>
            </w:pPr>
            <w:r>
              <w:rPr>
                <w:rFonts w:ascii="Arial" w:cs="Arial" w:eastAsia="Arial" w:hAnsi="Arial"/>
                <w:sz w:val="16"/>
                <w:szCs w:val="16"/>
                <w:color w:val="auto"/>
              </w:rPr>
              <w:t>CUX, Inc. (d/b/a CorpU) -</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20" w:type="dxa"/>
            <w:vAlign w:val="bottom"/>
            <w:gridSpan w:val="2"/>
          </w:tcPr>
          <w:p>
            <w:pPr>
              <w:ind w:left="280"/>
              <w:spacing w:after="0"/>
              <w:rPr>
                <w:sz w:val="20"/>
                <w:szCs w:val="20"/>
                <w:color w:val="auto"/>
              </w:rPr>
            </w:pPr>
            <w:r>
              <w:rPr>
                <w:rFonts w:ascii="Arial" w:cs="Arial" w:eastAsia="Arial" w:hAnsi="Arial"/>
                <w:sz w:val="16"/>
                <w:szCs w:val="16"/>
                <w:color w:val="auto"/>
              </w:rPr>
              <w:t>Convertible preferred</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20" w:type="dxa"/>
            <w:vAlign w:val="bottom"/>
            <w:gridSpan w:val="2"/>
          </w:tcPr>
          <w:p>
            <w:pPr>
              <w:ind w:left="280"/>
              <w:spacing w:after="0"/>
              <w:rPr>
                <w:sz w:val="20"/>
                <w:szCs w:val="20"/>
                <w:color w:val="auto"/>
              </w:rPr>
            </w:pPr>
            <w:r>
              <w:rPr>
                <w:rFonts w:ascii="Arial" w:cs="Arial" w:eastAsia="Arial" w:hAnsi="Arial"/>
                <w:sz w:val="16"/>
                <w:szCs w:val="16"/>
                <w:color w:val="auto"/>
              </w:rPr>
              <w:t>shares, Series C 8%</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615,763</w:t>
            </w:r>
          </w:p>
        </w:tc>
        <w:tc>
          <w:tcPr>
            <w:tcW w:w="100" w:type="dxa"/>
            <w:vAlign w:val="bottom"/>
          </w:tcPr>
          <w:p>
            <w:pPr>
              <w:spacing w:after="0"/>
              <w:rPr>
                <w:sz w:val="17"/>
                <w:szCs w:val="17"/>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Corporate Education</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878,005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(843,025)</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34,980</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37"/>
        </w:trPr>
        <w:tc>
          <w:tcPr>
            <w:tcW w:w="2220" w:type="dxa"/>
            <w:vAlign w:val="bottom"/>
            <w:gridSpan w:val="2"/>
          </w:tcPr>
          <w:p>
            <w:pPr>
              <w:ind w:left="180"/>
              <w:spacing w:after="0"/>
              <w:rPr>
                <w:sz w:val="20"/>
                <w:szCs w:val="20"/>
                <w:color w:val="auto"/>
              </w:rPr>
            </w:pPr>
            <w:r>
              <w:rPr>
                <w:rFonts w:ascii="Arial" w:cs="Arial" w:eastAsia="Arial" w:hAnsi="Arial"/>
                <w:sz w:val="16"/>
                <w:szCs w:val="16"/>
                <w:i w:val="1"/>
                <w:iCs w:val="1"/>
                <w:color w:val="auto"/>
              </w:rPr>
              <w:t>Social Cognitive Learning</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Declara, Inc.–Preferred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shares, Series A 8%</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(9,999,999)</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9,999,999</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220" w:type="dxa"/>
            <w:vAlign w:val="bottom"/>
            <w:gridSpan w:val="2"/>
          </w:tcPr>
          <w:p>
            <w:pPr>
              <w:ind w:left="180"/>
              <w:spacing w:after="0"/>
              <w:rPr>
                <w:sz w:val="20"/>
                <w:szCs w:val="20"/>
                <w:color w:val="auto"/>
              </w:rPr>
            </w:pPr>
            <w:r>
              <w:rPr>
                <w:rFonts w:ascii="Arial" w:cs="Arial" w:eastAsia="Arial" w:hAnsi="Arial"/>
                <w:sz w:val="16"/>
                <w:szCs w:val="16"/>
                <w:i w:val="1"/>
                <w:iCs w:val="1"/>
                <w:color w:val="auto"/>
              </w:rPr>
              <w:t>Education Media Platform</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EdSurge, Inc.–Preferred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shares, Series A-1</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250,000</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(501,360)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251,360</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220" w:type="dxa"/>
            <w:vAlign w:val="bottom"/>
            <w:gridSpan w:val="2"/>
          </w:tcPr>
          <w:p>
            <w:pPr>
              <w:ind w:left="280"/>
              <w:spacing w:after="0"/>
              <w:rPr>
                <w:sz w:val="20"/>
                <w:szCs w:val="20"/>
                <w:color w:val="auto"/>
              </w:rPr>
            </w:pPr>
            <w:r>
              <w:rPr>
                <w:rFonts w:ascii="Arial" w:cs="Arial" w:eastAsia="Arial" w:hAnsi="Arial"/>
                <w:sz w:val="16"/>
                <w:szCs w:val="16"/>
                <w:color w:val="auto"/>
              </w:rPr>
              <w:t>EdSurge, Inc.–Preferred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20" w:type="dxa"/>
            <w:vAlign w:val="bottom"/>
            <w:gridSpan w:val="2"/>
          </w:tcPr>
          <w:p>
            <w:pPr>
              <w:ind w:left="280"/>
              <w:spacing w:after="0"/>
              <w:rPr>
                <w:sz w:val="20"/>
                <w:szCs w:val="20"/>
                <w:color w:val="auto"/>
              </w:rPr>
            </w:pPr>
            <w:r>
              <w:rPr>
                <w:rFonts w:ascii="Arial" w:cs="Arial" w:eastAsia="Arial" w:hAnsi="Arial"/>
                <w:sz w:val="16"/>
                <w:szCs w:val="16"/>
                <w:color w:val="auto"/>
              </w:rPr>
              <w:t>shares, Series A</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269,848</w:t>
            </w:r>
          </w:p>
        </w:tc>
        <w:tc>
          <w:tcPr>
            <w:tcW w:w="12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(500,801)</w:t>
            </w:r>
          </w:p>
        </w:tc>
        <w:tc>
          <w:tcPr>
            <w:tcW w:w="100" w:type="dxa"/>
            <w:vAlign w:val="bottom"/>
          </w:tcPr>
          <w:p>
            <w:pPr>
              <w:spacing w:after="0"/>
              <w:rPr>
                <w:sz w:val="17"/>
                <w:szCs w:val="17"/>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230,953</w:t>
            </w:r>
          </w:p>
        </w:tc>
        <w:tc>
          <w:tcPr>
            <w:tcW w:w="10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220" w:type="dxa"/>
            <w:vAlign w:val="bottom"/>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Education Media</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Platform</w:t>
            </w: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519,848</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(1,002,161)</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482,313</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220" w:type="dxa"/>
            <w:vAlign w:val="bottom"/>
            <w:gridSpan w:val="2"/>
          </w:tcPr>
          <w:p>
            <w:pPr>
              <w:ind w:left="180"/>
              <w:spacing w:after="0"/>
              <w:rPr>
                <w:sz w:val="20"/>
                <w:szCs w:val="20"/>
                <w:color w:val="auto"/>
              </w:rPr>
            </w:pPr>
            <w:r>
              <w:rPr>
                <w:rFonts w:ascii="Arial" w:cs="Arial" w:eastAsia="Arial" w:hAnsi="Arial"/>
                <w:sz w:val="16"/>
                <w:szCs w:val="16"/>
                <w:i w:val="1"/>
                <w:iCs w:val="1"/>
                <w:color w:val="auto"/>
              </w:rPr>
              <w:t>Knowledge Networks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Maven Research, Inc.–</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Preferred shares, Series C</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318,979</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220" w:type="dxa"/>
            <w:vAlign w:val="bottom"/>
            <w:gridSpan w:val="2"/>
          </w:tcPr>
          <w:p>
            <w:pPr>
              <w:ind w:left="280"/>
              <w:spacing w:after="0"/>
              <w:rPr>
                <w:sz w:val="20"/>
                <w:szCs w:val="20"/>
                <w:color w:val="auto"/>
              </w:rPr>
            </w:pPr>
            <w:r>
              <w:rPr>
                <w:rFonts w:ascii="Arial" w:cs="Arial" w:eastAsia="Arial" w:hAnsi="Arial"/>
                <w:sz w:val="16"/>
                <w:szCs w:val="16"/>
                <w:color w:val="auto"/>
              </w:rPr>
              <w:t>Maven Research, Inc.–</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20" w:type="dxa"/>
            <w:vAlign w:val="bottom"/>
            <w:gridSpan w:val="2"/>
          </w:tcPr>
          <w:p>
            <w:pPr>
              <w:ind w:left="280"/>
              <w:spacing w:after="0"/>
              <w:rPr>
                <w:sz w:val="20"/>
                <w:szCs w:val="20"/>
                <w:color w:val="auto"/>
              </w:rPr>
            </w:pPr>
            <w:r>
              <w:rPr>
                <w:rFonts w:ascii="Arial" w:cs="Arial" w:eastAsia="Arial" w:hAnsi="Arial"/>
                <w:sz w:val="16"/>
                <w:szCs w:val="16"/>
                <w:color w:val="auto"/>
              </w:rPr>
              <w:t>Preferred shares, Series B</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49,505</w:t>
            </w:r>
          </w:p>
        </w:tc>
        <w:tc>
          <w:tcPr>
            <w:tcW w:w="100" w:type="dxa"/>
            <w:vAlign w:val="bottom"/>
          </w:tcPr>
          <w:p>
            <w:pPr>
              <w:spacing w:after="0"/>
              <w:rPr>
                <w:sz w:val="17"/>
                <w:szCs w:val="17"/>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Knowledge Networks</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220" w:type="dxa"/>
            <w:vAlign w:val="bottom"/>
            <w:gridSpan w:val="2"/>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22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 xml:space="preserve">shares, Series C-2 6% </w:t>
            </w:r>
            <w:r>
              <w:rPr>
                <w:rFonts w:ascii="Arial" w:cs="Arial" w:eastAsia="Arial" w:hAnsi="Arial"/>
                <w:sz w:val="21"/>
                <w:szCs w:val="21"/>
                <w:color w:val="auto"/>
                <w:vertAlign w:val="superscript"/>
              </w:rPr>
              <w:t>(6)</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683,482</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2,102,384</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311,794</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556,074</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2,970,252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20"/>
        </w:trPr>
        <w:tc>
          <w:tcPr>
            <w:tcW w:w="2220" w:type="dxa"/>
            <w:vAlign w:val="bottom"/>
            <w:gridSpan w:val="2"/>
          </w:tcPr>
          <w:p>
            <w:pPr>
              <w:ind w:left="280"/>
              <w:spacing w:after="0"/>
              <w:rPr>
                <w:sz w:val="20"/>
                <w:szCs w:val="20"/>
                <w:color w:val="auto"/>
              </w:rPr>
            </w:pPr>
            <w:r>
              <w:rPr>
                <w:rFonts w:ascii="Arial" w:cs="Arial" w:eastAsia="Arial" w:hAnsi="Arial"/>
                <w:sz w:val="16"/>
                <w:szCs w:val="16"/>
                <w:color w:val="auto"/>
              </w:rPr>
              <w:t>OzyMedia, Inc.–Preferred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20" w:type="dxa"/>
            <w:vAlign w:val="bottom"/>
            <w:gridSpan w:val="2"/>
          </w:tcPr>
          <w:p>
            <w:pPr>
              <w:ind w:left="280"/>
              <w:spacing w:after="0"/>
              <w:rPr>
                <w:sz w:val="20"/>
                <w:szCs w:val="20"/>
                <w:color w:val="auto"/>
              </w:rPr>
            </w:pPr>
            <w:r>
              <w:rPr>
                <w:rFonts w:ascii="Arial" w:cs="Arial" w:eastAsia="Arial" w:hAnsi="Arial"/>
                <w:sz w:val="16"/>
                <w:szCs w:val="16"/>
                <w:color w:val="auto"/>
              </w:rPr>
              <w:t>shares, Series B 6%</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922,509</w:t>
            </w:r>
          </w:p>
        </w:tc>
        <w:tc>
          <w:tcPr>
            <w:tcW w:w="100" w:type="dxa"/>
            <w:vAlign w:val="bottom"/>
          </w:tcPr>
          <w:p>
            <w:pPr>
              <w:spacing w:after="0"/>
              <w:rPr>
                <w:sz w:val="17"/>
                <w:szCs w:val="17"/>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5,001,420</w:t>
            </w:r>
          </w:p>
        </w:tc>
        <w:tc>
          <w:tcPr>
            <w:tcW w:w="10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5,001,420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Inc.–Preferred</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2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shares, Series A 6%</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1,090,909</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4,528,107</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4,528,107</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20"/>
        </w:trPr>
        <w:tc>
          <w:tcPr>
            <w:tcW w:w="2220" w:type="dxa"/>
            <w:vAlign w:val="bottom"/>
            <w:gridSpan w:val="2"/>
          </w:tcPr>
          <w:p>
            <w:pPr>
              <w:ind w:left="280"/>
              <w:spacing w:after="0"/>
              <w:rPr>
                <w:sz w:val="20"/>
                <w:szCs w:val="20"/>
                <w:color w:val="auto"/>
              </w:rPr>
            </w:pPr>
            <w:r>
              <w:rPr>
                <w:rFonts w:ascii="Arial" w:cs="Arial" w:eastAsia="Arial" w:hAnsi="Arial"/>
                <w:sz w:val="16"/>
                <w:szCs w:val="16"/>
                <w:color w:val="auto"/>
              </w:rPr>
              <w:t>OzyMedia, Inc.–Preferred</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20" w:type="dxa"/>
            <w:vAlign w:val="bottom"/>
            <w:gridSpan w:val="2"/>
          </w:tcPr>
          <w:p>
            <w:pPr>
              <w:ind w:left="280"/>
              <w:spacing w:after="0"/>
              <w:rPr>
                <w:sz w:val="20"/>
                <w:szCs w:val="20"/>
                <w:color w:val="auto"/>
              </w:rPr>
            </w:pPr>
            <w:r>
              <w:rPr>
                <w:rFonts w:ascii="Arial" w:cs="Arial" w:eastAsia="Arial" w:hAnsi="Arial"/>
                <w:sz w:val="16"/>
                <w:szCs w:val="16"/>
                <w:color w:val="auto"/>
              </w:rPr>
              <w:t>shares, Series Seed 6%</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17"/>
                <w:szCs w:val="17"/>
                <w:color w:val="auto"/>
              </w:rPr>
            </w:pP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2,002,143</w:t>
            </w:r>
          </w:p>
        </w:tc>
        <w:tc>
          <w:tcPr>
            <w:tcW w:w="100" w:type="dxa"/>
            <w:vAlign w:val="bottom"/>
          </w:tcPr>
          <w:p>
            <w:pPr>
              <w:spacing w:after="0"/>
              <w:rPr>
                <w:sz w:val="17"/>
                <w:szCs w:val="17"/>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2,002,143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2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Digital Media Platform</w:t>
            </w: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2,102,384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311,794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9"/>
              </w:rPr>
              <w:t>12,087,744</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4"/>
              </w:rPr>
              <w:t>14,501,922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0" w:type="dxa"/>
            <w:vAlign w:val="bottom"/>
          </w:tcPr>
          <w:p>
            <w:pPr>
              <w:spacing w:after="0"/>
              <w:rPr>
                <w:sz w:val="1"/>
                <w:szCs w:val="1"/>
                <w:color w:val="auto"/>
              </w:rPr>
            </w:pPr>
          </w:p>
        </w:tc>
      </w:tr>
      <w:tr>
        <w:trPr>
          <w:trHeight w:val="237"/>
        </w:trPr>
        <w:tc>
          <w:tcPr>
            <w:tcW w:w="2220" w:type="dxa"/>
            <w:vAlign w:val="bottom"/>
            <w:gridSpan w:val="2"/>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9"/>
              </w:rPr>
              <w:t>Labs, Inc.)–Preferred stock</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2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 xml:space="preserve">Series A-4 </w:t>
            </w:r>
            <w:r>
              <w:rPr>
                <w:rFonts w:ascii="Arial" w:cs="Arial" w:eastAsia="Arial" w:hAnsi="Arial"/>
                <w:sz w:val="21"/>
                <w:szCs w:val="21"/>
                <w:color w:val="auto"/>
                <w:vertAlign w:val="superscript"/>
              </w:rPr>
              <w:t>(7)</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220" w:type="dxa"/>
            <w:vAlign w:val="bottom"/>
            <w:gridSpan w:val="2"/>
          </w:tcPr>
          <w:p>
            <w:pPr>
              <w:ind w:left="280"/>
              <w:spacing w:after="0"/>
              <w:rPr>
                <w:sz w:val="20"/>
                <w:szCs w:val="20"/>
                <w:color w:val="auto"/>
              </w:rPr>
            </w:pPr>
            <w:r>
              <w:rPr>
                <w:rFonts w:ascii="Arial" w:cs="Arial" w:eastAsia="Arial" w:hAnsi="Arial"/>
                <w:sz w:val="16"/>
                <w:szCs w:val="16"/>
                <w:color w:val="auto"/>
              </w:rPr>
              <w:t>NestGSV, Inc. (d/b/a GSV</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20" w:type="dxa"/>
            <w:vAlign w:val="bottom"/>
            <w:gridSpan w:val="2"/>
          </w:tcPr>
          <w:p>
            <w:pPr>
              <w:ind w:left="280"/>
              <w:spacing w:after="0"/>
              <w:rPr>
                <w:sz w:val="20"/>
                <w:szCs w:val="20"/>
                <w:color w:val="auto"/>
              </w:rPr>
            </w:pPr>
            <w:r>
              <w:rPr>
                <w:rFonts w:ascii="Arial" w:cs="Arial" w:eastAsia="Arial" w:hAnsi="Arial"/>
                <w:sz w:val="16"/>
                <w:szCs w:val="16"/>
                <w:color w:val="auto"/>
                <w:w w:val="99"/>
              </w:rPr>
              <w:t>Labs, Inc.)–Preferred stock</w:t>
            </w: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220" w:type="dxa"/>
            <w:vAlign w:val="bottom"/>
            <w:gridSpan w:val="2"/>
          </w:tcPr>
          <w:p>
            <w:pPr>
              <w:ind w:left="280"/>
              <w:spacing w:after="0"/>
              <w:rPr>
                <w:sz w:val="20"/>
                <w:szCs w:val="20"/>
                <w:color w:val="auto"/>
              </w:rPr>
            </w:pPr>
            <w:r>
              <w:rPr>
                <w:rFonts w:ascii="Arial" w:cs="Arial" w:eastAsia="Arial" w:hAnsi="Arial"/>
                <w:sz w:val="16"/>
                <w:szCs w:val="16"/>
                <w:color w:val="auto"/>
              </w:rPr>
              <w:t xml:space="preserve">Series A-3 </w:t>
            </w:r>
            <w:r>
              <w:rPr>
                <w:rFonts w:ascii="Arial" w:cs="Arial" w:eastAsia="Arial" w:hAnsi="Arial"/>
                <w:sz w:val="21"/>
                <w:szCs w:val="21"/>
                <w:color w:val="auto"/>
                <w:vertAlign w:val="superscript"/>
              </w:rPr>
              <w:t>(7)</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7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6579870</wp:posOffset>
            </wp:positionH>
            <wp:positionV relativeFrom="paragraph">
              <wp:posOffset>-1217295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-1217295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-1217295</wp:posOffset>
            </wp:positionV>
            <wp:extent cx="55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6895" cy="8890"/>
                    </a:xfrm>
                    <a:prstGeom prst="rect">
                      <a:avLst/>
                    </a:prstGeom>
                    <a:noFill/>
                  </pic:spPr>
                </pic:pic>
              </a:graphicData>
            </a:graphic>
          </wp:anchor>
        </w:drawing>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Interest, Fees,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or</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Percentage</w:t>
            </w:r>
          </w:p>
        </w:tc>
        <w:tc>
          <w:tcPr>
            <w:tcW w:w="0" w:type="dxa"/>
            <w:vAlign w:val="bottom"/>
          </w:tcPr>
          <w:p>
            <w:pPr>
              <w:spacing w:after="0"/>
              <w:rPr>
                <w:sz w:val="1"/>
                <w:szCs w:val="1"/>
                <w:color w:val="auto"/>
              </w:rPr>
            </w:pPr>
          </w:p>
        </w:tc>
      </w:tr>
      <w:tr>
        <w:trPr>
          <w:trHeight w:val="148"/>
        </w:trPr>
        <w:tc>
          <w:tcPr>
            <w:tcW w:w="2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76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Dividends</w:t>
            </w:r>
          </w:p>
        </w:tc>
        <w:tc>
          <w:tcPr>
            <w:tcW w:w="10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Fees,</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Realized</w:t>
            </w:r>
          </w:p>
        </w:tc>
        <w:tc>
          <w:tcPr>
            <w:tcW w:w="100" w:type="dxa"/>
            <w:vAlign w:val="bottom"/>
          </w:tcPr>
          <w:p>
            <w:pPr>
              <w:spacing w:after="0"/>
              <w:rPr>
                <w:sz w:val="12"/>
                <w:szCs w:val="12"/>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Unrealized</w:t>
            </w:r>
          </w:p>
        </w:tc>
        <w:tc>
          <w:tcPr>
            <w:tcW w:w="1040" w:type="dxa"/>
            <w:vAlign w:val="bottom"/>
            <w:gridSpan w:val="3"/>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gridSpan w:val="2"/>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760" w:type="dxa"/>
            <w:vAlign w:val="bottom"/>
          </w:tcPr>
          <w:p>
            <w:pPr>
              <w:jc w:val="right"/>
              <w:ind w:right="12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Quantity</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in Income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Action</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9"/>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8"/>
              </w:rPr>
              <w:t>NestGSV, Inc. (d/b/a GSV</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Labs, Inc.)–Preferred</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2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 xml:space="preserve">stock Series A-2 </w:t>
            </w:r>
            <w:r>
              <w:rPr>
                <w:rFonts w:ascii="Arial" w:cs="Arial" w:eastAsia="Arial" w:hAnsi="Arial"/>
                <w:sz w:val="21"/>
                <w:szCs w:val="21"/>
                <w:color w:val="auto"/>
                <w:vertAlign w:val="superscript"/>
              </w:rPr>
              <w:t>(7)</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120" w:type="dxa"/>
            <w:vAlign w:val="bottom"/>
            <w:gridSpan w:val="2"/>
          </w:tcPr>
          <w:p>
            <w:pPr>
              <w:ind w:left="280"/>
              <w:spacing w:after="0"/>
              <w:rPr>
                <w:sz w:val="20"/>
                <w:szCs w:val="20"/>
                <w:color w:val="auto"/>
              </w:rPr>
            </w:pPr>
            <w:r>
              <w:rPr>
                <w:rFonts w:ascii="Arial" w:cs="Arial" w:eastAsia="Arial" w:hAnsi="Arial"/>
                <w:sz w:val="16"/>
                <w:szCs w:val="16"/>
                <w:color w:val="auto"/>
                <w:w w:val="98"/>
              </w:rPr>
              <w:t>NestGSV, Inc. (d/b/a GSV</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20" w:type="dxa"/>
            <w:vAlign w:val="bottom"/>
            <w:gridSpan w:val="2"/>
          </w:tcPr>
          <w:p>
            <w:pPr>
              <w:ind w:left="280"/>
              <w:spacing w:after="0"/>
              <w:rPr>
                <w:sz w:val="20"/>
                <w:szCs w:val="20"/>
                <w:color w:val="auto"/>
              </w:rPr>
            </w:pPr>
            <w:r>
              <w:rPr>
                <w:rFonts w:ascii="Arial" w:cs="Arial" w:eastAsia="Arial" w:hAnsi="Arial"/>
                <w:sz w:val="16"/>
                <w:szCs w:val="16"/>
                <w:color w:val="auto"/>
              </w:rPr>
              <w:t>Labs, Inc.)–Preferred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20" w:type="dxa"/>
            <w:vAlign w:val="bottom"/>
            <w:gridSpan w:val="2"/>
          </w:tcPr>
          <w:p>
            <w:pPr>
              <w:ind w:left="280"/>
              <w:spacing w:after="0" w:line="239" w:lineRule="exact"/>
              <w:rPr>
                <w:sz w:val="20"/>
                <w:szCs w:val="20"/>
                <w:color w:val="auto"/>
              </w:rPr>
            </w:pPr>
            <w:r>
              <w:rPr>
                <w:rFonts w:ascii="Arial" w:cs="Arial" w:eastAsia="Arial" w:hAnsi="Arial"/>
                <w:sz w:val="16"/>
                <w:szCs w:val="16"/>
                <w:color w:val="auto"/>
              </w:rPr>
              <w:t xml:space="preserve">stock Series A-1 </w:t>
            </w:r>
            <w:r>
              <w:rPr>
                <w:rFonts w:ascii="Arial" w:cs="Arial" w:eastAsia="Arial" w:hAnsi="Arial"/>
                <w:sz w:val="21"/>
                <w:szCs w:val="21"/>
                <w:color w:val="auto"/>
                <w:vertAlign w:val="superscript"/>
              </w:rPr>
              <w:t>(7)</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1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Global Innovation</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Platform</w:t>
            </w: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20" w:type="dxa"/>
            <w:vAlign w:val="bottom"/>
            <w:gridSpan w:val="2"/>
          </w:tcPr>
          <w:p>
            <w:pPr>
              <w:ind w:left="180"/>
              <w:spacing w:after="0"/>
              <w:rPr>
                <w:sz w:val="20"/>
                <w:szCs w:val="20"/>
                <w:color w:val="auto"/>
              </w:rPr>
            </w:pPr>
            <w:r>
              <w:rPr>
                <w:rFonts w:ascii="Arial" w:cs="Arial" w:eastAsia="Arial" w:hAnsi="Arial"/>
                <w:sz w:val="16"/>
                <w:szCs w:val="16"/>
                <w:i w:val="1"/>
                <w:iCs w:val="1"/>
                <w:color w:val="auto"/>
              </w:rPr>
              <w:t>Interactive Learning</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StormWind, LLC–</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6"/>
              </w:rPr>
              <w:t>Preferred shares, Series D</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20" w:type="dxa"/>
            <w:vAlign w:val="bottom"/>
            <w:shd w:val="clear" w:color="auto" w:fill="CCEEFF"/>
          </w:tcPr>
          <w:p>
            <w:pPr>
              <w:ind w:left="280"/>
              <w:spacing w:after="0" w:line="240" w:lineRule="exact"/>
              <w:rPr>
                <w:sz w:val="20"/>
                <w:szCs w:val="20"/>
                <w:color w:val="auto"/>
              </w:rPr>
            </w:pPr>
            <w:r>
              <w:rPr>
                <w:rFonts w:ascii="Arial" w:cs="Arial" w:eastAsia="Arial" w:hAnsi="Arial"/>
                <w:sz w:val="27"/>
                <w:szCs w:val="27"/>
                <w:color w:val="auto"/>
                <w:vertAlign w:val="subscript"/>
              </w:rPr>
              <w:t>8%</w:t>
            </w:r>
            <w:r>
              <w:rPr>
                <w:rFonts w:ascii="Arial" w:cs="Arial" w:eastAsia="Arial" w:hAnsi="Arial"/>
                <w:sz w:val="10"/>
                <w:szCs w:val="10"/>
                <w:color w:val="auto"/>
              </w:rPr>
              <w:t>(4)(8)</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329,337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257,267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245,853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503,120</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220"/>
        </w:trPr>
        <w:tc>
          <w:tcPr>
            <w:tcW w:w="2120" w:type="dxa"/>
            <w:vAlign w:val="bottom"/>
            <w:gridSpan w:val="2"/>
          </w:tcPr>
          <w:p>
            <w:pPr>
              <w:ind w:left="280"/>
              <w:spacing w:after="0"/>
              <w:rPr>
                <w:sz w:val="20"/>
                <w:szCs w:val="20"/>
                <w:color w:val="auto"/>
              </w:rPr>
            </w:pPr>
            <w:r>
              <w:rPr>
                <w:rFonts w:ascii="Arial" w:cs="Arial" w:eastAsia="Arial" w:hAnsi="Arial"/>
                <w:sz w:val="16"/>
                <w:szCs w:val="16"/>
                <w:color w:val="auto"/>
              </w:rPr>
              <w:t>StormWind, LLC–</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20" w:type="dxa"/>
            <w:vAlign w:val="bottom"/>
            <w:gridSpan w:val="2"/>
          </w:tcPr>
          <w:p>
            <w:pPr>
              <w:ind w:left="280"/>
              <w:spacing w:after="0"/>
              <w:rPr>
                <w:sz w:val="20"/>
                <w:szCs w:val="20"/>
                <w:color w:val="auto"/>
              </w:rPr>
            </w:pPr>
            <w:r>
              <w:rPr>
                <w:rFonts w:ascii="Arial" w:cs="Arial" w:eastAsia="Arial" w:hAnsi="Arial"/>
                <w:sz w:val="16"/>
                <w:szCs w:val="16"/>
                <w:color w:val="auto"/>
                <w:w w:val="96"/>
              </w:rPr>
              <w:t>Preferred shares, Series C</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20" w:type="dxa"/>
            <w:vAlign w:val="bottom"/>
          </w:tcPr>
          <w:p>
            <w:pPr>
              <w:ind w:left="280"/>
              <w:spacing w:after="0" w:line="240" w:lineRule="exact"/>
              <w:rPr>
                <w:sz w:val="20"/>
                <w:szCs w:val="20"/>
                <w:color w:val="auto"/>
              </w:rPr>
            </w:pPr>
            <w:r>
              <w:rPr>
                <w:rFonts w:ascii="Arial" w:cs="Arial" w:eastAsia="Arial" w:hAnsi="Arial"/>
                <w:sz w:val="27"/>
                <w:szCs w:val="27"/>
                <w:color w:val="auto"/>
                <w:vertAlign w:val="subscript"/>
              </w:rPr>
              <w:t>8%</w:t>
            </w:r>
            <w:r>
              <w:rPr>
                <w:rFonts w:ascii="Arial" w:cs="Arial" w:eastAsia="Arial" w:hAnsi="Arial"/>
                <w:sz w:val="10"/>
                <w:szCs w:val="10"/>
                <w:color w:val="auto"/>
              </w:rPr>
              <w:t>(4)</w:t>
            </w:r>
          </w:p>
        </w:tc>
        <w:tc>
          <w:tcPr>
            <w:tcW w:w="10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w w:val="92"/>
              </w:rPr>
              <w:t>2,779,134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7,194,971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(1,803,971)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98"/>
              </w:rPr>
              <w:t>5,391,000</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20"/>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StormWind, LLC–</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6"/>
              </w:rPr>
              <w:t>Preferred shares, Series B</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20" w:type="dxa"/>
            <w:vAlign w:val="bottom"/>
            <w:shd w:val="clear" w:color="auto" w:fill="CCEEFF"/>
          </w:tcPr>
          <w:p>
            <w:pPr>
              <w:ind w:left="280"/>
              <w:spacing w:after="0" w:line="240" w:lineRule="exact"/>
              <w:rPr>
                <w:sz w:val="20"/>
                <w:szCs w:val="20"/>
                <w:color w:val="auto"/>
              </w:rPr>
            </w:pPr>
            <w:r>
              <w:rPr>
                <w:rFonts w:ascii="Arial" w:cs="Arial" w:eastAsia="Arial" w:hAnsi="Arial"/>
                <w:sz w:val="27"/>
                <w:szCs w:val="27"/>
                <w:color w:val="auto"/>
                <w:vertAlign w:val="subscript"/>
              </w:rPr>
              <w:t>8%</w:t>
            </w:r>
            <w:r>
              <w:rPr>
                <w:rFonts w:ascii="Arial" w:cs="Arial" w:eastAsia="Arial" w:hAnsi="Arial"/>
                <w:sz w:val="10"/>
                <w:szCs w:val="10"/>
                <w:color w:val="auto"/>
              </w:rPr>
              <w:t>(4)</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2"/>
              </w:rPr>
              <w:t>3,279,629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5,770,328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(2,521,524)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8"/>
              </w:rPr>
              <w:t>3,248,804</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20"/>
        </w:trPr>
        <w:tc>
          <w:tcPr>
            <w:tcW w:w="2120" w:type="dxa"/>
            <w:vAlign w:val="bottom"/>
            <w:gridSpan w:val="2"/>
          </w:tcPr>
          <w:p>
            <w:pPr>
              <w:ind w:left="280"/>
              <w:spacing w:after="0"/>
              <w:rPr>
                <w:sz w:val="20"/>
                <w:szCs w:val="20"/>
                <w:color w:val="auto"/>
              </w:rPr>
            </w:pPr>
            <w:r>
              <w:rPr>
                <w:rFonts w:ascii="Arial" w:cs="Arial" w:eastAsia="Arial" w:hAnsi="Arial"/>
                <w:sz w:val="16"/>
                <w:szCs w:val="16"/>
                <w:color w:val="auto"/>
              </w:rPr>
              <w:t>StormWind, LLC–</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20" w:type="dxa"/>
            <w:vAlign w:val="bottom"/>
            <w:gridSpan w:val="2"/>
          </w:tcPr>
          <w:p>
            <w:pPr>
              <w:ind w:left="280"/>
              <w:spacing w:after="0"/>
              <w:rPr>
                <w:sz w:val="20"/>
                <w:szCs w:val="20"/>
                <w:color w:val="auto"/>
              </w:rPr>
            </w:pPr>
            <w:r>
              <w:rPr>
                <w:rFonts w:ascii="Arial" w:cs="Arial" w:eastAsia="Arial" w:hAnsi="Arial"/>
                <w:sz w:val="16"/>
                <w:szCs w:val="16"/>
                <w:color w:val="auto"/>
                <w:w w:val="96"/>
              </w:rPr>
              <w:t>Preferred shares, Series A</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20" w:type="dxa"/>
            <w:vAlign w:val="bottom"/>
            <w:tcBorders>
              <w:bottom w:val="single" w:sz="8" w:color="CCEEFF"/>
            </w:tcBorders>
          </w:tcPr>
          <w:p>
            <w:pPr>
              <w:ind w:left="280"/>
              <w:spacing w:after="0" w:line="240" w:lineRule="exact"/>
              <w:rPr>
                <w:sz w:val="20"/>
                <w:szCs w:val="20"/>
                <w:color w:val="auto"/>
              </w:rPr>
            </w:pPr>
            <w:r>
              <w:rPr>
                <w:rFonts w:ascii="Arial" w:cs="Arial" w:eastAsia="Arial" w:hAnsi="Arial"/>
                <w:sz w:val="27"/>
                <w:szCs w:val="27"/>
                <w:color w:val="auto"/>
                <w:vertAlign w:val="subscript"/>
              </w:rPr>
              <w:t>8%</w:t>
            </w:r>
            <w:r>
              <w:rPr>
                <w:rFonts w:ascii="Arial" w:cs="Arial" w:eastAsia="Arial" w:hAnsi="Arial"/>
                <w:sz w:val="10"/>
                <w:szCs w:val="10"/>
                <w:color w:val="auto"/>
              </w:rPr>
              <w:t>(4)</w:t>
            </w: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366,666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421,525</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(263,576)</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157,949</w:t>
            </w: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44"/>
        </w:trPr>
        <w:tc>
          <w:tcPr>
            <w:tcW w:w="2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Total Interactive Learning</w:t>
            </w: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13,386,824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257,267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(4,343,218)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9,300,873</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0" w:type="dxa"/>
            <w:vAlign w:val="bottom"/>
          </w:tcPr>
          <w:p>
            <w:pPr>
              <w:spacing w:after="0"/>
              <w:rPr>
                <w:sz w:val="1"/>
                <w:szCs w:val="1"/>
                <w:color w:val="auto"/>
              </w:rPr>
            </w:pPr>
          </w:p>
        </w:tc>
      </w:tr>
      <w:tr>
        <w:trPr>
          <w:trHeight w:val="237"/>
        </w:trPr>
        <w:tc>
          <w:tcPr>
            <w:tcW w:w="212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 Preferred Stock</w:t>
            </w:r>
          </w:p>
        </w:tc>
        <w:tc>
          <w:tcPr>
            <w:tcW w:w="7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14,784,677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2,102,384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569,061</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0"/>
              </w:rPr>
              <w:t>(11,002,160)</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20"/>
              <w:spacing w:after="0"/>
              <w:rPr>
                <w:sz w:val="20"/>
                <w:szCs w:val="20"/>
                <w:color w:val="auto"/>
              </w:rPr>
            </w:pPr>
            <w:r>
              <w:rPr>
                <w:rFonts w:ascii="Arial" w:cs="Arial" w:eastAsia="Arial" w:hAnsi="Arial"/>
                <w:sz w:val="16"/>
                <w:szCs w:val="16"/>
                <w:color w:val="auto"/>
                <w:w w:val="89"/>
              </w:rPr>
              <w:t>17,383,813</w:t>
            </w:r>
          </w:p>
        </w:tc>
        <w:tc>
          <w:tcPr>
            <w:tcW w:w="12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w w:val="87"/>
              </w:rPr>
              <w:t>23,837,775</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11.92%</w:t>
            </w: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Options</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120" w:type="dxa"/>
            <w:vAlign w:val="bottom"/>
            <w:gridSpan w:val="2"/>
          </w:tcPr>
          <w:p>
            <w:pPr>
              <w:ind w:left="180"/>
              <w:spacing w:after="0"/>
              <w:rPr>
                <w:sz w:val="20"/>
                <w:szCs w:val="20"/>
                <w:color w:val="auto"/>
              </w:rPr>
            </w:pPr>
            <w:r>
              <w:rPr>
                <w:rFonts w:ascii="Arial" w:cs="Arial" w:eastAsia="Arial" w:hAnsi="Arial"/>
                <w:sz w:val="16"/>
                <w:szCs w:val="16"/>
                <w:i w:val="1"/>
                <w:iCs w:val="1"/>
                <w:color w:val="auto"/>
              </w:rPr>
              <w:t>Corporate Education</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CUX, Inc. (d/b/a CorpU)</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–Preferred warrants,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Series D, Strike Price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$4.59, Expiration Date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2/14/2020</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16,903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19,946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(19,946)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120" w:type="dxa"/>
            <w:vAlign w:val="bottom"/>
            <w:gridSpan w:val="2"/>
          </w:tcPr>
          <w:p>
            <w:pPr>
              <w:ind w:left="180"/>
              <w:spacing w:after="0"/>
              <w:rPr>
                <w:sz w:val="20"/>
                <w:szCs w:val="20"/>
                <w:color w:val="auto"/>
              </w:rPr>
            </w:pPr>
            <w:r>
              <w:rPr>
                <w:rFonts w:ascii="Arial" w:cs="Arial" w:eastAsia="Arial" w:hAnsi="Arial"/>
                <w:sz w:val="16"/>
                <w:szCs w:val="16"/>
                <w:i w:val="1"/>
                <w:iCs w:val="1"/>
                <w:color w:val="auto"/>
              </w:rPr>
              <w:t>Digital Media Platform</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OzyMedia, Inc.–Common</w:t>
            </w: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Warrants, Strike Price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$0.01, Expiration Date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4/9/2028</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295,565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1,182,260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8"/>
              </w:rPr>
              <w:t>1,182,260</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0" w:type="dxa"/>
            <w:vAlign w:val="bottom"/>
          </w:tcPr>
          <w:p>
            <w:pPr>
              <w:spacing w:after="0"/>
              <w:rPr>
                <w:sz w:val="1"/>
                <w:szCs w:val="1"/>
                <w:color w:val="auto"/>
              </w:rPr>
            </w:pPr>
          </w:p>
        </w:tc>
      </w:tr>
      <w:tr>
        <w:trPr>
          <w:trHeight w:val="237"/>
        </w:trPr>
        <w:tc>
          <w:tcPr>
            <w:tcW w:w="2120" w:type="dxa"/>
            <w:vAlign w:val="bottom"/>
            <w:gridSpan w:val="2"/>
          </w:tcPr>
          <w:p>
            <w:pPr>
              <w:ind w:left="180"/>
              <w:spacing w:after="0"/>
              <w:rPr>
                <w:sz w:val="20"/>
                <w:szCs w:val="20"/>
                <w:color w:val="auto"/>
              </w:rPr>
            </w:pPr>
            <w:r>
              <w:rPr>
                <w:rFonts w:ascii="Arial" w:cs="Arial" w:eastAsia="Arial" w:hAnsi="Arial"/>
                <w:sz w:val="16"/>
                <w:szCs w:val="16"/>
                <w:i w:val="1"/>
                <w:iCs w:val="1"/>
                <w:color w:val="auto"/>
              </w:rPr>
              <w:t>Global Innovation Platform</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8"/>
              </w:rPr>
              <w:t>NestGSV, Inc. (d/b/a GSV</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Labs, Inc.)–Preferred</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w w:val="97"/>
              </w:rPr>
              <w:t>Warrant Series A-3, Strike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Price $1.33, Expiration</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2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Date 4/4/2021</w:t>
            </w:r>
            <w:r>
              <w:rPr>
                <w:rFonts w:ascii="Arial" w:cs="Arial" w:eastAsia="Arial" w:hAnsi="Arial"/>
                <w:sz w:val="21"/>
                <w:szCs w:val="21"/>
                <w:color w:val="auto"/>
                <w:vertAlign w:val="superscript"/>
              </w:rPr>
              <w:t>(7)</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187,500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20,625</w:t>
            </w: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20"/>
        </w:trPr>
        <w:tc>
          <w:tcPr>
            <w:tcW w:w="2120" w:type="dxa"/>
            <w:vAlign w:val="bottom"/>
            <w:gridSpan w:val="2"/>
          </w:tcPr>
          <w:p>
            <w:pPr>
              <w:ind w:left="280"/>
              <w:spacing w:after="0"/>
              <w:rPr>
                <w:sz w:val="20"/>
                <w:szCs w:val="20"/>
                <w:color w:val="auto"/>
              </w:rPr>
            </w:pPr>
            <w:r>
              <w:rPr>
                <w:rFonts w:ascii="Arial" w:cs="Arial" w:eastAsia="Arial" w:hAnsi="Arial"/>
                <w:sz w:val="16"/>
                <w:szCs w:val="16"/>
                <w:color w:val="auto"/>
                <w:w w:val="98"/>
              </w:rPr>
              <w:t>NestGSV, Inc. (d/b/a GSV</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120" w:type="dxa"/>
            <w:vAlign w:val="bottom"/>
            <w:gridSpan w:val="2"/>
          </w:tcPr>
          <w:p>
            <w:pPr>
              <w:ind w:left="280"/>
              <w:spacing w:after="0"/>
              <w:rPr>
                <w:sz w:val="20"/>
                <w:szCs w:val="20"/>
                <w:color w:val="auto"/>
              </w:rPr>
            </w:pPr>
            <w:r>
              <w:rPr>
                <w:rFonts w:ascii="Arial" w:cs="Arial" w:eastAsia="Arial" w:hAnsi="Arial"/>
                <w:sz w:val="16"/>
                <w:szCs w:val="16"/>
                <w:color w:val="auto"/>
              </w:rPr>
              <w:t>Labs, Inc.)–Preferred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gridSpan w:val="2"/>
          </w:tcPr>
          <w:p>
            <w:pPr>
              <w:ind w:left="280"/>
              <w:spacing w:after="0"/>
              <w:rPr>
                <w:sz w:val="20"/>
                <w:szCs w:val="20"/>
                <w:color w:val="auto"/>
              </w:rPr>
            </w:pPr>
            <w:r>
              <w:rPr>
                <w:rFonts w:ascii="Arial" w:cs="Arial" w:eastAsia="Arial" w:hAnsi="Arial"/>
                <w:sz w:val="16"/>
                <w:szCs w:val="16"/>
                <w:color w:val="auto"/>
                <w:w w:val="97"/>
              </w:rPr>
              <w:t>Warrant Series A-4, Strike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20" w:type="dxa"/>
            <w:vAlign w:val="bottom"/>
            <w:gridSpan w:val="2"/>
          </w:tcPr>
          <w:p>
            <w:pPr>
              <w:ind w:left="280"/>
              <w:spacing w:after="0"/>
              <w:rPr>
                <w:sz w:val="20"/>
                <w:szCs w:val="20"/>
                <w:color w:val="auto"/>
              </w:rPr>
            </w:pPr>
            <w:r>
              <w:rPr>
                <w:rFonts w:ascii="Arial" w:cs="Arial" w:eastAsia="Arial" w:hAnsi="Arial"/>
                <w:sz w:val="16"/>
                <w:szCs w:val="16"/>
                <w:color w:val="auto"/>
              </w:rPr>
              <w:t>Price $1.33, Expiration</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2120" w:type="dxa"/>
            <w:vAlign w:val="bottom"/>
            <w:gridSpan w:val="2"/>
          </w:tcPr>
          <w:p>
            <w:pPr>
              <w:ind w:left="280"/>
              <w:spacing w:after="0"/>
              <w:rPr>
                <w:sz w:val="20"/>
                <w:szCs w:val="20"/>
                <w:color w:val="auto"/>
              </w:rPr>
            </w:pPr>
            <w:r>
              <w:rPr>
                <w:rFonts w:ascii="Arial" w:cs="Arial" w:eastAsia="Arial" w:hAnsi="Arial"/>
                <w:sz w:val="16"/>
                <w:szCs w:val="16"/>
                <w:color w:val="auto"/>
              </w:rPr>
              <w:t>Date 10/6/2021</w:t>
            </w:r>
            <w:r>
              <w:rPr>
                <w:rFonts w:ascii="Arial" w:cs="Arial" w:eastAsia="Arial" w:hAnsi="Arial"/>
                <w:sz w:val="21"/>
                <w:szCs w:val="21"/>
                <w:color w:val="auto"/>
                <w:vertAlign w:val="superscript"/>
              </w:rPr>
              <w:t>(7)</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500,000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145,000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135,000</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-2108835</wp:posOffset>
            </wp:positionV>
            <wp:extent cx="12769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6985"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-5803265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-5803265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1350645</wp:posOffset>
            </wp:positionH>
            <wp:positionV relativeFrom="paragraph">
              <wp:posOffset>-5803265</wp:posOffset>
            </wp:positionV>
            <wp:extent cx="5486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-6652260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Interest,</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Fees, or</w:t>
            </w: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Capitalized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8"/>
        </w:trPr>
        <w:tc>
          <w:tcPr>
            <w:tcW w:w="2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Type/Industry/Portfolio</w:t>
            </w: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Principal/</w:t>
            </w:r>
          </w:p>
        </w:tc>
        <w:tc>
          <w:tcPr>
            <w:tcW w:w="14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Dividends</w:t>
            </w:r>
          </w:p>
        </w:tc>
        <w:tc>
          <w:tcPr>
            <w:tcW w:w="10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Fees,</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Realized</w:t>
            </w:r>
          </w:p>
        </w:tc>
        <w:tc>
          <w:tcPr>
            <w:tcW w:w="12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102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Credited</w:t>
            </w: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Interest and</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tcPr>
          <w:p>
            <w:pPr>
              <w:jc w:val="right"/>
              <w:ind w:right="141"/>
              <w:spacing w:after="0" w:line="149"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92"/>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Quantity</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in Income</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Action</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Gains/(Losses)</w:t>
            </w: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87"/>
              </w:rPr>
              <w:t>Gains/(Losses)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9"/>
        </w:trPr>
        <w:tc>
          <w:tcPr>
            <w:tcW w:w="2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Labs, Inc.)–Preferred</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Warrant Series A-4, Strike</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Price $1.33, Expiration</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4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Date 7/18/2021</w:t>
            </w:r>
            <w:r>
              <w:rPr>
                <w:rFonts w:ascii="Arial" w:cs="Arial" w:eastAsia="Arial" w:hAnsi="Arial"/>
                <w:sz w:val="21"/>
                <w:szCs w:val="21"/>
                <w:color w:val="auto"/>
                <w:vertAlign w:val="superscript"/>
              </w:rPr>
              <w:t>(7)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62,500</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00"/>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NestGSV, Inc. (d/b/a GSV</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Labs, Inc.)–Preferred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Warrant Series B, Strike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Price $2.31, Expiration</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40" w:type="dxa"/>
            <w:vAlign w:val="bottom"/>
            <w:gridSpan w:val="2"/>
          </w:tcPr>
          <w:p>
            <w:pPr>
              <w:ind w:left="280"/>
              <w:spacing w:after="0" w:line="239" w:lineRule="exact"/>
              <w:rPr>
                <w:sz w:val="20"/>
                <w:szCs w:val="20"/>
                <w:color w:val="auto"/>
              </w:rPr>
            </w:pPr>
            <w:r>
              <w:rPr>
                <w:rFonts w:ascii="Arial" w:cs="Arial" w:eastAsia="Arial" w:hAnsi="Arial"/>
                <w:sz w:val="16"/>
                <w:szCs w:val="16"/>
                <w:color w:val="auto"/>
              </w:rPr>
              <w:t xml:space="preserve">Date 11/29/2021 </w:t>
            </w:r>
            <w:r>
              <w:rPr>
                <w:rFonts w:ascii="Arial" w:cs="Arial" w:eastAsia="Arial" w:hAnsi="Arial"/>
                <w:sz w:val="21"/>
                <w:szCs w:val="21"/>
                <w:color w:val="auto"/>
                <w:vertAlign w:val="superscript"/>
              </w:rPr>
              <w:t>(7)</w:t>
            </w:r>
          </w:p>
        </w:tc>
        <w:tc>
          <w:tcPr>
            <w:tcW w:w="740" w:type="dxa"/>
            <w:vAlign w:val="bottom"/>
          </w:tcPr>
          <w:p>
            <w:pPr>
              <w:jc w:val="right"/>
              <w:spacing w:after="0"/>
              <w:rPr>
                <w:sz w:val="20"/>
                <w:szCs w:val="20"/>
                <w:color w:val="auto"/>
              </w:rPr>
            </w:pPr>
            <w:r>
              <w:rPr>
                <w:rFonts w:ascii="Arial" w:cs="Arial" w:eastAsia="Arial" w:hAnsi="Arial"/>
                <w:sz w:val="16"/>
                <w:szCs w:val="16"/>
                <w:color w:val="auto"/>
              </w:rPr>
              <w:t>100,000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NestGSV, Inc. (d/b/a GSV</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Labs, Inc.)–Preferred</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Warrant Series B, Strike</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Price $2.31, Expiration</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40" w:type="dxa"/>
            <w:vAlign w:val="bottom"/>
            <w:gridSpan w:val="2"/>
            <w:shd w:val="clear" w:color="auto" w:fill="CCEEFF"/>
          </w:tcPr>
          <w:p>
            <w:pPr>
              <w:ind w:left="280"/>
              <w:spacing w:after="0" w:line="239" w:lineRule="exact"/>
              <w:rPr>
                <w:sz w:val="20"/>
                <w:szCs w:val="20"/>
                <w:color w:val="auto"/>
              </w:rPr>
            </w:pPr>
            <w:r>
              <w:rPr>
                <w:rFonts w:ascii="Arial" w:cs="Arial" w:eastAsia="Arial" w:hAnsi="Arial"/>
                <w:sz w:val="16"/>
                <w:szCs w:val="16"/>
                <w:color w:val="auto"/>
              </w:rPr>
              <w:t>Date 5/29/2022</w:t>
            </w:r>
            <w:r>
              <w:rPr>
                <w:rFonts w:ascii="Arial" w:cs="Arial" w:eastAsia="Arial" w:hAnsi="Arial"/>
                <w:sz w:val="21"/>
                <w:szCs w:val="21"/>
                <w:color w:val="auto"/>
                <w:vertAlign w:val="superscript"/>
              </w:rPr>
              <w:t>(7)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NestGSV, Inc. (d/b/a GSV</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Labs, Inc.)–Preferred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Warrant Series B, Strike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Price $2.31, Expiration</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40" w:type="dxa"/>
            <w:vAlign w:val="bottom"/>
            <w:gridSpan w:val="2"/>
          </w:tcPr>
          <w:p>
            <w:pPr>
              <w:ind w:left="280"/>
              <w:spacing w:after="0" w:line="239" w:lineRule="exact"/>
              <w:rPr>
                <w:sz w:val="20"/>
                <w:szCs w:val="20"/>
                <w:color w:val="auto"/>
              </w:rPr>
            </w:pPr>
            <w:r>
              <w:rPr>
                <w:rFonts w:ascii="Arial" w:cs="Arial" w:eastAsia="Arial" w:hAnsi="Arial"/>
                <w:sz w:val="16"/>
                <w:szCs w:val="16"/>
                <w:color w:val="auto"/>
              </w:rPr>
              <w:t>Date 12/31/2023</w:t>
            </w:r>
            <w:r>
              <w:rPr>
                <w:rFonts w:ascii="Arial" w:cs="Arial" w:eastAsia="Arial" w:hAnsi="Arial"/>
                <w:sz w:val="21"/>
                <w:szCs w:val="21"/>
                <w:color w:val="auto"/>
                <w:vertAlign w:val="superscript"/>
              </w:rPr>
              <w:t>(7)</w:t>
            </w:r>
          </w:p>
        </w:tc>
        <w:tc>
          <w:tcPr>
            <w:tcW w:w="74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0.00%</w:t>
            </w:r>
          </w:p>
        </w:tc>
        <w:tc>
          <w:tcPr>
            <w:tcW w:w="0" w:type="dxa"/>
            <w:vAlign w:val="bottom"/>
          </w:tcPr>
          <w:p>
            <w:pPr>
              <w:spacing w:after="0"/>
              <w:rPr>
                <w:sz w:val="1"/>
                <w:szCs w:val="1"/>
                <w:color w:val="auto"/>
              </w:rPr>
            </w:pPr>
          </w:p>
        </w:tc>
      </w:tr>
      <w:tr>
        <w:trPr>
          <w:trHeight w:val="220"/>
        </w:trPr>
        <w:tc>
          <w:tcPr>
            <w:tcW w:w="2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Derivative Security,</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Expiration Date</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140" w:type="dxa"/>
            <w:vAlign w:val="bottom"/>
            <w:shd w:val="clear" w:color="auto" w:fill="CCEEFF"/>
          </w:tcPr>
          <w:p>
            <w:pPr>
              <w:ind w:left="280"/>
              <w:spacing w:after="0" w:line="239" w:lineRule="exact"/>
              <w:rPr>
                <w:sz w:val="20"/>
                <w:szCs w:val="20"/>
                <w:color w:val="auto"/>
              </w:rPr>
            </w:pPr>
            <w:r>
              <w:rPr>
                <w:rFonts w:ascii="Arial" w:cs="Arial" w:eastAsia="Arial" w:hAnsi="Arial"/>
                <w:sz w:val="16"/>
                <w:szCs w:val="16"/>
                <w:color w:val="auto"/>
              </w:rPr>
              <w:t>8/23/2024</w:t>
            </w:r>
            <w:r>
              <w:rPr>
                <w:rFonts w:ascii="Arial" w:cs="Arial" w:eastAsia="Arial" w:hAnsi="Arial"/>
                <w:sz w:val="21"/>
                <w:szCs w:val="21"/>
                <w:color w:val="auto"/>
                <w:vertAlign w:val="superscript"/>
              </w:rPr>
              <w:t>(7)</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8,538,506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16,618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(4,674,503)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3,880,621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0"/>
        </w:trPr>
        <w:tc>
          <w:tcPr>
            <w:tcW w:w="2240" w:type="dxa"/>
            <w:vAlign w:val="bottom"/>
            <w:gridSpan w:val="2"/>
          </w:tcPr>
          <w:p>
            <w:pPr>
              <w:ind w:left="180"/>
              <w:spacing w:after="0"/>
              <w:rPr>
                <w:sz w:val="20"/>
                <w:szCs w:val="20"/>
                <w:color w:val="auto"/>
              </w:rPr>
            </w:pPr>
            <w:r>
              <w:rPr>
                <w:rFonts w:ascii="Arial" w:cs="Arial" w:eastAsia="Arial" w:hAnsi="Arial"/>
                <w:sz w:val="16"/>
                <w:szCs w:val="16"/>
                <w:i w:val="1"/>
                <w:iCs w:val="1"/>
                <w:color w:val="auto"/>
              </w:rPr>
              <w:t>Total Global Innovation</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40" w:type="dxa"/>
            <w:vAlign w:val="bottom"/>
            <w:gridSpan w:val="2"/>
          </w:tcPr>
          <w:p>
            <w:pPr>
              <w:ind w:left="180"/>
              <w:spacing w:after="0"/>
              <w:rPr>
                <w:sz w:val="20"/>
                <w:szCs w:val="20"/>
                <w:color w:val="auto"/>
              </w:rPr>
            </w:pPr>
            <w:r>
              <w:rPr>
                <w:rFonts w:ascii="Arial" w:cs="Arial" w:eastAsia="Arial" w:hAnsi="Arial"/>
                <w:sz w:val="16"/>
                <w:szCs w:val="16"/>
                <w:i w:val="1"/>
                <w:iCs w:val="1"/>
                <w:color w:val="auto"/>
              </w:rPr>
              <w:t>Platform</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247,500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8,538,506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16,618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2"/>
              </w:rPr>
              <w:t>(4,701,378)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4,101,246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Options</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267,446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8,538,506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16,618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(3,539,064)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5,283,506</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37"/>
        </w:trPr>
        <w:tc>
          <w:tcPr>
            <w:tcW w:w="2240" w:type="dxa"/>
            <w:vAlign w:val="bottom"/>
            <w:gridSpan w:val="2"/>
          </w:tcPr>
          <w:p>
            <w:pPr>
              <w:ind w:left="40"/>
              <w:spacing w:after="0"/>
              <w:rPr>
                <w:sz w:val="20"/>
                <w:szCs w:val="20"/>
                <w:color w:val="auto"/>
              </w:rPr>
            </w:pPr>
            <w:r>
              <w:rPr>
                <w:rFonts w:ascii="Arial" w:cs="Arial" w:eastAsia="Arial" w:hAnsi="Arial"/>
                <w:sz w:val="16"/>
                <w:szCs w:val="16"/>
                <w:b w:val="1"/>
                <w:bCs w:val="1"/>
                <w:color w:val="auto"/>
              </w:rPr>
              <w:t>Common Stock</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Online Education</w:t>
            </w: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Curious.com, Inc.–</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Common shares</w:t>
            </w:r>
          </w:p>
        </w:tc>
        <w:tc>
          <w:tcPr>
            <w:tcW w:w="740" w:type="dxa"/>
            <w:vAlign w:val="bottom"/>
          </w:tcPr>
          <w:p>
            <w:pPr>
              <w:jc w:val="center"/>
              <w:spacing w:after="0"/>
              <w:rPr>
                <w:sz w:val="20"/>
                <w:szCs w:val="20"/>
                <w:color w:val="auto"/>
              </w:rPr>
            </w:pPr>
            <w:r>
              <w:rPr>
                <w:rFonts w:ascii="Arial" w:cs="Arial" w:eastAsia="Arial" w:hAnsi="Arial"/>
                <w:sz w:val="16"/>
                <w:szCs w:val="16"/>
                <w:color w:val="auto"/>
                <w:w w:val="89"/>
              </w:rPr>
              <w:t>1,135,944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22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i w:val="1"/>
                <w:iCs w:val="1"/>
                <w:color w:val="auto"/>
              </w:rPr>
              <w:t>Cannabis REIT</w:t>
            </w: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240" w:type="dxa"/>
            <w:vAlign w:val="bottom"/>
            <w:gridSpan w:val="2"/>
          </w:tcPr>
          <w:p>
            <w:pPr>
              <w:ind w:left="320"/>
              <w:spacing w:after="0"/>
              <w:rPr>
                <w:sz w:val="20"/>
                <w:szCs w:val="20"/>
                <w:color w:val="auto"/>
              </w:rPr>
            </w:pPr>
            <w:r>
              <w:rPr>
                <w:rFonts w:ascii="Arial" w:cs="Arial" w:eastAsia="Arial" w:hAnsi="Arial"/>
                <w:sz w:val="16"/>
                <w:szCs w:val="16"/>
                <w:color w:val="auto"/>
                <w:w w:val="99"/>
              </w:rPr>
              <w:t>GreenAcreage Real Estate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40" w:type="dxa"/>
            <w:vAlign w:val="bottom"/>
            <w:gridSpan w:val="2"/>
          </w:tcPr>
          <w:p>
            <w:pPr>
              <w:ind w:left="280"/>
              <w:spacing w:after="0"/>
              <w:rPr>
                <w:sz w:val="20"/>
                <w:szCs w:val="20"/>
                <w:color w:val="auto"/>
              </w:rPr>
            </w:pPr>
            <w:r>
              <w:rPr>
                <w:rFonts w:ascii="Arial" w:cs="Arial" w:eastAsia="Arial" w:hAnsi="Arial"/>
                <w:sz w:val="16"/>
                <w:szCs w:val="16"/>
                <w:color w:val="auto"/>
              </w:rPr>
              <w:t>Corp. -Common shares</w:t>
            </w:r>
          </w:p>
        </w:tc>
        <w:tc>
          <w:tcPr>
            <w:tcW w:w="740" w:type="dxa"/>
            <w:vAlign w:val="bottom"/>
          </w:tcPr>
          <w:p>
            <w:pPr>
              <w:jc w:val="right"/>
              <w:spacing w:after="0"/>
              <w:rPr>
                <w:sz w:val="20"/>
                <w:szCs w:val="20"/>
                <w:color w:val="auto"/>
              </w:rPr>
            </w:pPr>
            <w:r>
              <w:rPr>
                <w:rFonts w:ascii="Arial" w:cs="Arial" w:eastAsia="Arial" w:hAnsi="Arial"/>
                <w:sz w:val="16"/>
                <w:szCs w:val="16"/>
                <w:color w:val="auto"/>
              </w:rPr>
              <w:t>375,000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7,501,530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7,500,000</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Common Stock</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7,501,530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9"/>
        </w:trPr>
        <w:tc>
          <w:tcPr>
            <w:tcW w:w="2140" w:type="dxa"/>
            <w:vAlign w:val="bottom"/>
            <w:tcBorders>
              <w:top w:val="single" w:sz="8" w:color="CCEEFF"/>
            </w:tcBorders>
          </w:tcPr>
          <w:p>
            <w:pPr>
              <w:ind w:left="40"/>
              <w:spacing w:after="0"/>
              <w:rPr>
                <w:sz w:val="20"/>
                <w:szCs w:val="20"/>
                <w:color w:val="auto"/>
              </w:rPr>
            </w:pPr>
            <w:r>
              <w:rPr>
                <w:rFonts w:ascii="Arial" w:cs="Arial" w:eastAsia="Arial" w:hAnsi="Arial"/>
                <w:sz w:val="16"/>
                <w:szCs w:val="16"/>
                <w:b w:val="1"/>
                <w:bCs w:val="1"/>
                <w:color w:val="auto"/>
              </w:rPr>
              <w:t>TOTAL NON-</w:t>
            </w:r>
          </w:p>
        </w:tc>
        <w:tc>
          <w:tcPr>
            <w:tcW w:w="10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240" w:type="dxa"/>
            <w:vAlign w:val="bottom"/>
            <w:gridSpan w:val="2"/>
          </w:tcPr>
          <w:p>
            <w:pPr>
              <w:ind w:left="40"/>
              <w:spacing w:after="0"/>
              <w:rPr>
                <w:sz w:val="20"/>
                <w:szCs w:val="20"/>
                <w:color w:val="auto"/>
              </w:rPr>
            </w:pPr>
            <w:r>
              <w:rPr>
                <w:rFonts w:ascii="Arial" w:cs="Arial" w:eastAsia="Arial" w:hAnsi="Arial"/>
                <w:sz w:val="16"/>
                <w:szCs w:val="16"/>
                <w:b w:val="1"/>
                <w:bCs w:val="1"/>
                <w:color w:val="auto"/>
              </w:rPr>
              <w:t>CONTROLLED/AFFILIATE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vMerge w:val="restart"/>
          </w:tcPr>
          <w:p>
            <w:pPr>
              <w:jc w:val="right"/>
              <w:ind w:right="22"/>
              <w:spacing w:after="0"/>
              <w:rPr>
                <w:sz w:val="20"/>
                <w:szCs w:val="20"/>
                <w:color w:val="auto"/>
              </w:rPr>
            </w:pPr>
            <w:r>
              <w:rPr>
                <w:rFonts w:ascii="Arial" w:cs="Arial" w:eastAsia="Arial" w:hAnsi="Arial"/>
                <w:sz w:val="16"/>
                <w:szCs w:val="16"/>
                <w:b w:val="1"/>
                <w:bCs w:val="1"/>
                <w:color w:val="auto"/>
              </w:rPr>
              <w:t>167,333</w:t>
            </w:r>
          </w:p>
        </w:tc>
        <w:tc>
          <w:tcPr>
            <w:tcW w:w="100" w:type="dxa"/>
            <w:vAlign w:val="bottom"/>
          </w:tcPr>
          <w:p>
            <w:pPr>
              <w:spacing w:after="0"/>
              <w:rPr>
                <w:sz w:val="17"/>
                <w:szCs w:val="17"/>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20,502,712</w:t>
            </w:r>
          </w:p>
        </w:tc>
        <w:tc>
          <w:tcPr>
            <w:tcW w:w="100" w:type="dxa"/>
            <w:vAlign w:val="bottom"/>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8,538,506</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8,170,181</w:t>
            </w:r>
          </w:p>
        </w:tc>
        <w:tc>
          <w:tcPr>
            <w:tcW w:w="1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0"/>
              </w:rPr>
              <w:t>(13,446,323)</w:t>
            </w:r>
          </w:p>
        </w:tc>
        <w:tc>
          <w:tcPr>
            <w:tcW w:w="100" w:type="dxa"/>
            <w:vAlign w:val="bottom"/>
          </w:tcPr>
          <w:p>
            <w:pPr>
              <w:spacing w:after="0"/>
              <w:rPr>
                <w:sz w:val="17"/>
                <w:szCs w:val="17"/>
                <w:color w:val="auto"/>
              </w:rPr>
            </w:pPr>
          </w:p>
        </w:tc>
        <w:tc>
          <w:tcPr>
            <w:tcW w:w="120" w:type="dxa"/>
            <w:vAlign w:val="bottom"/>
            <w:vMerge w:val="restart"/>
          </w:tcPr>
          <w:p>
            <w:pPr>
              <w:ind w:left="4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w w:val="87"/>
              </w:rPr>
              <w:t>14,179,192</w:t>
            </w:r>
          </w:p>
        </w:tc>
        <w:tc>
          <w:tcPr>
            <w:tcW w:w="120" w:type="dxa"/>
            <w:vAlign w:val="bottom"/>
          </w:tcPr>
          <w:p>
            <w:pPr>
              <w:spacing w:after="0"/>
              <w:rPr>
                <w:sz w:val="17"/>
                <w:szCs w:val="17"/>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b w:val="1"/>
                <w:bCs w:val="1"/>
                <w:color w:val="auto"/>
                <w:w w:val="71"/>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37,944,268</w:t>
            </w:r>
          </w:p>
        </w:tc>
        <w:tc>
          <w:tcPr>
            <w:tcW w:w="1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18.98%</w:t>
            </w:r>
          </w:p>
        </w:tc>
        <w:tc>
          <w:tcPr>
            <w:tcW w:w="0" w:type="dxa"/>
            <w:vAlign w:val="bottom"/>
          </w:tcPr>
          <w:p>
            <w:pPr>
              <w:spacing w:after="0"/>
              <w:rPr>
                <w:sz w:val="1"/>
                <w:szCs w:val="1"/>
                <w:color w:val="auto"/>
              </w:rPr>
            </w:pPr>
          </w:p>
        </w:tc>
      </w:tr>
      <w:tr>
        <w:trPr>
          <w:trHeight w:val="270"/>
        </w:trPr>
        <w:tc>
          <w:tcPr>
            <w:tcW w:w="2140" w:type="dxa"/>
            <w:vAlign w:val="bottom"/>
            <w:tcBorders>
              <w:bottom w:val="single" w:sz="8" w:color="CCEEFF"/>
            </w:tcBorders>
          </w:tcPr>
          <w:p>
            <w:pPr>
              <w:ind w:left="40"/>
              <w:spacing w:after="0" w:line="230"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100" w:type="dxa"/>
            <w:vAlign w:val="bottom"/>
          </w:tcPr>
          <w:p>
            <w:pPr>
              <w:spacing w:after="0"/>
              <w:rPr>
                <w:sz w:val="23"/>
                <w:szCs w:val="23"/>
                <w:color w:val="auto"/>
              </w:rPr>
            </w:pPr>
          </w:p>
        </w:tc>
        <w:tc>
          <w:tcPr>
            <w:tcW w:w="740" w:type="dxa"/>
            <w:vAlign w:val="bottom"/>
            <w:tcBorders>
              <w:bottom w:val="single" w:sz="8" w:color="CCEEFF"/>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78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vMerge w:val="continue"/>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86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90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vMerge w:val="continue"/>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bottom w:val="single" w:sz="8" w:color="auto"/>
            </w:tcBorders>
            <w:vMerge w:val="continue"/>
          </w:tcPr>
          <w:p>
            <w:pPr>
              <w:spacing w:after="0"/>
              <w:rPr>
                <w:sz w:val="23"/>
                <w:szCs w:val="23"/>
                <w:color w:val="auto"/>
              </w:rPr>
            </w:pPr>
          </w:p>
        </w:tc>
        <w:tc>
          <w:tcPr>
            <w:tcW w:w="82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13544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5445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-5339715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45" w:lineRule="exact"/>
        <w:rPr>
          <w:sz w:val="20"/>
          <w:szCs w:val="20"/>
          <w:color w:val="auto"/>
        </w:rPr>
      </w:pPr>
    </w:p>
    <w:p>
      <w:pPr>
        <w:jc w:val="both"/>
        <w:ind w:left="340" w:hanging="332"/>
        <w:spacing w:after="0" w:line="301"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5"/>
          <w:szCs w:val="15"/>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Credit Facility.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144" w:lineRule="exact"/>
        <w:rPr>
          <w:sz w:val="20"/>
          <w:szCs w:val="20"/>
          <w:color w:val="auto"/>
        </w:rPr>
      </w:pPr>
    </w:p>
    <w:p>
      <w:pPr>
        <w:ind w:left="340" w:right="20" w:hanging="332"/>
        <w:spacing w:after="0" w:line="275" w:lineRule="auto"/>
        <w:tabs>
          <w:tab w:leader="none" w:pos="218"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Indicates assets that Sutter Rock Capital Corp believes do not represent “qualifying assets” under Section 55(a) of the Investment Company Act of 1940, as amended (the “1940 Act”). Of the Company’s total investments as of December 31, 2019, 0.00% of its total investments are non-qualifying assets.</w:t>
      </w:r>
    </w:p>
    <w:p>
      <w:pPr>
        <w:spacing w:after="0" w:line="14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194" w:lineRule="exact"/>
        <w:rPr>
          <w:sz w:val="20"/>
          <w:szCs w:val="20"/>
          <w:color w:val="auto"/>
        </w:rPr>
      </w:pPr>
    </w:p>
    <w:p>
      <w:pPr>
        <w:jc w:val="both"/>
        <w:ind w:left="500" w:hanging="492"/>
        <w:spacing w:after="0" w:line="261"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Sutter Rock Capital Corp., as defined in the 1940 Act. In general, a company is deemed to be an “Affiliate” of Sutter Rock Capital Corp. if Sutter Rock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w:t>
      </w:r>
    </w:p>
    <w:p>
      <w:pPr>
        <w:spacing w:after="0" w:line="155" w:lineRule="exact"/>
        <w:rPr>
          <w:rFonts w:ascii="Arial" w:cs="Arial" w:eastAsia="Arial" w:hAnsi="Arial"/>
          <w:sz w:val="16"/>
          <w:szCs w:val="16"/>
          <w:color w:val="auto"/>
        </w:rPr>
      </w:pPr>
    </w:p>
    <w:p>
      <w:pPr>
        <w:jc w:val="both"/>
        <w:ind w:left="500" w:hanging="492"/>
        <w:spacing w:after="0" w:line="286" w:lineRule="auto"/>
        <w:tabs>
          <w:tab w:leader="none" w:pos="5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“Control Investments” are investments in those companies that are “Controlled Companies” of Sutter Rock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139" w:lineRule="exact"/>
        <w:rPr>
          <w:rFonts w:ascii="Arial" w:cs="Arial" w:eastAsia="Arial" w:hAnsi="Arial"/>
          <w:sz w:val="15"/>
          <w:szCs w:val="15"/>
          <w:color w:val="auto"/>
        </w:rPr>
      </w:pPr>
    </w:p>
    <w:p>
      <w:pPr>
        <w:ind w:left="500" w:hanging="492"/>
        <w:spacing w:after="0" w:line="275"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During the year ended December 31, 2019, SPBRX, INC. (f/k/a GSV Sustainability Partners, Inc.) declared, and Sutter Rock Capital Corp. received, an aggregate of $400,000 in dividend distributions.</w:t>
      </w:r>
    </w:p>
    <w:p>
      <w:pPr>
        <w:spacing w:after="0" w:line="145" w:lineRule="exact"/>
        <w:rPr>
          <w:rFonts w:ascii="Arial" w:cs="Arial" w:eastAsia="Arial" w:hAnsi="Arial"/>
          <w:sz w:val="16"/>
          <w:szCs w:val="16"/>
          <w:color w:val="auto"/>
        </w:rPr>
      </w:pPr>
    </w:p>
    <w:p>
      <w:pPr>
        <w:ind w:left="500" w:hanging="492"/>
        <w:spacing w:after="0"/>
        <w:tabs>
          <w:tab w:leader="none" w:pos="5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Sutter Rock Capital Corp.’s investments in StormWind, LLC are held through Sutter Rock Capital Corp.'s wholly owned subsidiary, GSVC SW Holdings, Inc.</w:t>
      </w:r>
    </w:p>
    <w:p>
      <w:pPr>
        <w:spacing w:after="0" w:line="205" w:lineRule="exact"/>
        <w:rPr>
          <w:rFonts w:ascii="Arial" w:cs="Arial" w:eastAsia="Arial" w:hAnsi="Arial"/>
          <w:sz w:val="15"/>
          <w:szCs w:val="15"/>
          <w:color w:val="auto"/>
        </w:rPr>
      </w:pPr>
    </w:p>
    <w:p>
      <w:pPr>
        <w:jc w:val="both"/>
        <w:ind w:left="500" w:hanging="492"/>
        <w:spacing w:after="0" w:line="261"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October 24, 2019, CUX, Inc. (d/b/a CorpU) completed a recapitalization, which amended Sutter Rock Capital Corp.'s investment in the Senior Subordinated Convertible Promissory Note. As a result of the recapitalization, the principal amount of Sutter Rock Capital Corp.'s Senior Subordinated Convertible Promissory Note was reduced by $109,331, the interest rate was reduced to 4%, and the maturity was extended to February 14, 2023.</w:t>
      </w:r>
    </w:p>
    <w:p>
      <w:pPr>
        <w:spacing w:after="0" w:line="155" w:lineRule="exact"/>
        <w:rPr>
          <w:rFonts w:ascii="Arial" w:cs="Arial" w:eastAsia="Arial" w:hAnsi="Arial"/>
          <w:sz w:val="16"/>
          <w:szCs w:val="16"/>
          <w:color w:val="auto"/>
        </w:rPr>
      </w:pPr>
    </w:p>
    <w:p>
      <w:pPr>
        <w:ind w:left="500" w:right="20" w:hanging="492"/>
        <w:spacing w:after="0" w:line="275"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September 11, 2019, Sutter Rock Capital Corp. agreed to convert its 5% Convertible Promissory Note due 12/31/2018 to Ozy Media, Inc. and all related accrued interest, into 683,482 shares of Ozy Media, Inc.'s Series C-2 preferred shares.</w:t>
      </w:r>
    </w:p>
    <w:p>
      <w:pPr>
        <w:spacing w:after="0" w:line="145" w:lineRule="exact"/>
        <w:rPr>
          <w:rFonts w:ascii="Arial" w:cs="Arial" w:eastAsia="Arial" w:hAnsi="Arial"/>
          <w:sz w:val="16"/>
          <w:szCs w:val="16"/>
          <w:color w:val="auto"/>
        </w:rPr>
      </w:pPr>
    </w:p>
    <w:p>
      <w:pPr>
        <w:jc w:val="both"/>
        <w:ind w:left="500" w:hanging="492"/>
        <w:spacing w:after="0" w:line="293"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On August 23, 2019, Sutter Rock Capital Corp. amended the structure of its investment in NestGSV, Inc. (d/b/a GSV Labs, Inc.). As part of the agreement, Sutter Rock’s equity holdings (warrants notwithstanding) were restructured into a derivative security. NestGSV, Inc. (d/b/a GSV Labs,Inc.) has the right to call the position at any time over a five year period, while Sutter Rock Capital Corp. can put the shares to NestGSV, Inc. (d/b/a GSV Labs, Inc.) at the end of the five year period. As part of the agreement, previously accrued interest under Sutter Rock Capital Corp.’s 12% Convertible Promissory Note due 12/31/2019 will be capitalized into the principal of the extended note, and the interest on the note is reduced from 12% to 8%. The Convertible Promissory Note’s maturity was extended to August 23, 2024. Under the amended structure, Sutter Rock Capital Corp.’s fully diluted ownership of voting securities decreased from 50.0% to 8.5%. As such, Sutter Rock Capital Corp.'s investments in NestGSV, Inc. (d/b/a GSV Labs, Inc.) have been recategorized from controlled investments to non-controlled/affiliated investments.</w:t>
      </w:r>
    </w:p>
    <w:p>
      <w:pPr>
        <w:spacing w:after="0" w:line="136" w:lineRule="exact"/>
        <w:rPr>
          <w:rFonts w:ascii="Arial" w:cs="Arial" w:eastAsia="Arial" w:hAnsi="Arial"/>
          <w:sz w:val="14"/>
          <w:szCs w:val="14"/>
          <w:color w:val="auto"/>
        </w:rPr>
      </w:pPr>
    </w:p>
    <w:p>
      <w:pPr>
        <w:jc w:val="both"/>
        <w:ind w:left="500" w:hanging="492"/>
        <w:spacing w:after="0" w:line="261"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 November 26, 2019, Sutter Rock Capital Corp. invested $250,000 in StormWind, LLC's Series D financing round. As part of the round, Sutter Rock Capital Corp.'s fully diluted ownership of voting securities decreased from 25.6% to 23.4%. As such, Sutter Rock Capital Corp.'s investments in StormWind, LLC have been recategorized from controlled investments to non-controlled/affiliated investments.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5—SHARE REPURCHASE PROGRAM, EQUITY OFFERINGS AND RELATED EXPENSES</w:t>
      </w:r>
    </w:p>
    <w:p>
      <w:pPr>
        <w:spacing w:after="0" w:line="229" w:lineRule="exact"/>
        <w:rPr>
          <w:sz w:val="20"/>
          <w:szCs w:val="20"/>
          <w:color w:val="auto"/>
        </w:rPr>
      </w:pPr>
    </w:p>
    <w:p>
      <w:pPr>
        <w:jc w:val="both"/>
        <w:ind w:firstLine="351"/>
        <w:spacing w:after="0" w:line="269" w:lineRule="auto"/>
        <w:rPr>
          <w:sz w:val="20"/>
          <w:szCs w:val="20"/>
          <w:color w:val="auto"/>
        </w:rPr>
      </w:pPr>
      <w:r>
        <w:rPr>
          <w:rFonts w:ascii="Arial" w:cs="Arial" w:eastAsia="Arial" w:hAnsi="Arial"/>
          <w:sz w:val="17"/>
          <w:szCs w:val="17"/>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w:t>
      </w:r>
    </w:p>
    <w:p>
      <w:pPr>
        <w:spacing w:after="0" w:line="179"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8"/>
          <w:szCs w:val="18"/>
          <w:color w:val="auto"/>
        </w:rPr>
        <w:t>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w:t>
      </w:r>
    </w:p>
    <w:p>
      <w:pPr>
        <w:spacing w:after="0" w:line="184"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188" w:lineRule="exact"/>
        <w:rPr>
          <w:sz w:val="20"/>
          <w:szCs w:val="20"/>
          <w:color w:val="auto"/>
        </w:rPr>
      </w:pPr>
    </w:p>
    <w:p>
      <w:pPr>
        <w:jc w:val="both"/>
        <w:ind w:right="20" w:firstLine="351"/>
        <w:spacing w:after="0" w:line="342" w:lineRule="auto"/>
        <w:rPr>
          <w:sz w:val="20"/>
          <w:szCs w:val="20"/>
          <w:color w:val="auto"/>
        </w:rPr>
      </w:pPr>
      <w:r>
        <w:rPr>
          <w:rFonts w:ascii="Arial" w:cs="Arial" w:eastAsia="Arial" w:hAnsi="Arial"/>
          <w:sz w:val="16"/>
          <w:szCs w:val="16"/>
          <w:color w:val="auto"/>
        </w:rPr>
        <w:t>During the three months ended March 31, 2020, the Company repurchased 689,928 shares of the Company’s common stock. As of March 31, 2020, the dollar value of shares that remained available to be purchased by the Company under the Share Repurchase Program was approximately $6.3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Modified Dutch Auction Tender Offer</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October 21, 2019, the Company commenced a modified “Dutch Auction” tender offer (the “Modified Dutch Auction Tender Offer”) to purchase for cash up to $10.0 million in shares of its common stock from its stockholders at a price per share of not less than $6.00 and not greater than $8.00 in $0.10 increments, using available cash. Upon expiration of the Modified Dutch Auction Tender Offer on November 20, 2019, the Company repurchased 1,449,275 shares, representing 7.6% of its outstanding shares, at a price of $6.90 per share on a pro rata basis, excluding fees and expenses relating to the self-tender offer. The Company has determined that the proration factor for the tender offer was 78.1%.</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new shares of the Company’s common stock were issued during the three months ended March 31,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6—NET CHANGE IN NET ASSETS RESULTING FROM OPERATIONS PER COMMON SHARE—BASIC AND DILUTED</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 per common share, pursuant to ASC 260, for the three months ended March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44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w w:val="89"/>
              </w:rPr>
              <w:t>Earnings per common share–basic:</w:t>
            </w:r>
          </w:p>
        </w:tc>
        <w:tc>
          <w:tcPr>
            <w:tcW w:w="14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62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ind w:right="6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24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1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0" w:type="dxa"/>
            <w:vAlign w:val="bottom"/>
            <w:tcBorders>
              <w:bottom w:val="single" w:sz="8" w:color="CCEEFF"/>
            </w:tcBorders>
            <w:shd w:val="clear" w:color="auto" w:fill="CCEEFF"/>
          </w:tcPr>
          <w:p>
            <w:pPr>
              <w:spacing w:after="0"/>
              <w:rPr>
                <w:sz w:val="20"/>
                <w:szCs w:val="20"/>
                <w:color w:val="auto"/>
              </w:rPr>
            </w:pPr>
          </w:p>
        </w:tc>
        <w:tc>
          <w:tcPr>
            <w:tcW w:w="7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change in net assets resulting from operations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(23,692,247)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17,159,613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740" w:type="dxa"/>
            <w:vAlign w:val="bottom"/>
            <w:gridSpan w:val="3"/>
          </w:tcPr>
          <w:p>
            <w:pPr>
              <w:spacing w:after="0"/>
              <w:rPr>
                <w:sz w:val="20"/>
                <w:szCs w:val="20"/>
                <w:color w:val="auto"/>
              </w:rPr>
            </w:pPr>
            <w:r>
              <w:rPr>
                <w:rFonts w:ascii="Arial" w:cs="Arial" w:eastAsia="Arial" w:hAnsi="Arial"/>
                <w:sz w:val="16"/>
                <w:szCs w:val="16"/>
                <w:color w:val="auto"/>
              </w:rPr>
              <w:t>Weighted-average common shares–basic</w:t>
            </w:r>
          </w:p>
        </w:tc>
        <w:tc>
          <w:tcPr>
            <w:tcW w:w="40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17,440,994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19,762,647</w:t>
            </w: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Earnings per common share–basic</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0.87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7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Earnings per common share–diluted:</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0" w:type="dxa"/>
            <w:vAlign w:val="bottom"/>
          </w:tcPr>
          <w:p>
            <w:pPr>
              <w:spacing w:after="0"/>
              <w:rPr>
                <w:sz w:val="16"/>
                <w:szCs w:val="16"/>
                <w:color w:val="auto"/>
              </w:rPr>
            </w:pPr>
          </w:p>
        </w:tc>
        <w:tc>
          <w:tcPr>
            <w:tcW w:w="774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4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change in net assets resulting from operations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(23,692,247)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17,159,613</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740" w:type="dxa"/>
            <w:vAlign w:val="bottom"/>
            <w:gridSpan w:val="3"/>
          </w:tcPr>
          <w:p>
            <w:pPr>
              <w:ind w:left="140"/>
              <w:spacing w:after="0"/>
              <w:rPr>
                <w:sz w:val="20"/>
                <w:szCs w:val="20"/>
                <w:color w:val="auto"/>
              </w:rPr>
            </w:pPr>
            <w:r>
              <w:rPr>
                <w:rFonts w:ascii="Arial" w:cs="Arial" w:eastAsia="Arial" w:hAnsi="Arial"/>
                <w:sz w:val="16"/>
                <w:szCs w:val="16"/>
                <w:color w:val="auto"/>
              </w:rPr>
              <w:t>Adjustment for interest and amortization on 4.75% Convertible Senior Notes due 2023</w:t>
            </w:r>
            <w:r>
              <w:rPr>
                <w:rFonts w:ascii="Arial" w:cs="Arial" w:eastAsia="Arial" w:hAnsi="Arial"/>
                <w:sz w:val="21"/>
                <w:szCs w:val="21"/>
                <w:color w:val="auto"/>
                <w:vertAlign w:val="superscript"/>
              </w:rPr>
              <w:t>(1)</w:t>
            </w:r>
          </w:p>
        </w:tc>
        <w:tc>
          <w:tcPr>
            <w:tcW w:w="40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3"/>
                <w:szCs w:val="23"/>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566,017</w:t>
            </w:r>
          </w:p>
        </w:tc>
        <w:tc>
          <w:tcPr>
            <w:tcW w:w="0" w:type="dxa"/>
            <w:vAlign w:val="bottom"/>
          </w:tcPr>
          <w:p>
            <w:pPr>
              <w:spacing w:after="0"/>
              <w:rPr>
                <w:sz w:val="1"/>
                <w:szCs w:val="1"/>
                <w:color w:val="auto"/>
              </w:rPr>
            </w:pPr>
          </w:p>
        </w:tc>
      </w:tr>
      <w:tr>
        <w:trPr>
          <w:trHeight w:val="243"/>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change in net assets resulting from operations, as adjusted</w:t>
            </w:r>
          </w:p>
        </w:tc>
        <w:tc>
          <w:tcPr>
            <w:tcW w:w="400" w:type="dxa"/>
            <w:vAlign w:val="bottom"/>
            <w:tcBorders>
              <w:top w:val="single" w:sz="8" w:color="auto"/>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(23,692,247)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17,725,630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7740" w:type="dxa"/>
            <w:vAlign w:val="bottom"/>
            <w:gridSpan w:val="3"/>
          </w:tcPr>
          <w:p>
            <w:pPr>
              <w:ind w:left="140"/>
              <w:spacing w:after="0"/>
              <w:rPr>
                <w:sz w:val="20"/>
                <w:szCs w:val="20"/>
                <w:color w:val="auto"/>
              </w:rPr>
            </w:pPr>
            <w:r>
              <w:rPr>
                <w:rFonts w:ascii="Arial" w:cs="Arial" w:eastAsia="Arial" w:hAnsi="Arial"/>
                <w:sz w:val="16"/>
                <w:szCs w:val="16"/>
                <w:color w:val="auto"/>
              </w:rPr>
              <w:t>Adjustment for dilutive effect of 4.75% Convertible Senior Notes due 2023</w:t>
            </w:r>
            <w:r>
              <w:rPr>
                <w:rFonts w:ascii="Arial" w:cs="Arial" w:eastAsia="Arial" w:hAnsi="Arial"/>
                <w:sz w:val="21"/>
                <w:szCs w:val="21"/>
                <w:color w:val="auto"/>
                <w:vertAlign w:val="superscript"/>
              </w:rPr>
              <w:t>(1)</w:t>
            </w:r>
          </w:p>
        </w:tc>
        <w:tc>
          <w:tcPr>
            <w:tcW w:w="40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3,731,344</w:t>
            </w:r>
          </w:p>
        </w:tc>
        <w:tc>
          <w:tcPr>
            <w:tcW w:w="0" w:type="dxa"/>
            <w:vAlign w:val="bottom"/>
          </w:tcPr>
          <w:p>
            <w:pPr>
              <w:spacing w:after="0"/>
              <w:rPr>
                <w:sz w:val="1"/>
                <w:szCs w:val="1"/>
                <w:color w:val="auto"/>
              </w:rPr>
            </w:pP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7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Weighted-average common shares outstanding–diluted</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17,440,994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23,493,991</w:t>
            </w: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7740" w:type="dxa"/>
            <w:vAlign w:val="bottom"/>
            <w:tcBorders>
              <w:top w:val="single" w:sz="8" w:color="CCEEFF"/>
            </w:tcBorders>
            <w:gridSpan w:val="3"/>
          </w:tcPr>
          <w:p>
            <w:pPr>
              <w:spacing w:after="0"/>
              <w:rPr>
                <w:sz w:val="20"/>
                <w:szCs w:val="20"/>
                <w:color w:val="auto"/>
              </w:rPr>
            </w:pPr>
            <w:r>
              <w:rPr>
                <w:rFonts w:ascii="Arial" w:cs="Arial" w:eastAsia="Arial" w:hAnsi="Arial"/>
                <w:sz w:val="16"/>
                <w:szCs w:val="16"/>
                <w:b w:val="1"/>
                <w:bCs w:val="1"/>
                <w:color w:val="auto"/>
              </w:rPr>
              <w:t>Earnings per common share–diluted</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jc w:val="right"/>
              <w:ind w:right="419"/>
              <w:spacing w:after="0"/>
              <w:rPr>
                <w:sz w:val="20"/>
                <w:szCs w:val="20"/>
                <w:color w:val="auto"/>
              </w:rPr>
            </w:pPr>
            <w:r>
              <w:rPr>
                <w:rFonts w:ascii="Arial" w:cs="Arial" w:eastAsia="Arial" w:hAnsi="Arial"/>
                <w:sz w:val="18"/>
                <w:szCs w:val="18"/>
                <w:color w:val="auto"/>
                <w:w w:val="88"/>
              </w:rPr>
              <w:t>______________________</w:t>
            </w:r>
          </w:p>
        </w:tc>
        <w:tc>
          <w:tcPr>
            <w:tcW w:w="140" w:type="dxa"/>
            <w:vAlign w:val="bottom"/>
            <w:vMerge w:val="restart"/>
          </w:tcPr>
          <w:p>
            <w:pPr>
              <w:spacing w:after="0" w:line="20" w:lineRule="exact"/>
              <w:rPr>
                <w:sz w:val="1"/>
                <w:szCs w:val="1"/>
                <w:color w:val="auto"/>
              </w:rPr>
            </w:pPr>
          </w:p>
        </w:tc>
        <w:tc>
          <w:tcPr>
            <w:tcW w:w="516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8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51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60" w:hanging="674"/>
        <w:spacing w:after="0" w:line="238" w:lineRule="auto"/>
        <w:rPr>
          <w:sz w:val="20"/>
          <w:szCs w:val="20"/>
          <w:color w:val="auto"/>
        </w:rPr>
      </w:pPr>
      <w:r>
        <w:rPr>
          <w:rFonts w:ascii="Arial" w:cs="Arial" w:eastAsia="Arial" w:hAnsi="Arial"/>
          <w:sz w:val="16"/>
          <w:szCs w:val="16"/>
          <w:color w:val="auto"/>
        </w:rPr>
        <w:t>(1)</w:t>
      </w:r>
      <w:r>
        <w:rPr>
          <w:rFonts w:ascii="Arial" w:cs="Arial" w:eastAsia="Arial" w:hAnsi="Arial"/>
          <w:sz w:val="14"/>
          <w:szCs w:val="14"/>
          <w:color w:val="auto"/>
        </w:rPr>
        <w:t>For the three months ended March 31, 2020 and 2019, 3,917,792 and 0 potentially dilutive common shares, respectively, were excluded from the weighted-average common shares</w:t>
      </w:r>
      <w:r>
        <w:rPr>
          <w:rFonts w:ascii="Arial" w:cs="Arial" w:eastAsia="Arial" w:hAnsi="Arial"/>
          <w:sz w:val="16"/>
          <w:szCs w:val="16"/>
          <w:color w:val="auto"/>
        </w:rPr>
        <w:t xml:space="preserve"> </w:t>
      </w:r>
      <w:r>
        <w:rPr>
          <w:rFonts w:ascii="Arial" w:cs="Arial" w:eastAsia="Arial" w:hAnsi="Arial"/>
          <w:sz w:val="14"/>
          <w:szCs w:val="14"/>
          <w:color w:val="auto"/>
        </w:rPr>
        <w:t>outstanding for diluted net increase in net assets resulting from operations per common share because the effect of these shares would have been anti-dilutive.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7—COMMITMENTS AND CONTINGENCIES</w:t>
      </w:r>
    </w:p>
    <w:p>
      <w:pPr>
        <w:spacing w:after="0" w:line="229"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 As of March 31, 2020 and December 31, 2019, the Company had not entered into any investment agreements that required it to make a future investments in a portfolio company.</w:t>
      </w:r>
    </w:p>
    <w:p>
      <w:pPr>
        <w:spacing w:after="0" w:line="184"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Except as described below, the Company is not currently a party to any material legal proceedings.</w:t>
      </w:r>
    </w:p>
    <w:p>
      <w:pPr>
        <w:spacing w:after="0" w:line="187"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On March 12, 2020, a complaint was filed in the United States District Court in the Northern District of California, by Sutter Hill Ventures, captioned, Sutter Hill Ventures, a California limited partnership (Plaintiff) v. Sutter Rock Capital Corp, a Maryland corporation (Defendant). The complaint alleges that the Defendant infringed on the Plaintiff’s federally-registered service mark SUTTER HILL VENTURES; engaged in unfair competition and false designation of origin under Section 43(a) of the Latham Act; and related claims of unfair competition and trademark infringement under California common law. The Plaintiff is seeking an injunction on Defendant from using the SUTTER ROCK and SUTTER ROCK CAPITAL marks and trade names, or any other mark or name that it views as similar to SUTTER HILL and SUTTER HILL VENTURES; an unspecified amount of damages and disgorgement of Defendant’s profits; a determination that the alleged infringement was willful, intentional and deliberate, warranting an award to Plaintiff of three times Defendant’s profits and three times Plaintiff’s damages; an award of Plaintiff’s attorney’s fees and cost; and an award of prejudgment and post judgment interest.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&amp; Related Deposits</w:t>
      </w:r>
    </w:p>
    <w:p>
      <w:pPr>
        <w:spacing w:after="0" w:line="225"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8"/>
          <w:szCs w:val="18"/>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184"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As of March 31, 2020, the Company has booked a right of use asset and operating lease liability of $749,898 and $749,898, respectively, on the Condensed Consolidated Statement of Assets and Liabilities. As of March 31, 2020 and December 31, 2019, the Company recorded a security deposit of $16,574 and $16,574, respectively, on the Condensed Consolidated Statement of Assets and Liabilities. For the three months ended March 31, 2020, and 2019, the Company incurred $44,401 and $0 of operating lease expense, respectively. The amounts reflected on the Condensed Consolidated Statement of Assets and Liabilities have been discounted using the rate implicit in the lease. As of March 31, 2020, the remaining lease term was 4.3 years and the discount rate was 3.00%.</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future minimum payments under the Company's operating lease as of March 31, 2020:</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For the Years Ended December 31,</w:t>
            </w:r>
          </w:p>
        </w:tc>
        <w:tc>
          <w:tcPr>
            <w:tcW w:w="36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tcPr>
          <w:p>
            <w:pPr>
              <w:jc w:val="right"/>
              <w:ind w:right="15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9"/>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540" w:type="dxa"/>
            <w:vAlign w:val="bottom"/>
            <w:tcBorders>
              <w:bottom w:val="single" w:sz="8" w:color="CCEEFF"/>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2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131,673</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2021</w:t>
            </w:r>
          </w:p>
        </w:tc>
        <w:tc>
          <w:tcPr>
            <w:tcW w:w="3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40" w:type="dxa"/>
            <w:vAlign w:val="bottom"/>
          </w:tcPr>
          <w:p>
            <w:pPr>
              <w:jc w:val="right"/>
              <w:ind w:right="13"/>
              <w:spacing w:after="0"/>
              <w:rPr>
                <w:sz w:val="20"/>
                <w:szCs w:val="20"/>
                <w:color w:val="auto"/>
              </w:rPr>
            </w:pPr>
            <w:r>
              <w:rPr>
                <w:rFonts w:ascii="Arial" w:cs="Arial" w:eastAsia="Arial" w:hAnsi="Arial"/>
                <w:sz w:val="18"/>
                <w:szCs w:val="18"/>
                <w:color w:val="auto"/>
              </w:rPr>
              <w:t>179,800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6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185,194</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2023</w:t>
            </w:r>
          </w:p>
        </w:tc>
        <w:tc>
          <w:tcPr>
            <w:tcW w:w="36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40" w:type="dxa"/>
            <w:vAlign w:val="bottom"/>
          </w:tcPr>
          <w:p>
            <w:pPr>
              <w:jc w:val="right"/>
              <w:ind w:right="13"/>
              <w:spacing w:after="0"/>
              <w:rPr>
                <w:sz w:val="20"/>
                <w:szCs w:val="20"/>
                <w:color w:val="auto"/>
              </w:rPr>
            </w:pPr>
            <w:r>
              <w:rPr>
                <w:rFonts w:ascii="Arial" w:cs="Arial" w:eastAsia="Arial" w:hAnsi="Arial"/>
                <w:sz w:val="18"/>
                <w:szCs w:val="18"/>
                <w:color w:val="auto"/>
              </w:rPr>
              <w:t>190,750</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6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2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113,604</w:t>
            </w:r>
          </w:p>
        </w:tc>
        <w:tc>
          <w:tcPr>
            <w:tcW w:w="0" w:type="dxa"/>
            <w:vAlign w:val="bottom"/>
          </w:tcPr>
          <w:p>
            <w:pPr>
              <w:spacing w:after="0"/>
              <w:rPr>
                <w:sz w:val="1"/>
                <w:szCs w:val="1"/>
                <w:color w:val="auto"/>
              </w:rPr>
            </w:pPr>
          </w:p>
        </w:tc>
      </w:tr>
      <w:tr>
        <w:trPr>
          <w:trHeight w:val="237"/>
        </w:trPr>
        <w:tc>
          <w:tcPr>
            <w:tcW w:w="386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2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801,021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680" w:type="dxa"/>
            <w:vAlign w:val="bottom"/>
            <w:vMerge w:val="restart"/>
          </w:tcPr>
          <w:p>
            <w:pPr>
              <w:jc w:val="right"/>
              <w:ind w:right="1730"/>
              <w:spacing w:after="0"/>
              <w:rPr>
                <w:sz w:val="20"/>
                <w:szCs w:val="20"/>
                <w:color w:val="auto"/>
              </w:rPr>
            </w:pPr>
            <w:r>
              <w:rPr>
                <w:rFonts w:ascii="Arial" w:cs="Arial" w:eastAsia="Arial" w:hAnsi="Arial"/>
                <w:sz w:val="18"/>
                <w:szCs w:val="18"/>
                <w:color w:val="auto"/>
              </w:rPr>
              <w:t>46</w:t>
            </w:r>
          </w:p>
        </w:tc>
        <w:tc>
          <w:tcPr>
            <w:tcW w:w="86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2"/>
        </w:trPr>
        <w:tc>
          <w:tcPr>
            <w:tcW w:w="386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-1465580</wp:posOffset>
            </wp:positionV>
            <wp:extent cx="47834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8—FINANCIAL HIGHLIGHTS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4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2019</w:t>
            </w:r>
          </w:p>
        </w:tc>
      </w:tr>
      <w:tr>
        <w:trPr>
          <w:trHeight w:val="256"/>
        </w:trPr>
        <w:tc>
          <w:tcPr>
            <w:tcW w:w="7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Per Basic Share Data</w:t>
            </w:r>
          </w:p>
        </w:tc>
        <w:tc>
          <w:tcPr>
            <w:tcW w:w="34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(Unaudited)</w:t>
            </w:r>
          </w:p>
        </w:tc>
        <w:tc>
          <w:tcPr>
            <w:tcW w:w="34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460"/>
              <w:spacing w:after="0"/>
              <w:rPr>
                <w:sz w:val="20"/>
                <w:szCs w:val="20"/>
                <w:color w:val="auto"/>
              </w:rPr>
            </w:pPr>
            <w:r>
              <w:rPr>
                <w:rFonts w:ascii="Arial" w:cs="Arial" w:eastAsia="Arial" w:hAnsi="Arial"/>
                <w:sz w:val="14"/>
                <w:szCs w:val="14"/>
                <w:b w:val="1"/>
                <w:bCs w:val="1"/>
                <w:color w:val="auto"/>
              </w:rPr>
              <w:t>(Unaudited)</w:t>
            </w: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Net asset value at beginning of the year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11.38</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9.89</w:t>
            </w:r>
          </w:p>
        </w:tc>
      </w:tr>
      <w:tr>
        <w:trPr>
          <w:trHeight w:val="33"/>
        </w:trPr>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investment income/(loss)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0.03</w:t>
            </w:r>
          </w:p>
        </w:tc>
      </w:tr>
      <w:tr>
        <w:trPr>
          <w:trHeight w:val="270"/>
        </w:trPr>
        <w:tc>
          <w:tcPr>
            <w:tcW w:w="7420" w:type="dxa"/>
            <w:vAlign w:val="bottom"/>
          </w:tcPr>
          <w:p>
            <w:pPr>
              <w:ind w:left="180"/>
              <w:spacing w:after="0"/>
              <w:rPr>
                <w:sz w:val="20"/>
                <w:szCs w:val="20"/>
                <w:color w:val="auto"/>
              </w:rPr>
            </w:pPr>
            <w:r>
              <w:rPr>
                <w:rFonts w:ascii="Arial" w:cs="Arial" w:eastAsia="Arial" w:hAnsi="Arial"/>
                <w:sz w:val="16"/>
                <w:szCs w:val="16"/>
                <w:color w:val="auto"/>
              </w:rPr>
              <w:t>Net realized gain/(loss) on investments</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(0.21)</w:t>
            </w:r>
          </w:p>
        </w:tc>
      </w:tr>
      <w:tr>
        <w:trPr>
          <w:trHeight w:val="270"/>
        </w:trPr>
        <w:tc>
          <w:tcPr>
            <w:tcW w:w="7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change in unrealized appreciation/(depreciation) of investments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1.05</w:t>
            </w:r>
          </w:p>
        </w:tc>
      </w:tr>
      <w:tr>
        <w:trPr>
          <w:trHeight w:val="270"/>
        </w:trPr>
        <w:tc>
          <w:tcPr>
            <w:tcW w:w="7420" w:type="dxa"/>
            <w:vAlign w:val="bottom"/>
          </w:tcPr>
          <w:p>
            <w:pPr>
              <w:ind w:left="180"/>
              <w:spacing w:after="0"/>
              <w:rPr>
                <w:sz w:val="20"/>
                <w:szCs w:val="20"/>
                <w:color w:val="auto"/>
              </w:rPr>
            </w:pPr>
            <w:r>
              <w:rPr>
                <w:rFonts w:ascii="Arial" w:cs="Arial" w:eastAsia="Arial" w:hAnsi="Arial"/>
                <w:sz w:val="16"/>
                <w:szCs w:val="16"/>
                <w:color w:val="auto"/>
              </w:rPr>
              <w:t>Provision for taxes on unrealized appreciation of investments</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(0.01)</w:t>
            </w:r>
          </w:p>
        </w:tc>
      </w:tr>
      <w:tr>
        <w:trPr>
          <w:trHeight w:val="270"/>
        </w:trPr>
        <w:tc>
          <w:tcPr>
            <w:tcW w:w="7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270"/>
        </w:trPr>
        <w:tc>
          <w:tcPr>
            <w:tcW w:w="7420" w:type="dxa"/>
            <w:vAlign w:val="bottom"/>
          </w:tcPr>
          <w:p>
            <w:pPr>
              <w:ind w:left="180"/>
              <w:spacing w:after="0"/>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(1)</w:t>
            </w:r>
          </w:p>
        </w:tc>
        <w:tc>
          <w:tcPr>
            <w:tcW w:w="340" w:type="dxa"/>
            <w:vAlign w:val="bottom"/>
          </w:tcPr>
          <w:p>
            <w:pPr>
              <w:spacing w:after="0"/>
              <w:rPr>
                <w:sz w:val="23"/>
                <w:szCs w:val="23"/>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243"/>
        </w:trPr>
        <w:tc>
          <w:tcPr>
            <w:tcW w:w="7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 value at end of period</w:t>
            </w: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10.22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10.75</w:t>
            </w:r>
          </w:p>
        </w:tc>
      </w:tr>
      <w:tr>
        <w:trPr>
          <w:trHeight w:val="20"/>
        </w:trPr>
        <w:tc>
          <w:tcPr>
            <w:tcW w:w="7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11"/>
        </w:trPr>
        <w:tc>
          <w:tcPr>
            <w:tcW w:w="7420" w:type="dxa"/>
            <w:vAlign w:val="bottom"/>
          </w:tcPr>
          <w:p>
            <w:pPr>
              <w:ind w:left="40"/>
              <w:spacing w:after="0"/>
              <w:rPr>
                <w:sz w:val="20"/>
                <w:szCs w:val="20"/>
                <w:color w:val="auto"/>
              </w:rPr>
            </w:pPr>
            <w:r>
              <w:rPr>
                <w:rFonts w:ascii="Arial" w:cs="Arial" w:eastAsia="Arial" w:hAnsi="Arial"/>
                <w:sz w:val="16"/>
                <w:szCs w:val="16"/>
                <w:color w:val="auto"/>
              </w:rPr>
              <w:t>Per share market value at end of period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7.58</w:t>
            </w:r>
          </w:p>
        </w:tc>
      </w:tr>
      <w:tr>
        <w:trPr>
          <w:trHeight w:val="33"/>
        </w:trPr>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return based on market value</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45.21%</w:t>
            </w:r>
          </w:p>
        </w:tc>
      </w:tr>
      <w:tr>
        <w:trPr>
          <w:trHeight w:val="270"/>
        </w:trPr>
        <w:tc>
          <w:tcPr>
            <w:tcW w:w="7420" w:type="dxa"/>
            <w:vAlign w:val="bottom"/>
          </w:tcPr>
          <w:p>
            <w:pPr>
              <w:ind w:left="40"/>
              <w:spacing w:after="0"/>
              <w:rPr>
                <w:sz w:val="20"/>
                <w:szCs w:val="20"/>
                <w:color w:val="auto"/>
              </w:rPr>
            </w:pPr>
            <w:r>
              <w:rPr>
                <w:rFonts w:ascii="Arial" w:cs="Arial" w:eastAsia="Arial" w:hAnsi="Arial"/>
                <w:sz w:val="16"/>
                <w:szCs w:val="16"/>
                <w:color w:val="auto"/>
              </w:rPr>
              <w:t>Total return based on net asset value</w:t>
            </w:r>
            <w:r>
              <w:rPr>
                <w:rFonts w:ascii="Arial" w:cs="Arial" w:eastAsia="Arial" w:hAnsi="Arial"/>
                <w:sz w:val="21"/>
                <w:szCs w:val="21"/>
                <w:color w:val="auto"/>
                <w:vertAlign w:val="superscript"/>
              </w:rPr>
              <w:t>(2)</w:t>
            </w:r>
          </w:p>
        </w:tc>
        <w:tc>
          <w:tcPr>
            <w:tcW w:w="3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(10.19)%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8.70%</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outstanding at end of period</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16,874,316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19,762,647</w:t>
            </w: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b w:val="1"/>
                <w:bCs w:val="1"/>
                <w:color w:val="auto"/>
              </w:rPr>
              <w:t>Ratios/Supplemental Data:</w:t>
            </w:r>
          </w:p>
        </w:tc>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assets at end of period</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172,515,798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212,537,772</w:t>
            </w: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Average net assets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198,994,124</w:t>
            </w:r>
          </w:p>
        </w:tc>
        <w:tc>
          <w:tcPr>
            <w:tcW w:w="10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80"/>
              <w:spacing w:after="0"/>
              <w:rPr>
                <w:sz w:val="20"/>
                <w:szCs w:val="20"/>
                <w:color w:val="auto"/>
              </w:rPr>
            </w:pPr>
            <w:r>
              <w:rPr>
                <w:rFonts w:ascii="Arial" w:cs="Arial" w:eastAsia="Arial" w:hAnsi="Arial"/>
                <w:sz w:val="16"/>
                <w:szCs w:val="16"/>
                <w:color w:val="auto"/>
              </w:rPr>
              <w:t>194,819,568</w:t>
            </w:r>
          </w:p>
        </w:tc>
      </w:tr>
      <w:tr>
        <w:trPr>
          <w:trHeight w:val="33"/>
        </w:trPr>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gross operating expenses to average net assets</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r>
      <w:tr>
        <w:trPr>
          <w:trHeight w:val="237"/>
        </w:trPr>
        <w:tc>
          <w:tcPr>
            <w:tcW w:w="7420" w:type="dxa"/>
            <w:vAlign w:val="bottom"/>
          </w:tcPr>
          <w:p>
            <w:pPr>
              <w:ind w:left="40"/>
              <w:spacing w:after="0"/>
              <w:rPr>
                <w:sz w:val="20"/>
                <w:szCs w:val="20"/>
                <w:color w:val="auto"/>
              </w:rPr>
            </w:pPr>
            <w:r>
              <w:rPr>
                <w:rFonts w:ascii="Arial" w:cs="Arial" w:eastAsia="Arial" w:hAnsi="Arial"/>
                <w:sz w:val="16"/>
                <w:szCs w:val="16"/>
                <w:color w:val="auto"/>
              </w:rPr>
              <w:t>Ratio of income tax provision to average net assets</w:t>
            </w:r>
          </w:p>
        </w:tc>
        <w:tc>
          <w:tcPr>
            <w:tcW w:w="340" w:type="dxa"/>
            <w:vAlign w:val="bottom"/>
          </w:tcPr>
          <w:p>
            <w:pPr>
              <w:spacing w:after="0"/>
              <w:rPr>
                <w:sz w:val="20"/>
                <w:szCs w:val="20"/>
                <w:color w:val="auto"/>
              </w:rPr>
            </w:pPr>
          </w:p>
        </w:tc>
        <w:tc>
          <w:tcPr>
            <w:tcW w:w="1640" w:type="dxa"/>
            <w:vAlign w:val="bottom"/>
            <w:gridSpan w:val="2"/>
          </w:tcPr>
          <w:p>
            <w:pPr>
              <w:ind w:left="1160"/>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0.05%</w:t>
            </w:r>
          </w:p>
        </w:tc>
      </w:tr>
      <w:tr>
        <w:trPr>
          <w:trHeight w:val="33"/>
        </w:trPr>
        <w:tc>
          <w:tcPr>
            <w:tcW w:w="7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net operating expenses to average net assets</w:t>
            </w:r>
            <w:r>
              <w:rPr>
                <w:rFonts w:ascii="Arial" w:cs="Arial" w:eastAsia="Arial" w:hAnsi="Arial"/>
                <w:sz w:val="21"/>
                <w:szCs w:val="21"/>
                <w:color w:val="auto"/>
                <w:vertAlign w:val="superscript"/>
              </w:rPr>
              <w:t>(3)</w:t>
            </w:r>
          </w:p>
        </w:tc>
        <w:tc>
          <w:tcPr>
            <w:tcW w:w="3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r>
      <w:tr>
        <w:trPr>
          <w:trHeight w:val="20"/>
        </w:trPr>
        <w:tc>
          <w:tcPr>
            <w:tcW w:w="7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7420" w:type="dxa"/>
            <w:vAlign w:val="bottom"/>
          </w:tcPr>
          <w:p>
            <w:pPr>
              <w:ind w:left="40"/>
              <w:spacing w:after="0" w:line="237" w:lineRule="exact"/>
              <w:rPr>
                <w:sz w:val="20"/>
                <w:szCs w:val="20"/>
                <w:color w:val="auto"/>
              </w:rPr>
            </w:pPr>
            <w:r>
              <w:rPr>
                <w:rFonts w:ascii="Arial" w:cs="Arial" w:eastAsia="Arial" w:hAnsi="Arial"/>
                <w:sz w:val="16"/>
                <w:szCs w:val="16"/>
                <w:color w:val="auto"/>
              </w:rPr>
              <w:t>Ratio of net investment income/(loss) to average net assets</w:t>
            </w:r>
            <w:r>
              <w:rPr>
                <w:rFonts w:ascii="Arial" w:cs="Arial" w:eastAsia="Arial" w:hAnsi="Arial"/>
                <w:sz w:val="21"/>
                <w:szCs w:val="21"/>
                <w:color w:val="auto"/>
                <w:vertAlign w:val="superscript"/>
              </w:rPr>
              <w:t>(3)</w:t>
            </w:r>
          </w:p>
        </w:tc>
        <w:tc>
          <w:tcPr>
            <w:tcW w:w="3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(6.07)%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Portfolio Turnover Ratio</w:t>
            </w:r>
          </w:p>
        </w:tc>
        <w:tc>
          <w:tcPr>
            <w:tcW w:w="3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w:t>
            </w:r>
          </w:p>
        </w:tc>
      </w:tr>
      <w:tr>
        <w:trPr>
          <w:trHeight w:val="207"/>
        </w:trPr>
        <w:tc>
          <w:tcPr>
            <w:tcW w:w="7420" w:type="dxa"/>
            <w:vAlign w:val="bottom"/>
          </w:tcPr>
          <w:p>
            <w:pPr>
              <w:spacing w:after="0"/>
              <w:rPr>
                <w:sz w:val="20"/>
                <w:szCs w:val="20"/>
                <w:color w:val="auto"/>
              </w:rPr>
            </w:pPr>
            <w:r>
              <w:rPr>
                <w:rFonts w:ascii="Arial" w:cs="Arial" w:eastAsia="Arial" w:hAnsi="Arial"/>
                <w:sz w:val="16"/>
                <w:szCs w:val="16"/>
                <w:b w:val="1"/>
                <w:bCs w:val="1"/>
                <w:color w:val="auto"/>
              </w:rPr>
              <w:t>__________________</w:t>
            </w: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r>
    </w:tbl>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weighted-average number of shares outstanding for the relevant period.</w:t>
      </w:r>
    </w:p>
    <w:p>
      <w:pPr>
        <w:spacing w:after="0" w:line="5" w:lineRule="exact"/>
        <w:rPr>
          <w:rFonts w:ascii="Arial" w:cs="Arial" w:eastAsia="Arial" w:hAnsi="Arial"/>
          <w:sz w:val="16"/>
          <w:szCs w:val="16"/>
          <w:color w:val="auto"/>
        </w:rPr>
      </w:pPr>
    </w:p>
    <w:p>
      <w:pPr>
        <w:ind w:left="500" w:right="20" w:hanging="492"/>
        <w:spacing w:after="0" w:line="262" w:lineRule="auto"/>
        <w:tabs>
          <w:tab w:leader="none" w:pos="5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Total return based on market value is based on the change in market price per share between the opening and ending market values per share in the year. Total return based on net asset value is based upon the change in net asset value per share between the opening and ending net asset values per share.</w:t>
      </w:r>
    </w:p>
    <w:p>
      <w:pPr>
        <w:spacing w:after="0" w:line="1" w:lineRule="exact"/>
        <w:rPr>
          <w:rFonts w:ascii="Arial" w:cs="Arial" w:eastAsia="Arial" w:hAnsi="Arial"/>
          <w:sz w:val="15"/>
          <w:szCs w:val="15"/>
          <w:color w:val="auto"/>
        </w:rPr>
      </w:pPr>
    </w:p>
    <w:p>
      <w:pPr>
        <w:jc w:val="both"/>
        <w:ind w:left="500" w:hanging="492"/>
        <w:spacing w:after="0" w:line="297"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Financial Highlights for periods of less than one year are annualized and the ratios of operating expenses to average net assets and net investment loss to average net assets are adjusted accordingly. Non-recurring expenses are not annualized. For the three months ended March 31, 2020, the Company excluded $0 of non-recurring exepenses. For the three months ended March 31, 2019, the Company excluded $2,387,356 of non-recurring expenses and did not annualize the income tax provision. Because the ratios are calculated for the Company’s common stock taken as a whole, an individual investor’s ratios may vary from these ratios.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29" w:lineRule="exact"/>
        <w:rPr>
          <w:sz w:val="20"/>
          <w:szCs w:val="20"/>
          <w:color w:val="auto"/>
        </w:rPr>
      </w:pPr>
    </w:p>
    <w:p>
      <w:pPr>
        <w:jc w:val="both"/>
        <w:ind w:right="20" w:firstLine="351"/>
        <w:spacing w:after="0" w:line="342"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2014, has qualified to be treated as a RIC for subsequent taxable years and expects to continue to operate in a manner so as to qualify for the tax treatment applicable to RICs.</w:t>
      </w:r>
    </w:p>
    <w:p>
      <w:pPr>
        <w:spacing w:after="0" w:line="124"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18"/>
          <w:szCs w:val="18"/>
          <w:color w:val="auto"/>
        </w:rPr>
        <w:t>Due to the Company’s election to be treated as RIC, the associated previously accrued benefits from, and provisions for, taxes from prior periods were reversed for the year ended December 31, 2015. Typically for a taxable entity, a net investment loss would generate a benefit from taxes; however, as a result of our election to be treated as a RIC, we reversed the previously accrued benefits from taxes on net investment loss from prior periods. Typically for a taxable entity, net realized capital gains would generate a provision for taxes; however, as a result of our election to be treated as a RIC, we reversed the previously accrued provisions for taxes on net realized capital gains from prior periods. As a result of our election to be treated as a RIC, we reversed the previously accrued provisions for taxes on unrealized appreciation of investments from prior periods. This reversal resulted in a larger benefit for taxes on unrealized depreciation of investments than would have been accrued solely based on the unrealized depreciation of investments for the year ended December 31, 2015.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0" w:lineRule="exact"/>
        <w:rPr>
          <w:sz w:val="20"/>
          <w:szCs w:val="20"/>
          <w:color w:val="auto"/>
        </w:rPr>
      </w:pPr>
    </w:p>
    <w:p>
      <w:pPr>
        <w:spacing w:after="0" w:line="227" w:lineRule="exact"/>
        <w:rPr>
          <w:sz w:val="20"/>
          <w:szCs w:val="20"/>
          <w:color w:val="auto"/>
        </w:rPr>
      </w:pPr>
    </w:p>
    <w:p>
      <w:pPr>
        <w:jc w:val="both"/>
        <w:ind w:firstLine="351"/>
        <w:spacing w:after="0" w:line="275" w:lineRule="auto"/>
        <w:rPr>
          <w:sz w:val="20"/>
          <w:szCs w:val="20"/>
          <w:color w:val="auto"/>
        </w:rPr>
      </w:pPr>
      <w:r>
        <w:rPr>
          <w:rFonts w:ascii="Arial" w:cs="Arial" w:eastAsia="Arial" w:hAnsi="Arial"/>
          <w:sz w:val="17"/>
          <w:szCs w:val="17"/>
          <w:color w:val="auto"/>
        </w:rPr>
        <w:t>As a result of the Company electing to be treated as a RIC for the taxable year ended December 31, 2014 in connection with the filing of its 2014 tax return, it may be required to pay a corporate-level U.S. federal income tax on the amount of the net built-in gains, if any, in its assets (the amount by which the net fair market value of the Company’s assets exceeds the net adjusted basis in its assets) as of the date of conversion to a RIC (</w:t>
      </w:r>
      <w:r>
        <w:rPr>
          <w:rFonts w:ascii="Arial" w:cs="Arial" w:eastAsia="Arial" w:hAnsi="Arial"/>
          <w:sz w:val="17"/>
          <w:szCs w:val="17"/>
          <w:i w:val="1"/>
          <w:iCs w:val="1"/>
          <w:color w:val="auto"/>
        </w:rPr>
        <w:t>i.e.</w:t>
      </w:r>
      <w:r>
        <w:rPr>
          <w:rFonts w:ascii="Arial" w:cs="Arial" w:eastAsia="Arial" w:hAnsi="Arial"/>
          <w:sz w:val="17"/>
          <w:szCs w:val="17"/>
          <w:color w:val="auto"/>
        </w:rPr>
        <w:t>, the beginning of the first taxable year that the Company qualifies as a RIC, which would be January 1, 2014) to the extent that such gains are recognized by the Company during the applicable recognition period, which is the five-year period beginning on the date of conversion.</w:t>
      </w:r>
    </w:p>
    <w:p>
      <w:pPr>
        <w:spacing w:after="0" w:line="176" w:lineRule="exact"/>
        <w:rPr>
          <w:sz w:val="20"/>
          <w:szCs w:val="20"/>
          <w:color w:val="auto"/>
        </w:rPr>
      </w:pPr>
    </w:p>
    <w:p>
      <w:pPr>
        <w:jc w:val="both"/>
        <w:ind w:firstLine="351"/>
        <w:spacing w:after="0" w:line="271" w:lineRule="auto"/>
        <w:rPr>
          <w:sz w:val="20"/>
          <w:szCs w:val="20"/>
          <w:color w:val="auto"/>
        </w:rPr>
      </w:pPr>
      <w:r>
        <w:rPr>
          <w:rFonts w:ascii="Arial" w:cs="Arial" w:eastAsia="Arial" w:hAnsi="Arial"/>
          <w:sz w:val="17"/>
          <w:szCs w:val="17"/>
          <w:color w:val="auto"/>
        </w:rPr>
        <w:t>Any corporate-level built-in-gains tax is payable at the time the built-in gains are recognized (which generally will be the years in which the assets with the built-in-gains are sold in a taxable transaction). The amount of this tax will vary depending on the assets that are actually sold by the Company in this five-year period, the actual amount of net built-in gain or loss present in those assets as of the date of conversion, and the effective tax rates at such times. The payment of any such corporate-level U.S. federal income tax on built-in gains will be a Company expense that will reduce the amount available for distribution to stockholders. The built-in-gains tax is calculated by determining the RIC’s net unrealized built-in gains, if any, by which the fair market value of the assets of the RIC at the beginning of its first RIC year exceeds the aggregate adjusted basis of such assets at that time. As of January 1, 2014, the Company had net unrealized built-in gains. It did not incur a built-in-gains tax for the 2014 tax year due to the fact that there were sufficient net capital loss carryforwards to completely offset recognized built-in gains as well as available net operating losses.</w:t>
      </w:r>
    </w:p>
    <w:p>
      <w:pPr>
        <w:spacing w:after="0" w:line="17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66"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As of March 31, 2020 and December 31, 2019, the Company recorded a deferred tax liability of approximately $0.0 million and $0.0 million, respectively. 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18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187"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The Company and the Taxable Subsidiaries identified their major tax jurisdictions as U.S. federal and California and may be subject to the taxing authorities’ examination for the tax years 2016–2019 and 2015–2019, respectively. Further, the Company and the Taxable Subsidiaries accrue all interest and penalties related to uncertain tax positions as incurred. As of March 31, 2020, there were no material interest or penalties incurred related to uncertain tax positions.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CAPITAL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Convertible Senior Notes due 2023</w:t>
      </w:r>
    </w:p>
    <w:p>
      <w:pPr>
        <w:spacing w:after="0" w:line="229" w:lineRule="exact"/>
        <w:rPr>
          <w:sz w:val="20"/>
          <w:szCs w:val="20"/>
          <w:color w:val="auto"/>
        </w:rPr>
      </w:pPr>
    </w:p>
    <w:p>
      <w:pPr>
        <w:jc w:val="both"/>
        <w:ind w:firstLine="351"/>
        <w:spacing w:after="0" w:line="269" w:lineRule="auto"/>
        <w:rPr>
          <w:sz w:val="20"/>
          <w:szCs w:val="20"/>
          <w:color w:val="auto"/>
        </w:rPr>
      </w:pPr>
      <w:r>
        <w:rPr>
          <w:rFonts w:ascii="Arial" w:cs="Arial" w:eastAsia="Arial" w:hAnsi="Arial"/>
          <w:sz w:val="17"/>
          <w:szCs w:val="17"/>
          <w:color w:val="auto"/>
        </w:rPr>
        <w:t>On March 28, 2018, the Company issued $40.0 million aggregate principal amount of convertible senior notes, which bear interest at a fixed rate of 4.75% per year, payable semi-annually in arrears on March 31 and September 30 of each year, commencing on September 30, 2018. The 4.75% Convertible Senior Notes mature on March 28, 2023 (the "4.75% Convertible Senior Notes due 2023"), unless previously repurchased or converted in accordance with their terms. The Company does not have the right to redeem the 4.75% Convertible Senior Notes due 2023 prior to March 27, 2021. On or after March 27, 2021, the Company may redeem the 4.75% Convertible Senior Notes due 2023 for cash, in whole or from time to time in part, at the Company’s option if (i) the closing sale price of the Company’s common stock for at least 15 trading days (whether or not consecutive) during the period of any 20 consecutive trading days is greater than or equal to 150% of the conversion price on each applicable trading day, (ii) no public announcement of a pending, proposed or intended fundamental change has occurred which has not been abandoned, terminated or consummated, and (iii) no event of default under the indenture governing the 4.75% Convertible Senior Notes due 2023, and no event that with the passage of time or giving of notice would constitute an event of default under such indenture, has occurred or exists.</w:t>
      </w:r>
    </w:p>
    <w:p>
      <w:pPr>
        <w:spacing w:after="0" w:line="18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initial conversion rate for the 4.75% Convertible Senior Notes due 2023 was 93.2836 shares of the Company’s common stock for each $1,000 principal amount of the 4.75% Convertible Senior Notes due 2023, which represented an initial conversion price of approximately $10.72 per share. As a result of the Company’s Modified Dutch Auction Tender Offer and cash dividends, the conversion rate for the 4.75% Convertible Senior Notes due 2023 changed to 97.9448 shares of the Company’s common stock for each $1,000 principal amount of the 4.75% Convertible Senior Notes due 2023, which represents a current conversion price of approximately $10.21 per share. Following certain corporate transactions that occur on or prior to the stated maturity date, the Company will, in certain circumstances, increase the conversion rate for a holder that elects to convert its 4.75% Convertible Senior Notes due 2023 in connection with such a corporate transaction. If a fundamental change, as defined in the indenture governing the 4.75% Convertible Senior Notes due 2023, occurs prior to the stated maturity date, holders may require the Company to purchase for cash all or any portion of their 4.75% Convertible Senior Notes due 2023 at a fundamental change purchase price equal to 100% of the principal amount of the Notes to be purchased, plus accrued and unpaid interest to, but excluding, the fundamental change purchase date.</w:t>
      </w:r>
    </w:p>
    <w:p>
      <w:pPr>
        <w:spacing w:after="0" w:line="185"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8"/>
          <w:szCs w:val="18"/>
          <w:color w:val="auto"/>
        </w:rPr>
        <w:t>The indenture governing the 4.75% Convertible Senior Notes due 2023 contains customary financial reporting requirements and contains certain restrictions on mergers, consolidations, and asset sales. The indenture also contains certain events of default, the occurrence of which may lead to the 4.75% Convertible Senior Notes due 2023 being due and payable before their maturity or immediately.</w:t>
      </w:r>
    </w:p>
    <w:p>
      <w:pPr>
        <w:spacing w:after="0" w:line="184"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table below shows a reconciliation from the aggregate principal amount of 4.75% Convertible Senior Notes due 2023 to the balance shown on the Condensed Consolidated Statement of Assets and Liabilities.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57"/>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1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principal amount of 4.75% Convertible Senior Notes due 2023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40,000,000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40,000,000</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Direct deduction of deferred debt issuance costs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(1,102,354)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(1,196,365)</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4.75% Convertible Senior Notes due 2023 Payable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38,897,646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38,803,635</w:t>
            </w:r>
          </w:p>
        </w:tc>
      </w:tr>
      <w:tr>
        <w:trPr>
          <w:trHeight w:val="20"/>
        </w:trPr>
        <w:tc>
          <w:tcPr>
            <w:tcW w:w="8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51949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94935" cy="8255"/>
                    </a:xfrm>
                    <a:prstGeom prst="rect">
                      <a:avLst/>
                    </a:prstGeom>
                    <a:noFill/>
                  </pic:spPr>
                </pic:pic>
              </a:graphicData>
            </a:graphic>
          </wp:anchor>
        </w:drawing>
      </w:r>
    </w:p>
    <w:p>
      <w:pPr>
        <w:spacing w:after="0" w:line="182"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As of March 31, 2020 the principal amount of the 4.75% Convertible Senior Notes due 2023 exceeded the value of the underlying shares multiplied by the per share closing price of the Company’s common stock.</w:t>
      </w:r>
    </w:p>
    <w:p>
      <w:pPr>
        <w:spacing w:after="0" w:line="170"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The 4.75% Convertible Senior Notes due 2023 are the Company’s general, unsecured, senior obligations and rank senior in right of payment to any future indebtedness that is expressly subordinated in right of payment to the 4.75% Convertible Senior Notes due 2023, equal in right of payment to any existing and future unsecured indebtedness that is not so subordinated to the 4.75% Convertible Senior Notes due 2023, effectively junior to any future secured indebtedness to the extent of the value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assets securing such indebtedness, and structurally junior to all future indebtedness (including trade payables) incurred by the Company’s subsidiaries.</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issuance of the 4.75% Convertible Senior Notes due 2023, the Company was required under the terms of the Credit Facility (defined below) to deposit any proceeds from the 4.75% Convertible Senior Notes due 2023 offering into an account at Western Alliance Bank and was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5.25% Convertible Senior Notes due 2018 were repaid in full. The 5.25% Convertible Senior Notes due 2018 matured on September 15, 2018, at which time the Company repaid the remaining outstanding aggregate principal amount of the 5.25% Convertible Senior Notes due 2018, including accrued but unpaid interest. In addition, the Credit Facility matured on May 31, 2019. As a result, the company is no longer subject to such requirements.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 Alliance Bank Credit Facility</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Credit Facility matured on May 31, 2019. There were no borrowings by the Company from the Credit Facility during the year ended December 31, 2019.</w:t>
      </w:r>
    </w:p>
    <w:p>
      <w:pPr>
        <w:spacing w:after="0" w:line="170"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The Company entered into a Loan and Security Agreement, effective May 31, 2017 and amended on March 22, 2018 (the “Loan Agreement”), with Western Alliance Bank, pursuant to which Western Alliance Bank agreed to provide the Company with a $12.0 million senior secured revolving credit facility (the “Credit Facility”). The Credit Facility, among other things, matured on May 31, 2019 and bore interest at a per annum rate equal to the prime rate plus 3.50%. In addition, a facility fee of $60,000 was charged upon closing of the Credit Facility, and the Loan Agreement required payment of a fee for unused amounts during the revolving period in an amount equal to 0.50% per annum of the average unused portion of the Credit Facility payable quarterly in arrears.</w:t>
      </w:r>
    </w:p>
    <w:p>
      <w:pPr>
        <w:spacing w:after="0" w:line="192"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Under the Loan Agreement, the Company made certain customary representations and warranties and was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$70.0 million in the aggregate),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BDC status. The Loan Agreement included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w:t>
      </w:r>
    </w:p>
    <w:p>
      <w:pPr>
        <w:spacing w:after="0" w:line="165"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Credit Facility was secured by substantially all of the Company’s property and assets. As of March 31, 2020 and December 31, 2019, the Company had no borrowings outstanding under the Credit Facility, as the Credit Facility matured on May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5, 2019, our Board of Directors adopted, and our stockholders approved, an equity-based incentive plan (the "2019 Equity Incentive Plan”), which authorizes equity awards to be granted for up to 1,976,264 shares of our common stock. Under the 2019 Equity Incentive Plan, the exercise price of awards is set on the grant date and may not be less than the fair market value per share on such date, however, that in the case of an incentive stock option granted to an employee who, at the time of the grant of such option, owns stock representing more than ten percent (10%) of the voting power of all classes of stock of the Company or the Company’s present or future parent or subsidiary corporations, as defined in Section 424(e) or (f) of the Code, or other Affiliates the employees of which are eligible to receive incentive stock options under the Code (the “10% Shareholders”), the exercise price per share shall be no less than one hundred ten percent (110%) of the fair market value per share on the date of grant. The fair market value shall be the closing price of the shares on the Nasdaq Capital Market on the date of grant.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17, 2019, stock options providing the right to purchase up to 1,165,000 shares were granted under the 2019 Equity Incentive Plan with an exercise price equal to the market price of our common stock at the grant date. These stock options have a vesting period of 3 years with 1/3 vesting immediately on the grant date, 1/3 vesting on July 17, 2020, and the remaining 1/3 vesting on July 17, 2021.</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vMerge w:val="restart"/>
          </w:tcPr>
          <w:p>
            <w:pPr>
              <w:spacing w:after="0"/>
              <w:rPr>
                <w:sz w:val="14"/>
                <w:szCs w:val="14"/>
                <w:color w:val="auto"/>
              </w:rPr>
            </w:pPr>
          </w:p>
        </w:tc>
        <w:tc>
          <w:tcPr>
            <w:tcW w:w="20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Weighted-Average Exercise</w:t>
            </w:r>
          </w:p>
        </w:tc>
        <w:tc>
          <w:tcPr>
            <w:tcW w:w="140" w:type="dxa"/>
            <w:vAlign w:val="bottom"/>
          </w:tcPr>
          <w:p>
            <w:pPr>
              <w:spacing w:after="0"/>
              <w:rPr>
                <w:sz w:val="14"/>
                <w:szCs w:val="14"/>
                <w:color w:val="auto"/>
              </w:rPr>
            </w:pPr>
          </w:p>
        </w:tc>
        <w:tc>
          <w:tcPr>
            <w:tcW w:w="1760" w:type="dxa"/>
            <w:vAlign w:val="bottom"/>
          </w:tcPr>
          <w:p>
            <w:pPr>
              <w:jc w:val="right"/>
              <w:ind w:right="96"/>
              <w:spacing w:after="0"/>
              <w:rPr>
                <w:sz w:val="20"/>
                <w:szCs w:val="20"/>
                <w:color w:val="auto"/>
              </w:rPr>
            </w:pPr>
            <w:r>
              <w:rPr>
                <w:rFonts w:ascii="Arial" w:cs="Arial" w:eastAsia="Arial" w:hAnsi="Arial"/>
                <w:sz w:val="14"/>
                <w:szCs w:val="14"/>
                <w:b w:val="1"/>
                <w:bCs w:val="1"/>
                <w:color w:val="auto"/>
                <w:w w:val="95"/>
              </w:rPr>
              <w:t>Weighted-Average Grant</w:t>
            </w:r>
          </w:p>
        </w:tc>
        <w:tc>
          <w:tcPr>
            <w:tcW w:w="0" w:type="dxa"/>
            <w:vAlign w:val="bottom"/>
          </w:tcPr>
          <w:p>
            <w:pPr>
              <w:spacing w:after="0"/>
              <w:rPr>
                <w:sz w:val="1"/>
                <w:szCs w:val="1"/>
                <w:color w:val="auto"/>
              </w:rPr>
            </w:pPr>
          </w:p>
        </w:tc>
      </w:tr>
      <w:tr>
        <w:trPr>
          <w:trHeight w:val="192"/>
        </w:trPr>
        <w:tc>
          <w:tcPr>
            <w:tcW w:w="52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4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2018</w:t>
            </w: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6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ind w:right="32"/>
              <w:spacing w:after="0"/>
              <w:rPr>
                <w:sz w:val="20"/>
                <w:szCs w:val="20"/>
                <w:color w:val="auto"/>
              </w:rPr>
            </w:pPr>
            <w:r>
              <w:rPr>
                <w:rFonts w:ascii="Arial" w:cs="Arial" w:eastAsia="Arial" w:hAnsi="Arial"/>
                <w:sz w:val="18"/>
                <w:szCs w:val="18"/>
                <w:color w:val="auto"/>
              </w:rPr>
              <w:t>1,165,000</w:t>
            </w:r>
          </w:p>
        </w:tc>
        <w:tc>
          <w:tcPr>
            <w:tcW w:w="100" w:type="dxa"/>
            <w:vAlign w:val="bottom"/>
          </w:tcPr>
          <w:p>
            <w:pPr>
              <w:spacing w:after="0"/>
              <w:rPr>
                <w:sz w:val="21"/>
                <w:szCs w:val="21"/>
                <w:color w:val="auto"/>
              </w:rPr>
            </w:pP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2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spacing w:after="0"/>
              <w:rPr>
                <w:sz w:val="20"/>
                <w:szCs w:val="20"/>
                <w:color w:val="auto"/>
              </w:rPr>
            </w:pPr>
            <w:r>
              <w:rPr>
                <w:rFonts w:ascii="Arial" w:cs="Arial" w:eastAsia="Arial" w:hAnsi="Arial"/>
                <w:sz w:val="18"/>
                <w:szCs w:val="18"/>
                <w:color w:val="auto"/>
              </w:rPr>
              <w:t>(6,667)</w:t>
            </w:r>
          </w:p>
        </w:tc>
        <w:tc>
          <w:tcPr>
            <w:tcW w:w="100" w:type="dxa"/>
            <w:vAlign w:val="bottom"/>
          </w:tcPr>
          <w:p>
            <w:pPr>
              <w:spacing w:after="0"/>
              <w:rPr>
                <w:sz w:val="21"/>
                <w:szCs w:val="21"/>
                <w:color w:val="auto"/>
              </w:rPr>
            </w:pP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6"/>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Expired</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Outstanding as of March 31, 2020 and December 31, 2019</w:t>
            </w:r>
          </w:p>
        </w:tc>
        <w:tc>
          <w:tcPr>
            <w:tcW w:w="1880" w:type="dxa"/>
            <w:vAlign w:val="bottom"/>
          </w:tcPr>
          <w:p>
            <w:pPr>
              <w:jc w:val="right"/>
              <w:ind w:right="32"/>
              <w:spacing w:after="0"/>
              <w:rPr>
                <w:sz w:val="20"/>
                <w:szCs w:val="20"/>
                <w:color w:val="auto"/>
              </w:rPr>
            </w:pPr>
            <w:r>
              <w:rPr>
                <w:rFonts w:ascii="Arial" w:cs="Arial" w:eastAsia="Arial" w:hAnsi="Arial"/>
                <w:sz w:val="18"/>
                <w:szCs w:val="18"/>
                <w:color w:val="auto"/>
              </w:rPr>
              <w:t>1,155,000</w:t>
            </w:r>
          </w:p>
        </w:tc>
        <w:tc>
          <w:tcPr>
            <w:tcW w:w="100" w:type="dxa"/>
            <w:vAlign w:val="bottom"/>
          </w:tcPr>
          <w:p>
            <w:pPr>
              <w:spacing w:after="0"/>
              <w:rPr>
                <w:sz w:val="21"/>
                <w:szCs w:val="21"/>
                <w:color w:val="auto"/>
              </w:rPr>
            </w:pPr>
          </w:p>
        </w:tc>
        <w:tc>
          <w:tcPr>
            <w:tcW w:w="460" w:type="dxa"/>
            <w:vAlign w:val="bottom"/>
          </w:tcPr>
          <w:p>
            <w:pPr>
              <w:jc w:val="right"/>
              <w:ind w:right="253"/>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Vested and Exercisable as of March 31, 2020 and December 31, 2019</w:t>
            </w:r>
          </w:p>
        </w:tc>
        <w:tc>
          <w:tcPr>
            <w:tcW w:w="1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385,000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52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-179070</wp:posOffset>
            </wp:positionV>
            <wp:extent cx="33172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1724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-530860</wp:posOffset>
            </wp:positionV>
            <wp:extent cx="331724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17240"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-882650</wp:posOffset>
            </wp:positionV>
            <wp:extent cx="33172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17240" cy="825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-1233805</wp:posOffset>
            </wp:positionV>
            <wp:extent cx="33172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18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follows ASC Topic 718 to account for stock options granted. Under ASC Topic 718, compensation expense associated with stock-based compensation is measured at the grant date based on the fair value of the award and is recognized over the vesting period. Determining the appropriate fair value model and calculating the fair value of stock-based awards at the grant date requires judgment, including estimating stock price volatility, forfeiture rate and expected option life. The time-based options granted on July 17, 2019 have a weighted-average fair value of $2.57 per share. The fair value of options granted is based upon a Black Scholes option pricing model using the assumptions in the following table for the three months ended March 31, 2020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Input Assumptions</w:t>
            </w:r>
          </w:p>
        </w:tc>
        <w:tc>
          <w:tcPr>
            <w:tcW w:w="120" w:type="dxa"/>
            <w:vAlign w:val="bottom"/>
            <w:tcBorders>
              <w:bottom w:val="single" w:sz="8" w:color="CCEEFF"/>
            </w:tcBorders>
          </w:tcPr>
          <w:p>
            <w:pPr>
              <w:spacing w:after="0"/>
              <w:rPr>
                <w:sz w:val="16"/>
                <w:szCs w:val="16"/>
                <w:color w:val="auto"/>
              </w:rPr>
            </w:pPr>
          </w:p>
        </w:tc>
        <w:tc>
          <w:tcPr>
            <w:tcW w:w="30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As of July 17, 2019 Grant Date</w:t>
            </w:r>
          </w:p>
        </w:tc>
      </w:tr>
      <w:tr>
        <w:trPr>
          <w:trHeight w:val="249"/>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(years)</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5.55</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Volatility</w:t>
            </w: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39.47%</w:t>
            </w:r>
          </w:p>
        </w:tc>
      </w:tr>
      <w:tr>
        <w:trPr>
          <w:trHeight w:val="27"/>
        </w:trPr>
        <w:tc>
          <w:tcPr>
            <w:tcW w:w="8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20" w:type="dxa"/>
            <w:vAlign w:val="bottom"/>
          </w:tcPr>
          <w:p>
            <w:pPr>
              <w:spacing w:after="0"/>
              <w:rPr>
                <w:sz w:val="2"/>
                <w:szCs w:val="2"/>
                <w:color w:val="auto"/>
              </w:rPr>
            </w:pPr>
          </w:p>
        </w:tc>
      </w:tr>
      <w:tr>
        <w:trPr>
          <w:trHeight w:val="264"/>
        </w:trPr>
        <w:tc>
          <w:tcPr>
            <w:tcW w:w="8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rate</w:t>
            </w:r>
          </w:p>
        </w:tc>
        <w:tc>
          <w:tcPr>
            <w:tcW w:w="3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1.86%</w:t>
            </w:r>
          </w:p>
        </w:tc>
      </w:tr>
      <w:tr>
        <w:trPr>
          <w:trHeight w:val="243"/>
        </w:trPr>
        <w:tc>
          <w:tcPr>
            <w:tcW w:w="822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three months ended March 31, 2020, we recognized stock-based compensation expense of $0 and the amount of cash received from the exercise of stock options was $0. As of March 31, 2020, there was $1,979,570 of total unrecognized compensation cost related to non-vested stock options granted under the 2019 Plan. The remaining cost is expected to be recognized over the remaining weighted-average vesting period of 0.80 years, unless otherwise cancelled or forfeited prior to vesting.</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April 28, 2020, all stock option awards granted under the 2019 Equity Incentive Plan were canceled for no payment. As a result, there are no stock option awards currently outstanding under the 2019 Equity Incentive Plan. For additional information, see "Note 12 — Subsequent Events."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Activity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April 1, 2020 through May 8, 2020, the Company did not sell or exit any investments.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From April 1, 2020 through May 8, 2020, the Company did not purchase any investments, but has executed agreements committing to, and is in the process of funding, purchases of $506,339 (not including capitalized transaction costs) as shown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Anticipated Transaction</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3840" w:type="dxa"/>
            <w:vAlign w:val="bottom"/>
            <w:gridSpan w:val="2"/>
          </w:tcPr>
          <w:p>
            <w:pPr>
              <w:ind w:left="40"/>
              <w:spacing w:after="0"/>
              <w:rPr>
                <w:sz w:val="20"/>
                <w:szCs w:val="20"/>
                <w:color w:val="auto"/>
              </w:rPr>
            </w:pPr>
            <w:r>
              <w:rPr>
                <w:rFonts w:ascii="Arial" w:cs="Arial" w:eastAsia="Arial" w:hAnsi="Arial"/>
                <w:sz w:val="16"/>
                <w:szCs w:val="16"/>
                <w:b w:val="1"/>
                <w:bCs w:val="1"/>
                <w:color w:val="auto"/>
              </w:rPr>
              <w:t>Portfolio Company</w:t>
            </w:r>
          </w:p>
        </w:tc>
        <w:tc>
          <w:tcPr>
            <w:tcW w:w="3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Investment</w:t>
            </w:r>
          </w:p>
        </w:tc>
        <w:tc>
          <w:tcPr>
            <w:tcW w:w="190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320" w:type="dxa"/>
            <w:vAlign w:val="bottom"/>
          </w:tcPr>
          <w:p>
            <w:pPr>
              <w:spacing w:after="0"/>
              <w:rPr>
                <w:sz w:val="18"/>
                <w:szCs w:val="18"/>
                <w:color w:val="auto"/>
              </w:rPr>
            </w:pPr>
          </w:p>
        </w:tc>
        <w:tc>
          <w:tcPr>
            <w:tcW w:w="1480" w:type="dxa"/>
            <w:vAlign w:val="bottom"/>
          </w:tcPr>
          <w:p>
            <w:pPr>
              <w:jc w:val="right"/>
              <w:ind w:right="195"/>
              <w:spacing w:after="0"/>
              <w:rPr>
                <w:sz w:val="20"/>
                <w:szCs w:val="20"/>
                <w:color w:val="auto"/>
              </w:rPr>
            </w:pPr>
            <w:r>
              <w:rPr>
                <w:rFonts w:ascii="Arial" w:cs="Arial" w:eastAsia="Arial" w:hAnsi="Arial"/>
                <w:sz w:val="16"/>
                <w:szCs w:val="16"/>
                <w:b w:val="1"/>
                <w:bCs w:val="1"/>
                <w:color w:val="auto"/>
                <w:w w:val="93"/>
              </w:rPr>
              <w:t>Gross Payments</w:t>
            </w:r>
          </w:p>
        </w:tc>
      </w:tr>
      <w:tr>
        <w:trPr>
          <w:trHeight w:val="33"/>
        </w:trPr>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37"/>
        </w:trPr>
        <w:tc>
          <w:tcPr>
            <w:tcW w:w="3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Neutron Holdings, Inc. (d/b/a/ Lime)</w:t>
            </w:r>
          </w:p>
        </w:tc>
        <w:tc>
          <w:tcPr>
            <w:tcW w:w="3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Convertible Promissory Note</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2020</w:t>
            </w: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506,339</w:t>
            </w:r>
          </w:p>
        </w:tc>
      </w:tr>
      <w:tr>
        <w:trPr>
          <w:trHeight w:val="27"/>
        </w:trPr>
        <w:tc>
          <w:tcPr>
            <w:tcW w:w="3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51"/>
        <w:spacing w:after="0" w:line="275" w:lineRule="auto"/>
        <w:rPr>
          <w:sz w:val="20"/>
          <w:szCs w:val="20"/>
          <w:color w:val="auto"/>
        </w:rPr>
      </w:pPr>
      <w:r>
        <w:rPr>
          <w:rFonts w:ascii="Arial" w:cs="Arial" w:eastAsia="Arial" w:hAnsi="Arial"/>
          <w:sz w:val="17"/>
          <w:szCs w:val="17"/>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Program</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April 1, 2020 through May 8, 2020, we repurchased an additional 594,637 shares under the Share Repurchase Program for an aggregate purchase price of $3.6 million. Please refer to "Note 5—Share Repurchase Program, Equity Offerings and Related Expenses” for additional information on the Share Repurchase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Employment Agreements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28, 2020, we amended and restated the employment agreements with each of Mark D. Klein, our Chief Executive Officer and President (the “Amended Klein Agreement”), and Allison Green, our Chief Financial Officer, Chief Compliance Officer, Treasurer and Secretary (the “Amended Green Agreement”). For more information, including descriptions of such agreements, please refer to our current report on Form 8-K filed with the SEC on April 29, 2020. Such descriptions of the Amended Klein Agreement and the Amended Green Agreement are qualified in their entirety by reference to the text of such agreements filed as exhibits to this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Cancellation of Stock Option Awards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28, 2020, all stock option awards granted under the 2019 Equity Incentive Plan were canceled for no payment pursuant to an option cancellation agreement (the "Option Cancellation Agreement"). As a result, there are no stock option awards currently outstanding under the 2019 Equity Incentive Plan.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to this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been closely monitoring the COVID-19 pandemic, its broader impact on the global economy and the more recent impacts on the U.S. economy. As of May 8, 2020, there is no indication of a reportable subsequent event impacting the Company’s financial statements for the three months ended March 31, 2020. The Company continues to observe and respond to the evolving COVID-19 environment and its potential impact on areas across its business.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13—SUPPLEMENTAL FINANCIAL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Unconsolidated Subsidiaries</w:t>
      </w:r>
    </w:p>
    <w:p>
      <w:pPr>
        <w:spacing w:after="0" w:line="229" w:lineRule="exact"/>
        <w:rPr>
          <w:sz w:val="20"/>
          <w:szCs w:val="20"/>
          <w:color w:val="auto"/>
        </w:rPr>
      </w:pPr>
    </w:p>
    <w:p>
      <w:pPr>
        <w:jc w:val="both"/>
        <w:ind w:right="20" w:firstLine="351"/>
        <w:spacing w:after="0" w:line="277" w:lineRule="auto"/>
        <w:rPr>
          <w:sz w:val="20"/>
          <w:szCs w:val="20"/>
          <w:color w:val="auto"/>
        </w:rPr>
      </w:pPr>
      <w:r>
        <w:rPr>
          <w:rFonts w:ascii="Arial" w:cs="Arial" w:eastAsia="Arial" w:hAnsi="Arial"/>
          <w:sz w:val="18"/>
          <w:szCs w:val="18"/>
          <w:color w:val="auto"/>
        </w:rPr>
        <w:t>In accordance with the SEC’s Regulation S-X and GAAP, the Company is not permitted to consolidate any subsidiary or other entity that is not an investment company, including those in which the Company has a controlling interest; however,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SUTTER ROCK CAPITAL CORP.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Company must disclose certain financial information related to any subsidiaries or other entities that are considered to be “significant subsidiaries” under the applicable rules of Regulation S-X. As of March 31, 2020, the Company had investments in at least one portfolio company considered to be a significant subsidiary under SEC Regulation S-X Rule 10-01(b)(1) and Regulation S-X Rule 4-08(g). Below is summarized, unaudited, comparative financial information for the Company’s unconsolidated significant subsidiaries.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Income Statement Data for the Period Ended: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March 31, 2019</w:t>
            </w:r>
          </w:p>
        </w:tc>
      </w:tr>
      <w:tr>
        <w:trPr>
          <w:trHeight w:val="236"/>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110,142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5,646,112</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1,314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3,662,432</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Loss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(1,759,289)</w:t>
            </w:r>
          </w:p>
        </w:tc>
      </w:tr>
      <w:tr>
        <w:trPr>
          <w:trHeight w:val="237"/>
        </w:trPr>
        <w:tc>
          <w:tcPr>
            <w:tcW w:w="8100" w:type="dxa"/>
            <w:vAlign w:val="bottom"/>
            <w:gridSpan w:val="2"/>
          </w:tcPr>
          <w:p>
            <w:pPr>
              <w:ind w:left="40"/>
              <w:spacing w:after="0"/>
              <w:rPr>
                <w:sz w:val="20"/>
                <w:szCs w:val="20"/>
                <w:color w:val="auto"/>
              </w:rPr>
            </w:pPr>
            <w:r>
              <w:rPr>
                <w:rFonts w:ascii="Arial" w:cs="Arial" w:eastAsia="Arial" w:hAnsi="Arial"/>
                <w:sz w:val="16"/>
                <w:szCs w:val="16"/>
                <w:color w:val="auto"/>
              </w:rPr>
              <w:t>Total net loss including net loss attributable to non-controlling interest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(14,617)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(1,759,289)</w:t>
            </w:r>
          </w:p>
        </w:tc>
      </w:tr>
      <w:tr>
        <w:trPr>
          <w:trHeight w:val="33"/>
        </w:trPr>
        <w:tc>
          <w:tcPr>
            <w:tcW w:w="7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loss attributable to non-controlling interest</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193"/>
        </w:trPr>
        <w:tc>
          <w:tcPr>
            <w:tcW w:w="7980" w:type="dxa"/>
            <w:vAlign w:val="bottom"/>
          </w:tcPr>
          <w:p>
            <w:pPr>
              <w:spacing w:after="0"/>
              <w:rPr>
                <w:sz w:val="20"/>
                <w:szCs w:val="20"/>
                <w:color w:val="auto"/>
              </w:rPr>
            </w:pPr>
            <w:r>
              <w:rPr>
                <w:rFonts w:ascii="Arial" w:cs="Arial" w:eastAsia="Arial" w:hAnsi="Arial"/>
                <w:sz w:val="16"/>
                <w:szCs w:val="16"/>
                <w:b w:val="1"/>
                <w:bCs w:val="1"/>
                <w:color w:val="auto"/>
              </w:rPr>
              <w:t>__________________</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bl>
    <w:p>
      <w:pPr>
        <w:jc w:val="both"/>
        <w:ind w:left="500" w:hanging="492"/>
        <w:spacing w:after="0" w:line="250"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August 23, 2019, Sutter Rock Capital Corp. amended the structure of its investment in NestGSV, Inc. (d/b/a GSV Labs, Inc.). Under the amended structure, Sutter Rock Capital Corp.’s fully diluted ownership of voting securities decreased from 50.0% to 8.5%. As such, Sutter Rock Capital Corp.'s investments in NestGSV, Inc. (d/b/a GSV Labs, Inc.) have been recategorized from controlled investments to non-controlled/affiliated investments and NestGSV, Inc. (d/b/a GSV Labs, Inc.) is no longer considered a significant subsidiary.</w:t>
      </w:r>
    </w:p>
    <w:p>
      <w:pPr>
        <w:spacing w:after="0" w:line="164" w:lineRule="exact"/>
        <w:rPr>
          <w:rFonts w:ascii="Arial" w:cs="Arial" w:eastAsia="Arial" w:hAnsi="Arial"/>
          <w:sz w:val="16"/>
          <w:szCs w:val="16"/>
          <w:color w:val="auto"/>
        </w:rPr>
      </w:pPr>
    </w:p>
    <w:p>
      <w:pPr>
        <w:jc w:val="both"/>
        <w:ind w:left="500"/>
        <w:spacing w:after="0" w:line="286" w:lineRule="auto"/>
        <w:rPr>
          <w:rFonts w:ascii="Arial" w:cs="Arial" w:eastAsia="Arial" w:hAnsi="Arial"/>
          <w:sz w:val="16"/>
          <w:szCs w:val="16"/>
          <w:color w:val="auto"/>
        </w:rPr>
      </w:pPr>
      <w:r>
        <w:rPr>
          <w:rFonts w:ascii="Arial" w:cs="Arial" w:eastAsia="Arial" w:hAnsi="Arial"/>
          <w:sz w:val="15"/>
          <w:szCs w:val="15"/>
          <w:color w:val="auto"/>
        </w:rPr>
        <w:t>On November 26, 2019, Sutter Rock Capital Corp. invested $250,000 in StormWind, LLC's Series D financing round. As part of the round, Sutter Rock Capital Corp.'s fully diluted ownership of voting securities decreased from 25.6% to 23.4%. As such, Sutter Rock Capital Corp.'s investments in StormWind, LLC have been recategorized from controlled investments to non-controlled/affiliated investments and StormWind, LLC is no longer considered a significant subsidiary.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88"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without limitation, statements as to:</w:t>
      </w:r>
    </w:p>
    <w:p>
      <w:pPr>
        <w:spacing w:after="0" w:line="170" w:lineRule="exact"/>
        <w:rPr>
          <w:sz w:val="20"/>
          <w:szCs w:val="20"/>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 and consequences of the novel coronavirus (“COVID-19”) public health crisis on matters including global, U.S. and local economies, our business operations and continuity, potential disruption to our portfolio companies, tightened availability to capital and financing, the health and productivity of our employees, the ability of third-party providers to continue uninterrupted service, and the regulatory environment in which we operate;</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66"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84" w:lineRule="exact"/>
        <w:rPr>
          <w:sz w:val="20"/>
          <w:szCs w:val="20"/>
          <w:color w:val="auto"/>
        </w:rPr>
      </w:pPr>
    </w:p>
    <w:p>
      <w:pPr>
        <w:ind w:left="660" w:right="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investment activities;</w:t>
      </w:r>
    </w:p>
    <w:p>
      <w:pPr>
        <w:spacing w:after="0" w:line="265"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26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sections entitled “Risk Factors” in our quarterly reports on Form 10-Q, our annual report on Form 10-K, and in our other filings with the SEC.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83" w:lineRule="exact"/>
        <w:rPr>
          <w:sz w:val="20"/>
          <w:szCs w:val="20"/>
          <w:color w:val="auto"/>
        </w:rPr>
      </w:pPr>
    </w:p>
    <w:p>
      <w:pPr>
        <w:jc w:val="both"/>
        <w:ind w:firstLine="351"/>
        <w:spacing w:after="0" w:line="290"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quarterly report on Form 10-Q. The following analysis of our financial condition and results of operations should be read in conjunction with our consolidated financial statements and the related notes thereto contained elsewhere in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51"/>
        <w:spacing w:after="0" w:line="286" w:lineRule="auto"/>
        <w:rPr>
          <w:sz w:val="20"/>
          <w:szCs w:val="20"/>
          <w:color w:val="auto"/>
        </w:rPr>
      </w:pPr>
      <w:r>
        <w:rPr>
          <w:rFonts w:ascii="Arial" w:cs="Arial" w:eastAsia="Arial" w:hAnsi="Arial"/>
          <w:sz w:val="17"/>
          <w:szCs w:val="17"/>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65"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Our investment objective is to maximize our portfolio’s total return, principally by seeking capital gains on our equity and equity-related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We may also invest on an opportunistic basis in select publicly traded equity securities or certain non-U.S. companies that otherwise meet our investment criteria.</w:t>
      </w:r>
    </w:p>
    <w:p>
      <w:pPr>
        <w:spacing w:after="0" w:line="188" w:lineRule="exact"/>
        <w:rPr>
          <w:sz w:val="20"/>
          <w:szCs w:val="20"/>
          <w:color w:val="auto"/>
        </w:rPr>
      </w:pPr>
    </w:p>
    <w:p>
      <w:pPr>
        <w:jc w:val="both"/>
        <w:ind w:firstLine="351"/>
        <w:spacing w:after="0" w:line="273" w:lineRule="auto"/>
        <w:rPr>
          <w:sz w:val="20"/>
          <w:szCs w:val="20"/>
          <w:color w:val="auto"/>
        </w:rPr>
      </w:pPr>
      <w:r>
        <w:rPr>
          <w:rFonts w:ascii="Arial" w:cs="Arial" w:eastAsia="Arial" w:hAnsi="Arial"/>
          <w:sz w:val="17"/>
          <w:szCs w:val="17"/>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178"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Our investment philosophy is based on a disciplined approach of identifying promising investments in high-growth, venture-backed companies across several key industry themes which may include, among others, social 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192"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seek to create a low-turnover portfolio that includes investments in companies representing a broad range of investment themes.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as of July 30, 2019, we changed our name to Sutter Rock Capital Corp. and effective as of August 1, 2019, we changed our trading symbol to “SSSS”.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Internalization of Operating Structure</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and effective March 12, 2019 (the "Effective Date"), our Board of Directors approved internalizing our operating structure ("Internalization") and we began operating as an internally managed non-diversified closed-end management investment company that has elected to be regulated as a BDC under the 1940 Act.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agreement (the “Administration Agreement”). In connection with our Internalization, the Investment Advisory Agreement and the Administration Agreement were terminated as of the Effective Date, and as a result no fees or expenses will be due or payable under the Investment Advisory Agreement and the Administration Agreement going forward.</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otherwise disclosed herein, this Form 10-Q discusses our business and operations as an internally-managed BDC during the period covered by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COVID-19 Developments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11, 2020, the World Health Organization declared the novel coronavirus (“COVID-19”) as a pandemic, and on March 13, 2020 the United States declared a national emergency with respect to COVID-19. The outbreak of COVID-19 has severely impacted global economic activity and caused significant volatility and negative pressure in financial markets. The global impact of the outbreak has been rapidly evolving and many countries, including the United States, have reacted by instituting quarantines, mandating business and school closures and restricting travel. Such actions are creating disruption in global supply chains and adversely impacting a number of industries. The outbreak could have a continued adverse impact on economic and market conditions and trigger a period of global economic slowdown.</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closely monitoring the impact of the outbreak of COVID-19 on all aspects of our business, including how it will impact our portfolio companies, employees, due diligence and investing processes, and financial markets. Given the fluidity of the situation, we cannot estimate the long-term impact of COVID-19 on our business, future results of operations, financial position or cash flows at this time. The extent to which our operations may be impacted by the COVID-19 pandemic will depend largely on future developments, which are highly uncertain and cannot be accurately predicted, including new information which may emerge concerning the severity of the outbreak and actions by government authorities to contain the outbreak or treat its impact. Furthermore, the impact of a potential worsening of global economic conditions and the continued disruptions to, and volatility in, the financial markets remain unknown.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March 31, 2020, of all of our portfolio investments, excluding U.S. Treasury bills, was $159,922,548.</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2020, we did not fund any new investments.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2020, we did not capitalize any fees.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March 31, 2020, we exited investments in an amount of $10,786,346, net of transaction costs, and realized a net gain on investments of approximately $6,978,240 (including U.S. Treasury investments) as shown in following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Portfolio Investment</w:t>
            </w:r>
          </w:p>
        </w:tc>
        <w:tc>
          <w:tcPr>
            <w:tcW w:w="120" w:type="dxa"/>
            <w:vAlign w:val="bottom"/>
            <w:vMerge w:val="restart"/>
          </w:tcPr>
          <w:p>
            <w:pPr>
              <w:spacing w:after="0"/>
              <w:rPr>
                <w:sz w:val="14"/>
                <w:szCs w:val="14"/>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Transaction</w:t>
            </w:r>
          </w:p>
        </w:tc>
        <w:tc>
          <w:tcPr>
            <w:tcW w:w="1260" w:type="dxa"/>
            <w:vAlign w:val="bottom"/>
            <w:vMerge w:val="restart"/>
          </w:tcPr>
          <w:p>
            <w:pPr>
              <w:jc w:val="right"/>
              <w:ind w:right="344"/>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vMerge w:val="restart"/>
          </w:tcPr>
          <w:p>
            <w:pPr>
              <w:jc w:val="right"/>
              <w:ind w:right="142"/>
              <w:spacing w:after="0"/>
              <w:rPr>
                <w:sz w:val="20"/>
                <w:szCs w:val="20"/>
                <w:color w:val="auto"/>
              </w:rPr>
            </w:pPr>
            <w:r>
              <w:rPr>
                <w:rFonts w:ascii="Arial" w:cs="Arial" w:eastAsia="Arial" w:hAnsi="Arial"/>
                <w:sz w:val="14"/>
                <w:szCs w:val="14"/>
                <w:b w:val="1"/>
                <w:bCs w:val="1"/>
                <w:color w:val="auto"/>
                <w:w w:val="91"/>
              </w:rPr>
              <w:t>Net Proceeds</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4"/>
              </w:rPr>
              <w:t>Realized Gain</w:t>
            </w:r>
            <w:r>
              <w:rPr>
                <w:rFonts w:ascii="Arial" w:cs="Arial" w:eastAsia="Arial" w:hAnsi="Arial"/>
                <w:sz w:val="8"/>
                <w:szCs w:val="8"/>
                <w:b w:val="1"/>
                <w:bCs w:val="1"/>
                <w:color w:val="auto"/>
                <w:w w:val="94"/>
              </w:rPr>
              <w:t>(1)</w:t>
            </w:r>
          </w:p>
        </w:tc>
        <w:tc>
          <w:tcPr>
            <w:tcW w:w="0" w:type="dxa"/>
            <w:vAlign w:val="bottom"/>
          </w:tcPr>
          <w:p>
            <w:pPr>
              <w:spacing w:after="0"/>
              <w:rPr>
                <w:sz w:val="1"/>
                <w:szCs w:val="1"/>
                <w:color w:val="auto"/>
              </w:rPr>
            </w:pPr>
          </w:p>
        </w:tc>
      </w:tr>
      <w:tr>
        <w:trPr>
          <w:trHeight w:val="192"/>
        </w:trPr>
        <w:tc>
          <w:tcPr>
            <w:tcW w:w="5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Parchment, Inc. </w:t>
            </w:r>
            <w:r>
              <w:rPr>
                <w:rFonts w:ascii="Arial" w:cs="Arial" w:eastAsia="Arial" w:hAnsi="Arial"/>
                <w:sz w:val="21"/>
                <w:szCs w:val="21"/>
                <w:color w:val="auto"/>
                <w:vertAlign w:val="superscript"/>
              </w:rPr>
              <w:t>(2)</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1/31/2020</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3,200,512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10,786,346</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6,785,364</w:t>
            </w:r>
          </w:p>
        </w:tc>
        <w:tc>
          <w:tcPr>
            <w:tcW w:w="0" w:type="dxa"/>
            <w:vAlign w:val="bottom"/>
          </w:tcPr>
          <w:p>
            <w:pPr>
              <w:spacing w:after="0"/>
              <w:rPr>
                <w:sz w:val="1"/>
                <w:szCs w:val="1"/>
                <w:color w:val="auto"/>
              </w:rPr>
            </w:pPr>
          </w:p>
        </w:tc>
      </w:tr>
      <w:tr>
        <w:trPr>
          <w:trHeight w:val="243"/>
        </w:trPr>
        <w:tc>
          <w:tcPr>
            <w:tcW w:w="5980" w:type="dxa"/>
            <w:vAlign w:val="bottom"/>
            <w:gridSpan w:val="2"/>
          </w:tcPr>
          <w:p>
            <w:pPr>
              <w:ind w:left="40"/>
              <w:spacing w:after="0"/>
              <w:rPr>
                <w:sz w:val="20"/>
                <w:szCs w:val="20"/>
                <w:color w:val="auto"/>
              </w:rPr>
            </w:pPr>
            <w:r>
              <w:rPr>
                <w:rFonts w:ascii="Arial" w:cs="Arial" w:eastAsia="Arial" w:hAnsi="Arial"/>
                <w:sz w:val="16"/>
                <w:szCs w:val="16"/>
                <w:b w:val="1"/>
                <w:bCs w:val="1"/>
                <w:color w:val="auto"/>
              </w:rPr>
              <w:t>Total</w:t>
            </w: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10,786,346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6,785,364</w:t>
            </w:r>
          </w:p>
        </w:tc>
        <w:tc>
          <w:tcPr>
            <w:tcW w:w="0" w:type="dxa"/>
            <w:vAlign w:val="bottom"/>
          </w:tcPr>
          <w:p>
            <w:pPr>
              <w:spacing w:after="0"/>
              <w:rPr>
                <w:sz w:val="1"/>
                <w:szCs w:val="1"/>
                <w:color w:val="auto"/>
              </w:rPr>
            </w:pPr>
          </w:p>
        </w:tc>
      </w:tr>
      <w:tr>
        <w:trPr>
          <w:trHeight w:val="20"/>
        </w:trPr>
        <w:tc>
          <w:tcPr>
            <w:tcW w:w="5860" w:type="dxa"/>
            <w:vAlign w:val="bottom"/>
            <w:vMerge w:val="restart"/>
          </w:tcPr>
          <w:p>
            <w:pPr>
              <w:jc w:val="right"/>
              <w:ind w:right="3988"/>
              <w:spacing w:after="0"/>
              <w:rPr>
                <w:sz w:val="20"/>
                <w:szCs w:val="20"/>
                <w:color w:val="auto"/>
              </w:rPr>
            </w:pPr>
            <w:r>
              <w:rPr>
                <w:rFonts w:ascii="Arial" w:cs="Arial" w:eastAsia="Arial" w:hAnsi="Arial"/>
                <w:sz w:val="11"/>
                <w:szCs w:val="11"/>
                <w:b w:val="1"/>
                <w:bCs w:val="1"/>
                <w:color w:val="auto"/>
                <w:w w:val="88"/>
              </w:rPr>
              <w:t>_________________________________</w:t>
            </w: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58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Realized gain does not include amounts held in escrow or any realized gain or loss incurred on the maturity of our U.S. Treasury investments.</w:t>
      </w:r>
    </w:p>
    <w:p>
      <w:pPr>
        <w:spacing w:after="0" w:line="5" w:lineRule="exact"/>
        <w:rPr>
          <w:rFonts w:ascii="Arial" w:cs="Arial" w:eastAsia="Arial" w:hAnsi="Arial"/>
          <w:sz w:val="16"/>
          <w:szCs w:val="16"/>
          <w:color w:val="auto"/>
        </w:rPr>
      </w:pPr>
    </w:p>
    <w:p>
      <w:pPr>
        <w:ind w:left="500" w:right="20" w:hanging="492"/>
        <w:spacing w:after="0" w:line="257"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January 31, 2020, Parchment, Inc. closed a merger with Credentials Solutions. As a result of the transaction, we received $10,786,346 in net proceeds and expect to receive approximately $110,000 in additional proceeds currently held in escrow.</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three months ended March 31, 2020, we did not write-off any investments and our CUX, Inc. (d/b/a CorpU) Series D preferred warrants with a strike price of $4.59, expired on February 14, 2020.</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the COVID-19 situation continues to evolve, we are maintaining close communications with our portfolio companies to proactively assess and manage potential risks across our investment portfolio.</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During the three months ended March 31, 2019, we funded investments in an aggregate amount of $10,000,000 (not including capitalized transaction costs) as shown in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Borders>
              <w:bottom w:val="single" w:sz="8" w:color="CCEEFF"/>
            </w:tcBorders>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Transaction Date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w w:val="86"/>
              </w:rPr>
              <w:t>Gross Payments</w:t>
            </w:r>
          </w:p>
        </w:tc>
      </w:tr>
      <w:tr>
        <w:trPr>
          <w:trHeight w:val="256"/>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Neutron Holdings, Inc. (d/b/a/ Lime)</w:t>
            </w:r>
          </w:p>
        </w:tc>
        <w:tc>
          <w:tcPr>
            <w:tcW w:w="3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Preferred shares, Series D</w:t>
            </w:r>
          </w:p>
        </w:tc>
        <w:tc>
          <w:tcPr>
            <w:tcW w:w="1120" w:type="dxa"/>
            <w:vAlign w:val="bottom"/>
            <w:tcBorders>
              <w:bottom w:val="single" w:sz="8" w:color="CCEEFF"/>
            </w:tcBorders>
            <w:shd w:val="clear" w:color="auto" w:fill="CCEEFF"/>
          </w:tcPr>
          <w:p>
            <w:pPr>
              <w:jc w:val="right"/>
              <w:ind w:right="164"/>
              <w:spacing w:after="0"/>
              <w:rPr>
                <w:sz w:val="20"/>
                <w:szCs w:val="20"/>
                <w:color w:val="auto"/>
              </w:rPr>
            </w:pPr>
            <w:r>
              <w:rPr>
                <w:rFonts w:ascii="Arial" w:cs="Arial" w:eastAsia="Arial" w:hAnsi="Arial"/>
                <w:sz w:val="16"/>
                <w:szCs w:val="16"/>
                <w:color w:val="auto"/>
              </w:rPr>
              <w:t>1/25/2019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10,000,000</w:t>
            </w:r>
          </w:p>
        </w:tc>
      </w:tr>
      <w:tr>
        <w:trPr>
          <w:trHeight w:val="244"/>
        </w:trPr>
        <w:tc>
          <w:tcPr>
            <w:tcW w:w="508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3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10,000,000</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2019, we capitalized fees of $8,040.</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three months ended March 31, 2019, we sold investments in an amount of $11,871,346, net of transaction costs, and realized a net loss on investments of approximately $4,065,693 (including U.S. Treasury investments) as shown in following table: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Portfolio Investment</w:t>
            </w:r>
          </w:p>
        </w:tc>
        <w:tc>
          <w:tcPr>
            <w:tcW w:w="120" w:type="dxa"/>
            <w:vAlign w:val="bottom"/>
            <w:vMerge w:val="restart"/>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Transaction</w:t>
            </w:r>
          </w:p>
        </w:tc>
        <w:tc>
          <w:tcPr>
            <w:tcW w:w="126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Shares Sold</w:t>
            </w:r>
          </w:p>
        </w:tc>
        <w:tc>
          <w:tcPr>
            <w:tcW w:w="120" w:type="dxa"/>
            <w:vAlign w:val="bottom"/>
            <w:vMerge w:val="restart"/>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 Net Share</w:t>
            </w:r>
          </w:p>
        </w:tc>
        <w:tc>
          <w:tcPr>
            <w:tcW w:w="160" w:type="dxa"/>
            <w:vAlign w:val="bottom"/>
          </w:tcPr>
          <w:p>
            <w:pPr>
              <w:spacing w:after="0"/>
              <w:rPr>
                <w:sz w:val="14"/>
                <w:szCs w:val="14"/>
                <w:color w:val="auto"/>
              </w:rPr>
            </w:pPr>
          </w:p>
        </w:tc>
        <w:tc>
          <w:tcPr>
            <w:tcW w:w="106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w w:val="91"/>
              </w:rPr>
              <w:t>Net Proceeds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263"/>
              <w:spacing w:after="0"/>
              <w:rPr>
                <w:sz w:val="20"/>
                <w:szCs w:val="20"/>
                <w:color w:val="auto"/>
              </w:rPr>
            </w:pPr>
            <w:r>
              <w:rPr>
                <w:rFonts w:ascii="Arial" w:cs="Arial" w:eastAsia="Arial" w:hAnsi="Arial"/>
                <w:sz w:val="14"/>
                <w:szCs w:val="14"/>
                <w:b w:val="1"/>
                <w:bCs w:val="1"/>
                <w:color w:val="auto"/>
              </w:rPr>
              <w:t>Realized</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6"/>
              </w:rPr>
              <w:t>Gain/(Loss)</w:t>
            </w:r>
            <w:r>
              <w:rPr>
                <w:rFonts w:ascii="Arial" w:cs="Arial" w:eastAsia="Arial" w:hAnsi="Arial"/>
                <w:sz w:val="8"/>
                <w:szCs w:val="8"/>
                <w:b w:val="1"/>
                <w:bCs w:val="1"/>
                <w:color w:val="auto"/>
                <w:w w:val="96"/>
              </w:rPr>
              <w:t>(2)</w:t>
            </w:r>
          </w:p>
        </w:tc>
        <w:tc>
          <w:tcPr>
            <w:tcW w:w="0" w:type="dxa"/>
            <w:vAlign w:val="bottom"/>
          </w:tcPr>
          <w:p>
            <w:pPr>
              <w:spacing w:after="0"/>
              <w:rPr>
                <w:sz w:val="1"/>
                <w:szCs w:val="1"/>
                <w:color w:val="auto"/>
              </w:rPr>
            </w:pPr>
          </w:p>
        </w:tc>
      </w:tr>
      <w:tr>
        <w:trPr>
          <w:trHeight w:val="256"/>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Declara, Inc.</w:t>
            </w:r>
            <w:r>
              <w:rPr>
                <w:rFonts w:ascii="Arial" w:cs="Arial" w:eastAsia="Arial" w:hAnsi="Arial"/>
                <w:sz w:val="21"/>
                <w:szCs w:val="21"/>
                <w:color w:val="auto"/>
                <w:vertAlign w:val="superscript"/>
              </w:rPr>
              <w:t>(3)</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3/11/2019</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(12,334,151)</w:t>
            </w:r>
          </w:p>
        </w:tc>
        <w:tc>
          <w:tcPr>
            <w:tcW w:w="0" w:type="dxa"/>
            <w:vAlign w:val="bottom"/>
          </w:tcPr>
          <w:p>
            <w:pPr>
              <w:spacing w:after="0"/>
              <w:rPr>
                <w:sz w:val="1"/>
                <w:szCs w:val="1"/>
                <w:color w:val="auto"/>
              </w:rPr>
            </w:pPr>
          </w:p>
        </w:tc>
      </w:tr>
      <w:tr>
        <w:trPr>
          <w:trHeight w:val="270"/>
        </w:trPr>
        <w:tc>
          <w:tcPr>
            <w:tcW w:w="4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Spotify Technology S.A.</w:t>
            </w:r>
            <w:r>
              <w:rPr>
                <w:rFonts w:ascii="Arial" w:cs="Arial" w:eastAsia="Arial" w:hAnsi="Arial"/>
                <w:sz w:val="21"/>
                <w:szCs w:val="21"/>
                <w:color w:val="auto"/>
                <w:vertAlign w:val="superscript"/>
              </w:rPr>
              <w:t>(4)</w:t>
            </w:r>
          </w:p>
        </w:tc>
        <w:tc>
          <w:tcPr>
            <w:tcW w:w="13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6"/>
                <w:szCs w:val="16"/>
                <w:color w:val="auto"/>
                <w:w w:val="92"/>
              </w:rPr>
              <w:t>Various</w:t>
            </w:r>
          </w:p>
        </w:tc>
        <w:tc>
          <w:tcPr>
            <w:tcW w:w="126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85,000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98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rPr>
              <w:t>139.66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11,871,346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8,259,563</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11,871,346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(4,074,588)</w:t>
            </w: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6"/>
                <w:szCs w:val="16"/>
                <w:b w:val="1"/>
                <w:bCs w:val="1"/>
                <w:color w:val="auto"/>
              </w:rPr>
              <w:t>__________________</w:t>
            </w: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average net share price is the net share price realized after deducting all commissions and fees on the sale(s), if applicable.</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Realized gain/(loss) does not include amounts held in escrow or any realized gain or loss incurred on the maturity of our U.S. Treasury investments.</w:t>
      </w:r>
    </w:p>
    <w:p>
      <w:pPr>
        <w:spacing w:after="0" w:line="5" w:lineRule="exact"/>
        <w:rPr>
          <w:rFonts w:ascii="Arial" w:cs="Arial" w:eastAsia="Arial" w:hAnsi="Arial"/>
          <w:sz w:val="16"/>
          <w:szCs w:val="16"/>
          <w:color w:val="auto"/>
        </w:rPr>
      </w:pPr>
    </w:p>
    <w:p>
      <w:pPr>
        <w:jc w:val="both"/>
        <w:ind w:left="500" w:hanging="492"/>
        <w:spacing w:after="0" w:line="246"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March 11, 2019, Declara, Inc. entered into a definitive agreement to be acquired by Declara Holdings, Inc., a subsidiary of Futuryng, Inc. Despite the existence of an earn-out provision, as a result of the transaction, the Company does not expect to receive any proceeds. The exit of Declara, Inc. included a 12% Convertible Promissory Note with a principal value of $2,334,152.</w:t>
      </w:r>
    </w:p>
    <w:p>
      <w:pPr>
        <w:spacing w:after="0" w:line="1" w:lineRule="exact"/>
        <w:rPr>
          <w:rFonts w:ascii="Arial" w:cs="Arial" w:eastAsia="Arial" w:hAnsi="Arial"/>
          <w:sz w:val="16"/>
          <w:szCs w:val="16"/>
          <w:color w:val="auto"/>
        </w:rPr>
      </w:pPr>
    </w:p>
    <w:p>
      <w:pPr>
        <w:ind w:left="500" w:hanging="492"/>
        <w:spacing w:after="0" w:line="257"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6"/>
          <w:szCs w:val="16"/>
          <w:color w:val="auto"/>
        </w:rPr>
        <w:t>The sale of Spotify Technology S.A. shares on March 28, 2019 settled subsequent to quarter end. As of March 31, 2019, we held 150,360 remaining shares of Spotify Technology S.A..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March 31, 2019, we did not write-off any investments.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2019</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for the three months ended March 31, 2020 and 2019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8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5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639"/>
              <w:spacing w:after="0"/>
              <w:rPr>
                <w:sz w:val="20"/>
                <w:szCs w:val="20"/>
                <w:color w:val="auto"/>
              </w:rPr>
            </w:pPr>
            <w:r>
              <w:rPr>
                <w:rFonts w:ascii="Arial" w:cs="Arial" w:eastAsia="Arial" w:hAnsi="Arial"/>
                <w:sz w:val="16"/>
                <w:szCs w:val="16"/>
                <w:b w:val="1"/>
                <w:bCs w:val="1"/>
                <w:color w:val="auto"/>
              </w:rPr>
              <w:t>2019</w:t>
            </w:r>
          </w:p>
        </w:tc>
      </w:tr>
      <w:tr>
        <w:trPr>
          <w:trHeight w:val="33"/>
        </w:trPr>
        <w:tc>
          <w:tcPr>
            <w:tcW w:w="75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Investment Income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251,763</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227,250</w:t>
            </w: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175,513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227,250</w:t>
            </w:r>
          </w:p>
        </w:tc>
      </w:tr>
      <w:tr>
        <w:trPr>
          <w:trHeight w:val="33"/>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 income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Total Operating Expenses</w:t>
            </w: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b w:val="1"/>
                <w:bCs w:val="1"/>
                <w:color w:val="auto"/>
              </w:rPr>
              <w:t>3,256,316</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(392,452)</w:t>
            </w:r>
          </w:p>
        </w:tc>
      </w:tr>
      <w:tr>
        <w:trPr>
          <w:trHeight w:val="33"/>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Management fees</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848,723</w:t>
            </w: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Incentive fees/(Reversal of incentive fee accrual)</w:t>
            </w:r>
          </w:p>
        </w:tc>
        <w:tc>
          <w:tcPr>
            <w:tcW w:w="42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(4,660,472)</w:t>
            </w:r>
          </w:p>
        </w:tc>
      </w:tr>
      <w:tr>
        <w:trPr>
          <w:trHeight w:val="33"/>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Costs incurred under Administration Agreement</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306,084</w:t>
            </w: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Directors’ fees</w:t>
            </w: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111,250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86,250</w:t>
            </w:r>
          </w:p>
        </w:tc>
      </w:tr>
      <w:tr>
        <w:trPr>
          <w:trHeight w:val="33"/>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Professional fees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1,139,366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2,061,922</w:t>
            </w: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Compensation expense</w:t>
            </w: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924,916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573,400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604,168</w:t>
            </w:r>
          </w:p>
        </w:tc>
      </w:tr>
      <w:tr>
        <w:trPr>
          <w:trHeight w:val="237"/>
        </w:trPr>
        <w:tc>
          <w:tcPr>
            <w:tcW w:w="7540" w:type="dxa"/>
            <w:vAlign w:val="bottom"/>
          </w:tcPr>
          <w:p>
            <w:pPr>
              <w:ind w:left="180"/>
              <w:spacing w:after="0"/>
              <w:rPr>
                <w:sz w:val="20"/>
                <w:szCs w:val="20"/>
                <w:color w:val="auto"/>
              </w:rPr>
            </w:pPr>
            <w:r>
              <w:rPr>
                <w:rFonts w:ascii="Arial" w:cs="Arial" w:eastAsia="Arial" w:hAnsi="Arial"/>
                <w:sz w:val="16"/>
                <w:szCs w:val="16"/>
                <w:color w:val="auto"/>
              </w:rPr>
              <w:t>Tax expense</w:t>
            </w: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8,665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3,763</w:t>
            </w:r>
          </w:p>
        </w:tc>
      </w:tr>
      <w:tr>
        <w:trPr>
          <w:trHeight w:val="33"/>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expenses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498,719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357,110</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Net Investment Income/(Loss)</w:t>
            </w: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(3,004,553)</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619,702</w:t>
            </w:r>
          </w:p>
        </w:tc>
      </w:tr>
      <w:tr>
        <w:trPr>
          <w:trHeight w:val="33"/>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realized gain/(loss) on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6,978,240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(4,065,693)</w:t>
            </w:r>
          </w:p>
        </w:tc>
      </w:tr>
      <w:tr>
        <w:trPr>
          <w:trHeight w:val="237"/>
        </w:trPr>
        <w:tc>
          <w:tcPr>
            <w:tcW w:w="7540" w:type="dxa"/>
            <w:vAlign w:val="bottom"/>
          </w:tcPr>
          <w:p>
            <w:pPr>
              <w:ind w:left="120"/>
              <w:spacing w:after="0"/>
              <w:rPr>
                <w:sz w:val="20"/>
                <w:szCs w:val="20"/>
                <w:color w:val="auto"/>
              </w:rPr>
            </w:pPr>
            <w:r>
              <w:rPr>
                <w:rFonts w:ascii="Arial" w:cs="Arial" w:eastAsia="Arial" w:hAnsi="Arial"/>
                <w:sz w:val="16"/>
                <w:szCs w:val="16"/>
                <w:color w:val="auto"/>
              </w:rPr>
              <w:t>Net change in unrealized appreciation/(depreciation) of investments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(27,665,934)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20,699,751</w:t>
            </w:r>
          </w:p>
        </w:tc>
      </w:tr>
      <w:tr>
        <w:trPr>
          <w:trHeight w:val="33"/>
        </w:trPr>
        <w:tc>
          <w:tcPr>
            <w:tcW w:w="7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Provision for taxes on unrealized appreciation of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(94,147)</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Net Increase/(Decrease) in Net Assets Resulting from Operations</w:t>
            </w: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(23,692,247)</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17,159,613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-3064510</wp:posOffset>
            </wp:positionV>
            <wp:extent cx="47834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351"/>
        <w:spacing w:after="0" w:line="301" w:lineRule="auto"/>
        <w:rPr>
          <w:sz w:val="20"/>
          <w:szCs w:val="20"/>
          <w:color w:val="auto"/>
        </w:rPr>
      </w:pPr>
      <w:r>
        <w:rPr>
          <w:rFonts w:ascii="Arial" w:cs="Arial" w:eastAsia="Arial" w:hAnsi="Arial"/>
          <w:sz w:val="16"/>
          <w:szCs w:val="16"/>
          <w:color w:val="auto"/>
        </w:rPr>
        <w:t>Investment income increased to $251,763 for the three months ended March 31, 2020 from $227,250 for the three months ended March 31, 2019. The net increase between periods was not material and was generally due to increased dividend income received from Treehouse Real Estate Investment Trust, Inc. and GreenAcreage Real Estate Corp. and decreased accrued interest income due to renegotiation of certain debt investments and the placement of some debt investments on non-accrual status during the three months ended March 31, 2020, relative to the three months ended March 31, 2019.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8"/>
          <w:szCs w:val="18"/>
          <w:color w:val="auto"/>
        </w:rPr>
        <w:t>Total operating expenses increased to $3,256,316 for the three months ended March 31, 2020, from $392,452 in net operating income for the three months ended March 31, 2019. The increase in operating expenses was primarily due to the reversal of the incentive fee accrual as a result of our Internalization during the three months ended March 31, 2019 and the inclusion of compensation expense during the three months ended March 31, 2020. The notable increases are partially offset by the removal of fees and expenses related to the Investment Advisory Agreement and Administration Agreements and a significant reduction in professional fees for the three months ended March 31, 2020 compared to the three months ended March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Income/(Loss)</w:t>
      </w:r>
    </w:p>
    <w:p>
      <w:pPr>
        <w:spacing w:after="0" w:line="225"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8"/>
          <w:szCs w:val="18"/>
          <w:color w:val="auto"/>
        </w:rPr>
        <w:t>For the three months ended March 31, 2020, we recognized net investment loss of $3,004,553, compared to net investment income of $619,702 for the three months ended March 31, 2019. The change between periods resulted from the increase in operating expenses offset by the increase in total investment income between periods, as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Gain/(Loss) on Investments</w:t>
      </w:r>
    </w:p>
    <w:p>
      <w:pPr>
        <w:spacing w:after="0" w:line="225"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For the three months ended March 31, 2020, we recognized a net realized gain on our investments of $6,978,240, compared to net realized loss of $4,065,693 for the three months ended March 31, 2019. The components of our net realized gains/losses on</w:t>
      </w:r>
    </w:p>
    <w:p>
      <w:pPr>
        <w:sectPr>
          <w:pgSz w:w="11900" w:h="16838" w:orient="portrait"/>
          <w:cols w:equalWidth="0" w:num="1">
            <w:col w:w="11240"/>
          </w:cols>
          <w:pgMar w:left="320" w:top="122"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40"/>
          </w:cols>
          <w:pgMar w:left="320" w:top="122" w:right="339" w:bottom="1440" w:gutter="0" w:footer="0" w:header="0"/>
          <w:type w:val="continuous"/>
        </w:sectPr>
      </w:pPr>
    </w:p>
    <w:bookmarkStart w:id="60" w:name="page61"/>
    <w:bookmarkEnd w:id="6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portfolio investments for the three months ended March 31, 2020 and 2019, excluding U.S. Treasury investments, are reflected in the tables above, under “—Portfolio and Investment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For the three months ended March 31, 2020, we had a net decrease in unrealized appreciation/depreciation of $27,665,934. For the three months ended March 31, 2019, we had a net increase in unrealized appreciation/depreciation of $20,699,751. The following tables summarize, by portfolio company, the significant changes in unrealized appreciation and/or depreciation of our investment portfolio for the three months ended March 31, 2020 and 2019.</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Net Change in Unrealized</w:t>
            </w:r>
          </w:p>
        </w:tc>
        <w:tc>
          <w:tcPr>
            <w:tcW w:w="1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Net Change in Unrealized</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4"/>
              </w:rPr>
              <w:t>Appreciation/(Depreciation) For</w:t>
            </w:r>
          </w:p>
        </w:tc>
        <w:tc>
          <w:tcPr>
            <w:tcW w:w="0" w:type="dxa"/>
            <w:vAlign w:val="bottom"/>
          </w:tcPr>
          <w:p>
            <w:pPr>
              <w:spacing w:after="0"/>
              <w:rPr>
                <w:sz w:val="1"/>
                <w:szCs w:val="1"/>
                <w:color w:val="auto"/>
              </w:rPr>
            </w:pPr>
          </w:p>
        </w:tc>
      </w:tr>
      <w:tr>
        <w:trPr>
          <w:trHeight w:val="148"/>
        </w:trPr>
        <w:tc>
          <w:tcPr>
            <w:tcW w:w="3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23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Appreciation/(Depreciation) For the</w:t>
            </w:r>
          </w:p>
        </w:tc>
        <w:tc>
          <w:tcPr>
            <w:tcW w:w="120" w:type="dxa"/>
            <w:vAlign w:val="bottom"/>
          </w:tcPr>
          <w:p>
            <w:pPr>
              <w:spacing w:after="0"/>
              <w:rPr>
                <w:sz w:val="12"/>
                <w:szCs w:val="12"/>
                <w:color w:val="auto"/>
              </w:rPr>
            </w:pPr>
          </w:p>
        </w:tc>
        <w:tc>
          <w:tcPr>
            <w:tcW w:w="312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1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4"/>
              </w:rPr>
              <w:t>the Three Months Ended March</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3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Three Months Ended March 31, 2020</w:t>
            </w:r>
          </w:p>
        </w:tc>
        <w:tc>
          <w:tcPr>
            <w:tcW w:w="120" w:type="dxa"/>
            <w:vAlign w:val="bottom"/>
            <w:tcBorders>
              <w:bottom w:val="single" w:sz="8" w:color="CCEEFF"/>
            </w:tcBorders>
          </w:tcPr>
          <w:p>
            <w:pPr>
              <w:spacing w:after="0"/>
              <w:rPr>
                <w:sz w:val="16"/>
                <w:szCs w:val="16"/>
                <w:color w:val="auto"/>
              </w:rPr>
            </w:pPr>
          </w:p>
        </w:tc>
        <w:tc>
          <w:tcPr>
            <w:tcW w:w="3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31, 2019</w:t>
            </w:r>
          </w:p>
        </w:tc>
        <w:tc>
          <w:tcPr>
            <w:tcW w:w="0" w:type="dxa"/>
            <w:vAlign w:val="bottom"/>
          </w:tcPr>
          <w:p>
            <w:pPr>
              <w:spacing w:after="0"/>
              <w:rPr>
                <w:sz w:val="1"/>
                <w:szCs w:val="1"/>
                <w:color w:val="auto"/>
              </w:rPr>
            </w:pPr>
          </w:p>
        </w:tc>
      </w:tr>
      <w:tr>
        <w:trPr>
          <w:trHeight w:val="256"/>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Coursera, Inc.</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1,137,694</w:t>
            </w:r>
          </w:p>
        </w:tc>
        <w:tc>
          <w:tcPr>
            <w:tcW w:w="120" w:type="dxa"/>
            <w:vAlign w:val="bottom"/>
            <w:shd w:val="clear" w:color="auto" w:fill="CCEEFF"/>
          </w:tcPr>
          <w:p>
            <w:pPr>
              <w:spacing w:after="0"/>
              <w:rPr>
                <w:sz w:val="22"/>
                <w:szCs w:val="22"/>
                <w:color w:val="auto"/>
              </w:rPr>
            </w:pP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Declara, Inc.</w:t>
            </w:r>
            <w:r>
              <w:rPr>
                <w:rFonts w:ascii="Arial" w:cs="Arial" w:eastAsia="Arial" w:hAnsi="Arial"/>
                <w:sz w:val="21"/>
                <w:szCs w:val="21"/>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12,334,151</w:t>
            </w:r>
          </w:p>
        </w:tc>
        <w:tc>
          <w:tcPr>
            <w:tcW w:w="0" w:type="dxa"/>
            <w:vAlign w:val="bottom"/>
          </w:tcPr>
          <w:p>
            <w:pPr>
              <w:spacing w:after="0"/>
              <w:rPr>
                <w:sz w:val="1"/>
                <w:szCs w:val="1"/>
                <w:color w:val="auto"/>
              </w:rPr>
            </w:pPr>
          </w:p>
        </w:tc>
      </w:tr>
      <w:tr>
        <w:trPr>
          <w:trHeight w:val="237"/>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Course Hero, Inc.</w:t>
            </w:r>
          </w:p>
        </w:tc>
        <w:tc>
          <w:tcPr>
            <w:tcW w:w="2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(1,038,511)</w:t>
            </w:r>
          </w:p>
        </w:tc>
        <w:tc>
          <w:tcPr>
            <w:tcW w:w="120" w:type="dxa"/>
            <w:vAlign w:val="bottom"/>
          </w:tcPr>
          <w:p>
            <w:pPr>
              <w:spacing w:after="0"/>
              <w:rPr>
                <w:sz w:val="20"/>
                <w:szCs w:val="20"/>
                <w:color w:val="auto"/>
              </w:rPr>
            </w:pPr>
          </w:p>
        </w:tc>
        <w:tc>
          <w:tcPr>
            <w:tcW w:w="3240" w:type="dxa"/>
            <w:vAlign w:val="bottom"/>
            <w:gridSpan w:val="2"/>
          </w:tcPr>
          <w:p>
            <w:pPr>
              <w:ind w:left="20"/>
              <w:spacing w:after="0"/>
              <w:rPr>
                <w:sz w:val="20"/>
                <w:szCs w:val="20"/>
                <w:color w:val="auto"/>
              </w:rPr>
            </w:pPr>
            <w:r>
              <w:rPr>
                <w:rFonts w:ascii="Arial" w:cs="Arial" w:eastAsia="Arial" w:hAnsi="Arial"/>
                <w:sz w:val="16"/>
                <w:szCs w:val="16"/>
                <w:color w:val="auto"/>
              </w:rPr>
              <w:t>Course Hero, Inc.</w:t>
            </w:r>
          </w:p>
        </w:tc>
        <w:tc>
          <w:tcPr>
            <w:tcW w:w="100" w:type="dxa"/>
            <w:vAlign w:val="bottom"/>
          </w:tcPr>
          <w:p>
            <w:pPr>
              <w:spacing w:after="0"/>
              <w:rPr>
                <w:sz w:val="20"/>
                <w:szCs w:val="20"/>
                <w:color w:val="auto"/>
              </w:rPr>
            </w:pPr>
          </w:p>
        </w:tc>
        <w:tc>
          <w:tcPr>
            <w:tcW w:w="2120" w:type="dxa"/>
            <w:vAlign w:val="bottom"/>
          </w:tcPr>
          <w:p>
            <w:pPr>
              <w:jc w:val="right"/>
              <w:ind w:right="21"/>
              <w:spacing w:after="0"/>
              <w:rPr>
                <w:sz w:val="20"/>
                <w:szCs w:val="20"/>
                <w:color w:val="auto"/>
              </w:rPr>
            </w:pPr>
            <w:r>
              <w:rPr>
                <w:rFonts w:ascii="Arial" w:cs="Arial" w:eastAsia="Arial" w:hAnsi="Arial"/>
                <w:sz w:val="16"/>
                <w:szCs w:val="16"/>
                <w:color w:val="auto"/>
              </w:rPr>
              <w:t>6,465,582</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Palantir Technologies, Inc.</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(1,039,264)</w:t>
            </w:r>
          </w:p>
        </w:tc>
        <w:tc>
          <w:tcPr>
            <w:tcW w:w="1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Lyft, Inc.</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6,465,404</w:t>
            </w:r>
          </w:p>
        </w:tc>
        <w:tc>
          <w:tcPr>
            <w:tcW w:w="0" w:type="dxa"/>
            <w:vAlign w:val="bottom"/>
          </w:tcPr>
          <w:p>
            <w:pPr>
              <w:spacing w:after="0"/>
              <w:rPr>
                <w:sz w:val="1"/>
                <w:szCs w:val="1"/>
                <w:color w:val="auto"/>
              </w:rPr>
            </w:pPr>
          </w:p>
        </w:tc>
      </w:tr>
      <w:tr>
        <w:trPr>
          <w:trHeight w:val="237"/>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NestGSV, Inc. (d/b/a GSV Labs, Inc.)</w:t>
            </w:r>
          </w:p>
        </w:tc>
        <w:tc>
          <w:tcPr>
            <w:tcW w:w="2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(2,494,963)</w:t>
            </w:r>
          </w:p>
        </w:tc>
        <w:tc>
          <w:tcPr>
            <w:tcW w:w="120" w:type="dxa"/>
            <w:vAlign w:val="bottom"/>
          </w:tcPr>
          <w:p>
            <w:pPr>
              <w:spacing w:after="0"/>
              <w:rPr>
                <w:sz w:val="20"/>
                <w:szCs w:val="20"/>
                <w:color w:val="auto"/>
              </w:rPr>
            </w:pPr>
          </w:p>
        </w:tc>
        <w:tc>
          <w:tcPr>
            <w:tcW w:w="3240" w:type="dxa"/>
            <w:vAlign w:val="bottom"/>
            <w:gridSpan w:val="2"/>
          </w:tcPr>
          <w:p>
            <w:pPr>
              <w:ind w:left="20"/>
              <w:spacing w:after="0"/>
              <w:rPr>
                <w:sz w:val="20"/>
                <w:szCs w:val="20"/>
                <w:color w:val="auto"/>
              </w:rPr>
            </w:pPr>
            <w:r>
              <w:rPr>
                <w:rFonts w:ascii="Arial" w:cs="Arial" w:eastAsia="Arial" w:hAnsi="Arial"/>
                <w:sz w:val="16"/>
                <w:szCs w:val="16"/>
                <w:color w:val="auto"/>
              </w:rPr>
              <w:t>Coursera, Inc.</w:t>
            </w:r>
          </w:p>
        </w:tc>
        <w:tc>
          <w:tcPr>
            <w:tcW w:w="100" w:type="dxa"/>
            <w:vAlign w:val="bottom"/>
          </w:tcPr>
          <w:p>
            <w:pPr>
              <w:spacing w:after="0"/>
              <w:rPr>
                <w:sz w:val="20"/>
                <w:szCs w:val="20"/>
                <w:color w:val="auto"/>
              </w:rPr>
            </w:pPr>
          </w:p>
        </w:tc>
        <w:tc>
          <w:tcPr>
            <w:tcW w:w="2120" w:type="dxa"/>
            <w:vAlign w:val="bottom"/>
          </w:tcPr>
          <w:p>
            <w:pPr>
              <w:jc w:val="right"/>
              <w:ind w:right="21"/>
              <w:spacing w:after="0"/>
              <w:rPr>
                <w:sz w:val="20"/>
                <w:szCs w:val="20"/>
                <w:color w:val="auto"/>
              </w:rPr>
            </w:pPr>
            <w:r>
              <w:rPr>
                <w:rFonts w:ascii="Arial" w:cs="Arial" w:eastAsia="Arial" w:hAnsi="Arial"/>
                <w:sz w:val="16"/>
                <w:szCs w:val="16"/>
                <w:color w:val="auto"/>
              </w:rPr>
              <w:t>5,573,492</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SharesPost, Inc.</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(2,549,092)</w:t>
            </w:r>
          </w:p>
        </w:tc>
        <w:tc>
          <w:tcPr>
            <w:tcW w:w="1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Enjoy Technology, Inc.</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3,624,952</w:t>
            </w:r>
          </w:p>
        </w:tc>
        <w:tc>
          <w:tcPr>
            <w:tcW w:w="0" w:type="dxa"/>
            <w:vAlign w:val="bottom"/>
          </w:tcPr>
          <w:p>
            <w:pPr>
              <w:spacing w:after="0"/>
              <w:rPr>
                <w:sz w:val="1"/>
                <w:szCs w:val="1"/>
                <w:color w:val="auto"/>
              </w:rPr>
            </w:pPr>
          </w:p>
        </w:tc>
      </w:tr>
      <w:tr>
        <w:trPr>
          <w:trHeight w:val="237"/>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Ozy Media, Inc.</w:t>
            </w:r>
          </w:p>
        </w:tc>
        <w:tc>
          <w:tcPr>
            <w:tcW w:w="2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(6,349,135)</w:t>
            </w:r>
          </w:p>
        </w:tc>
        <w:tc>
          <w:tcPr>
            <w:tcW w:w="120" w:type="dxa"/>
            <w:vAlign w:val="bottom"/>
          </w:tcPr>
          <w:p>
            <w:pPr>
              <w:spacing w:after="0"/>
              <w:rPr>
                <w:sz w:val="20"/>
                <w:szCs w:val="20"/>
                <w:color w:val="auto"/>
              </w:rPr>
            </w:pPr>
          </w:p>
        </w:tc>
        <w:tc>
          <w:tcPr>
            <w:tcW w:w="3240" w:type="dxa"/>
            <w:vAlign w:val="bottom"/>
            <w:gridSpan w:val="2"/>
          </w:tcPr>
          <w:p>
            <w:pPr>
              <w:ind w:left="20"/>
              <w:spacing w:after="0"/>
              <w:rPr>
                <w:sz w:val="20"/>
                <w:szCs w:val="20"/>
                <w:color w:val="auto"/>
              </w:rPr>
            </w:pPr>
            <w:r>
              <w:rPr>
                <w:rFonts w:ascii="Arial" w:cs="Arial" w:eastAsia="Arial" w:hAnsi="Arial"/>
                <w:sz w:val="16"/>
                <w:szCs w:val="16"/>
                <w:color w:val="auto"/>
              </w:rPr>
              <w:t>Dropbox, Inc.</w:t>
            </w:r>
          </w:p>
        </w:tc>
        <w:tc>
          <w:tcPr>
            <w:tcW w:w="100" w:type="dxa"/>
            <w:vAlign w:val="bottom"/>
          </w:tcPr>
          <w:p>
            <w:pPr>
              <w:spacing w:after="0"/>
              <w:rPr>
                <w:sz w:val="20"/>
                <w:szCs w:val="20"/>
                <w:color w:val="auto"/>
              </w:rPr>
            </w:pPr>
          </w:p>
        </w:tc>
        <w:tc>
          <w:tcPr>
            <w:tcW w:w="2120" w:type="dxa"/>
            <w:vAlign w:val="bottom"/>
          </w:tcPr>
          <w:p>
            <w:pPr>
              <w:jc w:val="right"/>
              <w:ind w:right="21"/>
              <w:spacing w:after="0"/>
              <w:rPr>
                <w:sz w:val="20"/>
                <w:szCs w:val="20"/>
                <w:color w:val="auto"/>
              </w:rPr>
            </w:pPr>
            <w:r>
              <w:rPr>
                <w:rFonts w:ascii="Arial" w:cs="Arial" w:eastAsia="Arial" w:hAnsi="Arial"/>
                <w:sz w:val="16"/>
                <w:szCs w:val="16"/>
                <w:color w:val="auto"/>
              </w:rPr>
              <w:t>1,198,736</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Parchment, Inc.</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(6,895,603)</w:t>
            </w:r>
          </w:p>
        </w:tc>
        <w:tc>
          <w:tcPr>
            <w:tcW w:w="120" w:type="dxa"/>
            <w:vAlign w:val="bottom"/>
            <w:shd w:val="clear" w:color="auto" w:fill="CCEEFF"/>
          </w:tcPr>
          <w:p>
            <w:pPr>
              <w:spacing w:after="0"/>
              <w:rPr>
                <w:sz w:val="23"/>
                <w:szCs w:val="23"/>
                <w:color w:val="auto"/>
              </w:rPr>
            </w:pP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Stormwind, LLC</w:t>
            </w:r>
          </w:p>
        </w:tc>
        <w:tc>
          <w:tcPr>
            <w:tcW w:w="100" w:type="dxa"/>
            <w:vAlign w:val="bottom"/>
            <w:shd w:val="clear" w:color="auto" w:fill="CCEEFF"/>
          </w:tcPr>
          <w:p>
            <w:pPr>
              <w:spacing w:after="0"/>
              <w:rPr>
                <w:sz w:val="23"/>
                <w:szCs w:val="23"/>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(1,002,245)</w:t>
            </w:r>
          </w:p>
        </w:tc>
        <w:tc>
          <w:tcPr>
            <w:tcW w:w="0" w:type="dxa"/>
            <w:vAlign w:val="bottom"/>
          </w:tcPr>
          <w:p>
            <w:pPr>
              <w:spacing w:after="0"/>
              <w:rPr>
                <w:sz w:val="1"/>
                <w:szCs w:val="1"/>
                <w:color w:val="auto"/>
              </w:rPr>
            </w:pPr>
          </w:p>
        </w:tc>
      </w:tr>
      <w:tr>
        <w:trPr>
          <w:trHeight w:val="237"/>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Neutron Holdings, Inc. (d/b/a/ Lime)</w:t>
            </w:r>
          </w:p>
        </w:tc>
        <w:tc>
          <w:tcPr>
            <w:tcW w:w="26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(6,451,613)</w:t>
            </w:r>
          </w:p>
        </w:tc>
        <w:tc>
          <w:tcPr>
            <w:tcW w:w="120" w:type="dxa"/>
            <w:vAlign w:val="bottom"/>
          </w:tcPr>
          <w:p>
            <w:pPr>
              <w:spacing w:after="0"/>
              <w:rPr>
                <w:sz w:val="20"/>
                <w:szCs w:val="20"/>
                <w:color w:val="auto"/>
              </w:rPr>
            </w:pPr>
          </w:p>
        </w:tc>
        <w:tc>
          <w:tcPr>
            <w:tcW w:w="3240" w:type="dxa"/>
            <w:vAlign w:val="bottom"/>
            <w:gridSpan w:val="2"/>
          </w:tcPr>
          <w:p>
            <w:pPr>
              <w:ind w:left="20"/>
              <w:spacing w:after="0"/>
              <w:rPr>
                <w:sz w:val="20"/>
                <w:szCs w:val="20"/>
                <w:color w:val="auto"/>
              </w:rPr>
            </w:pPr>
            <w:r>
              <w:rPr>
                <w:rFonts w:ascii="Arial" w:cs="Arial" w:eastAsia="Arial" w:hAnsi="Arial"/>
                <w:sz w:val="16"/>
                <w:szCs w:val="16"/>
                <w:color w:val="auto"/>
              </w:rPr>
              <w:t>Ozy Media, Inc.</w:t>
            </w:r>
          </w:p>
        </w:tc>
        <w:tc>
          <w:tcPr>
            <w:tcW w:w="1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(1,576,788)</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CUX, Inc. (d/b/a CorpU)</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(1,741,045)</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2"/>
          </w:tcPr>
          <w:p>
            <w:pPr>
              <w:ind w:left="20"/>
              <w:spacing w:after="0"/>
              <w:rPr>
                <w:sz w:val="20"/>
                <w:szCs w:val="20"/>
                <w:color w:val="auto"/>
              </w:rPr>
            </w:pPr>
            <w:r>
              <w:rPr>
                <w:rFonts w:ascii="Arial" w:cs="Arial" w:eastAsia="Arial" w:hAnsi="Arial"/>
                <w:sz w:val="16"/>
                <w:szCs w:val="16"/>
                <w:color w:val="auto"/>
              </w:rPr>
              <w:t>Knewton, Inc.</w:t>
            </w:r>
          </w:p>
        </w:tc>
        <w:tc>
          <w:tcPr>
            <w:tcW w:w="1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(2,122,494)</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Spotify Technology S.A.</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23"/>
                <w:szCs w:val="23"/>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(2,231,608)</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40" w:type="dxa"/>
            <w:vAlign w:val="bottom"/>
            <w:gridSpan w:val="2"/>
          </w:tcPr>
          <w:p>
            <w:pPr>
              <w:ind w:left="20"/>
              <w:spacing w:after="0"/>
              <w:rPr>
                <w:sz w:val="20"/>
                <w:szCs w:val="20"/>
                <w:color w:val="auto"/>
              </w:rPr>
            </w:pPr>
            <w:r>
              <w:rPr>
                <w:rFonts w:ascii="Arial" w:cs="Arial" w:eastAsia="Arial" w:hAnsi="Arial"/>
                <w:sz w:val="16"/>
                <w:szCs w:val="16"/>
                <w:color w:val="auto"/>
              </w:rPr>
              <w:t>NestGSV, Inc. (d/b/a GSV Labs, Inc.)</w:t>
            </w:r>
          </w:p>
        </w:tc>
        <w:tc>
          <w:tcPr>
            <w:tcW w:w="10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(4,528,993)</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Palantir Technologies, Inc.</w:t>
            </w:r>
          </w:p>
        </w:tc>
        <w:tc>
          <w:tcPr>
            <w:tcW w:w="10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(3,916,913)</w:t>
            </w:r>
          </w:p>
        </w:tc>
        <w:tc>
          <w:tcPr>
            <w:tcW w:w="0" w:type="dxa"/>
            <w:vAlign w:val="bottom"/>
          </w:tcPr>
          <w:p>
            <w:pPr>
              <w:spacing w:after="0"/>
              <w:rPr>
                <w:sz w:val="1"/>
                <w:szCs w:val="1"/>
                <w:color w:val="auto"/>
              </w:rPr>
            </w:pPr>
          </w:p>
        </w:tc>
      </w:tr>
      <w:tr>
        <w:trPr>
          <w:trHeight w:val="270"/>
        </w:trPr>
        <w:tc>
          <w:tcPr>
            <w:tcW w:w="3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26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(1,985,447)</w:t>
            </w:r>
          </w:p>
        </w:tc>
        <w:tc>
          <w:tcPr>
            <w:tcW w:w="120" w:type="dxa"/>
            <w:vAlign w:val="bottom"/>
            <w:tcBorders>
              <w:bottom w:val="single" w:sz="8" w:color="CCEEFF"/>
            </w:tcBorders>
          </w:tcPr>
          <w:p>
            <w:pPr>
              <w:spacing w:after="0"/>
              <w:rPr>
                <w:sz w:val="23"/>
                <w:szCs w:val="23"/>
                <w:color w:val="auto"/>
              </w:rPr>
            </w:pPr>
          </w:p>
        </w:tc>
        <w:tc>
          <w:tcPr>
            <w:tcW w:w="3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0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2,157,520</w:t>
            </w: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(27,665,934)</w:t>
            </w:r>
          </w:p>
        </w:tc>
        <w:tc>
          <w:tcPr>
            <w:tcW w:w="120" w:type="dxa"/>
            <w:vAlign w:val="bottom"/>
            <w:tcBorders>
              <w:bottom w:val="single" w:sz="8" w:color="CCEEFF"/>
            </w:tcBorders>
            <w:shd w:val="clear" w:color="auto" w:fill="CCEEFF"/>
          </w:tcPr>
          <w:p>
            <w:pPr>
              <w:spacing w:after="0"/>
              <w:rPr>
                <w:sz w:val="21"/>
                <w:szCs w:val="21"/>
                <w:color w:val="auto"/>
              </w:rPr>
            </w:pPr>
          </w:p>
        </w:tc>
        <w:tc>
          <w:tcPr>
            <w:tcW w:w="3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20,699,751</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color w:val="auto"/>
              </w:rPr>
              <w:t>_____________________</w:t>
            </w: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line="249"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change in unrealized appreciation/depreciation reflected for these investments resulted from writing off an investment that was previously reduced in value to zero.</w:t>
      </w:r>
    </w:p>
    <w:p>
      <w:pPr>
        <w:ind w:left="500" w:hanging="492"/>
        <w:spacing w:after="0" w:line="246"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change in unrealized appreciation/(depreciation) reflected for these investments resulted from the full or partial sale or write-off of the investment, which resulted in the reversal of previously accrued unrealized appreciation/(depreciation), as applicable.</w:t>
      </w:r>
    </w:p>
    <w:p>
      <w:pPr>
        <w:ind w:left="500" w:hanging="492"/>
        <w:spacing w:after="0" w:line="257"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for which individual change in unrealized appreciation/(depreciation) was less than $1.0 million for the three months ended March 31, 2020 and 2019.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25"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Please refer to “Note 12—Subsequent Events” to our condensed consolidated financial statements as of March 31, 2020 for details regarding activity in our investment portfolio from April 1, 2020 through May 8, 2020.</w:t>
      </w:r>
    </w:p>
    <w:p>
      <w:pPr>
        <w:spacing w:after="0" w:line="17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the COVID-19 situation continues to evolve, we are maintaining close communications with our portfolio companies to proactively assess and manage potential risks across our investment portfolio.</w:t>
      </w:r>
    </w:p>
    <w:p>
      <w:pPr>
        <w:spacing w:after="0" w:line="170" w:lineRule="exact"/>
        <w:rPr>
          <w:sz w:val="20"/>
          <w:szCs w:val="20"/>
          <w:color w:val="auto"/>
        </w:rPr>
      </w:pPr>
    </w:p>
    <w:p>
      <w:pPr>
        <w:jc w:val="both"/>
        <w:ind w:firstLine="351"/>
        <w:spacing w:after="0" w:line="275" w:lineRule="auto"/>
        <w:rPr>
          <w:sz w:val="20"/>
          <w:szCs w:val="20"/>
          <w:color w:val="auto"/>
        </w:rPr>
      </w:pPr>
      <w:r>
        <w:rPr>
          <w:rFonts w:ascii="Arial" w:cs="Arial" w:eastAsia="Arial" w:hAnsi="Arial"/>
          <w:sz w:val="17"/>
          <w:szCs w:val="17"/>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From April 1, 2020 through May 8, 2020, we repurchased an additional 594,637 shares under the Share Repurchase Program for an aggregate purchase price of $3.6 million.</w:t>
      </w:r>
    </w:p>
    <w:p>
      <w:pPr>
        <w:sectPr>
          <w:pgSz w:w="11900" w:h="16838" w:orient="portrait"/>
          <w:cols w:equalWidth="0" w:num="1">
            <w:col w:w="11240"/>
          </w:cols>
          <w:pgMar w:left="320" w:top="122"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122" w:right="339" w:bottom="1440" w:gutter="0" w:footer="0" w:header="0"/>
          <w:type w:val="continuous"/>
        </w:sectPr>
      </w:pPr>
    </w:p>
    <w:bookmarkStart w:id="61" w:name="page62"/>
    <w:bookmarkEnd w:id="6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Employment Agreements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28, 2020, we amended and restated the employment agreements with each of Mark D. Klein, our Chief Executive Officer and President (the “Amended Klein Agreement”), and Allison Green, our Chief Financial Officer, Chief Compliance Officer, Treasurer and Secretary (the “Amended Green Agreement”). For more information, including descriptions of such agreements, please refer to our current report on Form 8-K filed with the SEC on April 29, 2020. Such descriptions of the Amended Klein Agreement and the Amended Green Agreement are qualified in their entirety by reference to the text of such agreements filed as exhibits to this Form 10-Q.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Cancellation of Stock Option Awards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28, 2020, all stock option awards granted under the 2019 Equity Incentive Plan were canceled for no payment pursuant to an option cancellation agreement (the "Option Cancellation Agreement"). As a result, there are no stock option awards currently outstanding under the 2019 Equity Incentive Plan.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to this Form 10-Q.</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51"/>
        <w:spacing w:after="0" w:line="279" w:lineRule="auto"/>
        <w:rPr>
          <w:sz w:val="20"/>
          <w:szCs w:val="20"/>
          <w:color w:val="auto"/>
        </w:rPr>
      </w:pPr>
      <w:r>
        <w:rPr>
          <w:rFonts w:ascii="Arial" w:cs="Arial" w:eastAsia="Arial" w:hAnsi="Arial"/>
          <w:sz w:val="17"/>
          <w:szCs w:val="17"/>
          <w:color w:val="auto"/>
        </w:rPr>
        <w:t>Our liquidity and capital resources are generated primarily from the sales of our investments. Our $12.0 million Credit Facility. matured and expired on May 31, 2019 and no amounts were outstanding under the Credit Facility as of such date. See "Note 10 - Debt Capital Activities." In addition, on March 28, 2018, we issued $40.0 million aggregate principal amount of 4.75% Convertible Senior Notes due 2023, as discussed further below and in “Note 10— Debt Capital Activities” to our condensed consolidated financial statements as of March 31, 2020.</w:t>
      </w:r>
    </w:p>
    <w:p>
      <w:pPr>
        <w:spacing w:after="0" w:line="171" w:lineRule="exact"/>
        <w:rPr>
          <w:sz w:val="20"/>
          <w:szCs w:val="20"/>
          <w:color w:val="auto"/>
        </w:rPr>
      </w:pPr>
    </w:p>
    <w:p>
      <w:pPr>
        <w:jc w:val="both"/>
        <w:ind w:firstLine="351"/>
        <w:spacing w:after="0" w:line="342" w:lineRule="auto"/>
        <w:rPr>
          <w:sz w:val="20"/>
          <w:szCs w:val="20"/>
          <w:color w:val="auto"/>
        </w:rPr>
      </w:pPr>
      <w:r>
        <w:rPr>
          <w:rFonts w:ascii="Arial" w:cs="Arial" w:eastAsia="Arial" w:hAnsi="Arial"/>
          <w:sz w:val="16"/>
          <w:szCs w:val="16"/>
          <w:color w:val="auto"/>
        </w:rPr>
        <w:t>Our primary uses of cash are to make investments, pay our operating expenses, and make distributions to our stockholders. For the three months ended March 31, 2020, our operating expenses were $3,256,316. For the three months ended March 31, 2019, our net operating income was $392,452.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Cash Reserves and Liquid Securities</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December 31, 2019</w:t>
            </w:r>
          </w:p>
        </w:tc>
      </w:tr>
      <w:tr>
        <w:trPr>
          <w:trHeight w:val="236"/>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46,095,103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44,861,263</w:t>
            </w:r>
          </w:p>
        </w:tc>
      </w:tr>
      <w:tr>
        <w:trPr>
          <w:trHeight w:val="237"/>
        </w:trPr>
        <w:tc>
          <w:tcPr>
            <w:tcW w:w="7320" w:type="dxa"/>
            <w:vAlign w:val="bottom"/>
            <w:gridSpan w:val="2"/>
          </w:tcPr>
          <w:p>
            <w:pPr>
              <w:ind w:left="40"/>
              <w:spacing w:after="0"/>
              <w:rPr>
                <w:sz w:val="20"/>
                <w:szCs w:val="20"/>
                <w:color w:val="auto"/>
              </w:rPr>
            </w:pPr>
            <w:r>
              <w:rPr>
                <w:rFonts w:ascii="Arial" w:cs="Arial" w:eastAsia="Arial" w:hAnsi="Arial"/>
                <w:sz w:val="16"/>
                <w:szCs w:val="16"/>
                <w:color w:val="auto"/>
              </w:rPr>
              <w:t>Securities of publicly traded portfolio companies</w:t>
            </w:r>
          </w:p>
        </w:tc>
        <w:tc>
          <w:tcPr>
            <w:tcW w:w="30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6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7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Cash Reserves and Liquid Securities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46,095,103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44,861,263</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45688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68825" cy="8890"/>
                    </a:xfrm>
                    <a:prstGeom prst="rect">
                      <a:avLst/>
                    </a:prstGeom>
                    <a:noFill/>
                  </pic:spPr>
                </pic:pic>
              </a:graphicData>
            </a:graphic>
          </wp:anchor>
        </w:drawing>
      </w:r>
    </w:p>
    <w:p>
      <w:pPr>
        <w:spacing w:after="0" w:line="195" w:lineRule="exact"/>
        <w:rPr>
          <w:sz w:val="20"/>
          <w:szCs w:val="20"/>
          <w:color w:val="auto"/>
        </w:rPr>
      </w:pPr>
    </w:p>
    <w:p>
      <w:pPr>
        <w:jc w:val="both"/>
        <w:ind w:firstLine="351"/>
        <w:spacing w:after="0" w:line="311" w:lineRule="auto"/>
        <w:rPr>
          <w:sz w:val="20"/>
          <w:szCs w:val="20"/>
          <w:color w:val="auto"/>
        </w:rPr>
      </w:pPr>
      <w:r>
        <w:rPr>
          <w:rFonts w:ascii="Arial" w:cs="Arial" w:eastAsia="Arial" w:hAnsi="Arial"/>
          <w:sz w:val="16"/>
          <w:szCs w:val="16"/>
          <w:color w:val="auto"/>
        </w:rPr>
        <w:t>During the three months ended March 31, 2020, cash increased to $46,095,103 from $44,861,263 at the beginning of the year. The increase in cash was primarily due to proceeds from the sale of our investment in Parchment Inc., offset by interest payments related to our 4.75% Convertible Senior Notes due 2023, cash used to repurchase our common stock under the Share Repurchase Program, and cash used for our operating expenses.</w:t>
      </w:r>
    </w:p>
    <w:p>
      <w:pPr>
        <w:spacing w:after="0" w:line="1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Currently, we believe we have ample liquidity to support our near-term capital requirements. As the impact of the COVID-19 continues to unfold and consistent with past and current practices, we will continue to evaluate our overall liquidity position and take proactive steps to maintain the appropriate liquidity position based upon the current circumstances.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significant contractual payment obligations as of March 31, 2020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gridSpan w:val="8"/>
          </w:tcPr>
          <w:p>
            <w:pPr>
              <w:ind w:left="620"/>
              <w:spacing w:after="0"/>
              <w:rPr>
                <w:sz w:val="20"/>
                <w:szCs w:val="20"/>
                <w:color w:val="auto"/>
              </w:rPr>
            </w:pPr>
            <w:r>
              <w:rPr>
                <w:rFonts w:ascii="Arial" w:cs="Arial" w:eastAsia="Arial" w:hAnsi="Arial"/>
                <w:sz w:val="14"/>
                <w:szCs w:val="14"/>
                <w:b w:val="1"/>
                <w:bCs w:val="1"/>
                <w:color w:val="auto"/>
              </w:rPr>
              <w:t>Payments Due By Period (dollars in millions)</w:t>
            </w: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00" w:type="dxa"/>
            <w:vAlign w:val="bottom"/>
          </w:tcPr>
          <w:p>
            <w:pPr>
              <w:spacing w:after="0"/>
              <w:rPr>
                <w:sz w:val="13"/>
                <w:szCs w:val="13"/>
                <w:color w:val="auto"/>
              </w:rPr>
            </w:pPr>
          </w:p>
        </w:tc>
        <w:tc>
          <w:tcPr>
            <w:tcW w:w="98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3"/>
                <w:szCs w:val="13"/>
                <w:color w:val="auto"/>
              </w:rPr>
            </w:pPr>
          </w:p>
        </w:tc>
        <w:tc>
          <w:tcPr>
            <w:tcW w:w="1180" w:type="dxa"/>
            <w:vAlign w:val="bottom"/>
            <w:vMerge w:val="restart"/>
          </w:tcPr>
          <w:p>
            <w:pPr>
              <w:jc w:val="right"/>
              <w:ind w:right="361"/>
              <w:spacing w:after="0"/>
              <w:rPr>
                <w:sz w:val="20"/>
                <w:szCs w:val="20"/>
                <w:color w:val="auto"/>
              </w:rPr>
            </w:pPr>
            <w:r>
              <w:rPr>
                <w:rFonts w:ascii="Arial" w:cs="Arial" w:eastAsia="Arial" w:hAnsi="Arial"/>
                <w:sz w:val="14"/>
                <w:szCs w:val="14"/>
                <w:b w:val="1"/>
                <w:bCs w:val="1"/>
                <w:color w:val="auto"/>
              </w:rPr>
              <w:t>1–3 years</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3–5 years</w:t>
            </w:r>
          </w:p>
        </w:tc>
        <w:tc>
          <w:tcPr>
            <w:tcW w:w="12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5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6"/>
        </w:trPr>
        <w:tc>
          <w:tcPr>
            <w:tcW w:w="3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Payable for securities purchased</w:t>
            </w:r>
            <w:r>
              <w:rPr>
                <w:rFonts w:ascii="Arial" w:cs="Arial" w:eastAsia="Arial" w:hAnsi="Arial"/>
                <w:sz w:val="21"/>
                <w:szCs w:val="21"/>
                <w:color w:val="auto"/>
                <w:vertAlign w:val="superscript"/>
              </w:rPr>
              <w:t>(1)</w:t>
            </w:r>
          </w:p>
        </w:tc>
        <w:tc>
          <w:tcPr>
            <w:tcW w:w="980" w:type="dxa"/>
            <w:vAlign w:val="bottom"/>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45.1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00" w:type="dxa"/>
            <w:vAlign w:val="bottom"/>
          </w:tcPr>
          <w:p>
            <w:pPr>
              <w:ind w:left="40"/>
              <w:spacing w:after="0"/>
              <w:rPr>
                <w:sz w:val="20"/>
                <w:szCs w:val="20"/>
                <w:color w:val="auto"/>
              </w:rPr>
            </w:pPr>
            <w:r>
              <w:rPr>
                <w:rFonts w:ascii="Arial" w:cs="Arial" w:eastAsia="Arial" w:hAnsi="Arial"/>
                <w:sz w:val="16"/>
                <w:szCs w:val="16"/>
                <w:color w:val="auto"/>
              </w:rPr>
              <w:t>Convertible Senior Notes</w:t>
            </w:r>
            <w:r>
              <w:rPr>
                <w:rFonts w:ascii="Arial" w:cs="Arial" w:eastAsia="Arial" w:hAnsi="Arial"/>
                <w:sz w:val="21"/>
                <w:szCs w:val="21"/>
                <w:color w:val="auto"/>
                <w:vertAlign w:val="superscript"/>
              </w:rPr>
              <w:t>(2)</w:t>
            </w:r>
          </w:p>
        </w:tc>
        <w:tc>
          <w:tcPr>
            <w:tcW w:w="980" w:type="dxa"/>
            <w:vAlign w:val="bottom"/>
          </w:tcPr>
          <w:p>
            <w:pPr>
              <w:spacing w:after="0"/>
              <w:rPr>
                <w:sz w:val="23"/>
                <w:szCs w:val="23"/>
                <w:color w:val="auto"/>
              </w:rPr>
            </w:pPr>
          </w:p>
        </w:tc>
        <w:tc>
          <w:tcPr>
            <w:tcW w:w="50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3"/>
                <w:szCs w:val="23"/>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200" w:type="dxa"/>
            <w:vAlign w:val="bottom"/>
          </w:tcPr>
          <w:p>
            <w:pPr>
              <w:ind w:left="9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liability</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4"/>
        </w:trPr>
        <w:tc>
          <w:tcPr>
            <w:tcW w:w="3500" w:type="dxa"/>
            <w:vAlign w:val="bottom"/>
          </w:tcPr>
          <w:p>
            <w:pPr>
              <w:ind w:left="40"/>
              <w:spacing w:after="0"/>
              <w:rPr>
                <w:sz w:val="20"/>
                <w:szCs w:val="20"/>
                <w:color w:val="auto"/>
              </w:rPr>
            </w:pPr>
            <w:r>
              <w:rPr>
                <w:rFonts w:ascii="Arial" w:cs="Arial" w:eastAsia="Arial" w:hAnsi="Arial"/>
                <w:sz w:val="16"/>
                <w:szCs w:val="16"/>
                <w:b w:val="1"/>
                <w:bCs w:val="1"/>
                <w:color w:val="auto"/>
              </w:rPr>
              <w:t>Total</w:t>
            </w:r>
          </w:p>
        </w:tc>
        <w:tc>
          <w:tcPr>
            <w:tcW w:w="980" w:type="dxa"/>
            <w:vAlign w:val="bottom"/>
            <w:tcBorders>
              <w:top w:val="single" w:sz="8" w:color="auto"/>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40.4</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w:t>
      </w:r>
    </w:p>
    <w:p>
      <w:pPr>
        <w:spacing w:after="0" w:line="19" w:lineRule="exact"/>
        <w:rPr>
          <w:sz w:val="20"/>
          <w:szCs w:val="20"/>
          <w:color w:val="auto"/>
        </w:rPr>
      </w:pPr>
    </w:p>
    <w:p>
      <w:pPr>
        <w:jc w:val="both"/>
        <w:ind w:left="500" w:hanging="492"/>
        <w:spacing w:after="0" w:line="246"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“Payable for securities purchased” relates to the purchase of U.S. Treasury bills on margin and repurchase of our common stock under the Share Repurchase Program. This balance was subsequently repaid in early April 2020, when the $50.0 million United States Treasury bill matured and the $5.25 million margin deposit that we posted as collateral was returned.</w:t>
      </w:r>
    </w:p>
    <w:p>
      <w:pPr>
        <w:spacing w:after="0" w:line="1" w:lineRule="exact"/>
        <w:rPr>
          <w:rFonts w:ascii="Arial" w:cs="Arial" w:eastAsia="Arial" w:hAnsi="Arial"/>
          <w:sz w:val="16"/>
          <w:szCs w:val="16"/>
          <w:color w:val="auto"/>
        </w:rPr>
      </w:pPr>
    </w:p>
    <w:p>
      <w:pPr>
        <w:ind w:left="500" w:right="20" w:hanging="492"/>
        <w:spacing w:after="0" w:line="290" w:lineRule="auto"/>
        <w:tabs>
          <w:tab w:leader="none" w:pos="5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balance shown for the "Convertible Senior Notes" reflects the principal balance payable to investors for the 4.75% Convertible Senior Notes due 2023 as of March 31, 2020. Refer to “Note 10—Debt Capital Activities” to our condensed consolidated financial statements as of March 31, 2020 for more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three months ended March 31, 2020, we repurchased 689,928 shares of our common stock pursuant to the Share Repurchase Program. As of March 31, 2020, the dollar value of shares that remained available to be purchased under the Share Repurchase Program was approximately $6.3 million.</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For more information on the Share Repurchase Program, see " </w:t>
      </w:r>
      <w:r>
        <w:rPr>
          <w:rFonts w:ascii="Arial" w:cs="Arial" w:eastAsia="Arial" w:hAnsi="Arial"/>
          <w:sz w:val="16"/>
          <w:szCs w:val="16"/>
          <w:color w:val="auto"/>
        </w:rPr>
        <w:t>—</w:t>
      </w:r>
      <w:r>
        <w:rPr>
          <w:rFonts w:ascii="Arial" w:cs="Arial" w:eastAsia="Arial" w:hAnsi="Arial"/>
          <w:sz w:val="18"/>
          <w:szCs w:val="18"/>
          <w:color w:val="auto"/>
        </w:rPr>
        <w:t xml:space="preserve"> Recent Developments" and "Part II. Item 2. Unregistered Sales of Equity Securities and Use of Proceeds".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Modified Dutch Auction Tender Offer</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October 21, 2019, the Company commenced a modified “Dutch Auction” tender offer (the “Modified Dutch Auction Tender Offer”) to purchase for cash up to $10.0 million in shares of its common stock from its stockholders at a price per share of not less than $6.00 and not greater than $8.00 in $0.10 increments, using available cash. Upon expiration of the Modified Dutch Auction Tender Offer on November 20, 2019, the Company repurchased 1,449,275 shares, representing 7.6% of its outstanding shares, at a price of $6.90 per share on a pro rata basis, excluding fees and expenses relating to the self-tender offer. The Company has determined that the proration factor for the tender offer was 78.1%.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March 31, 2020, we had no off-balance sheet arrangements, including any risk management of commodity pricing or other hedging practices.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employ hedging and other risk management techniques in the 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made no sales of our equity securities during the three months ended March 31, 2020 or the year ended December 31, 2019.</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4.75% Convertible Senior Notes due 2023</w:t>
      </w:r>
    </w:p>
    <w:p>
      <w:pPr>
        <w:spacing w:after="0" w:line="229"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On March 28, 2018, we issued $40.0 million aggregate principal amount of 4.75% Convertible Senior Notes due 2023, which bear interest at a fixed rate of 4.75% per year, payable semi-annually in arrears on March 31 and September 30 of each year, commencing on September 30, 2018. We received $38.9 million in proceeds from the offering, net of underwriting discounts and commissions and other offering expenses. The 4.75% Convertible Senior Notes due 2023 mature on March 28, 2023, unless previously repurchased or converted in accordance with their terms. We do not have the right to redeem the 4.75% Convertible Senior Notes due 2023 prior to March 27, 2021.</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Refer to “Note 10—Debt Capital Activities” to our condensed consolidated financial statements as of March 31, 2020 for more information regarding the 4.75% Convertible Senior Notes due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March 31, 2020. The table is divided by fiscal year according to record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 Declared</w:t>
            </w:r>
          </w:p>
        </w:tc>
        <w:tc>
          <w:tcPr>
            <w:tcW w:w="12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Record Date</w:t>
            </w:r>
          </w:p>
        </w:tc>
        <w:tc>
          <w:tcPr>
            <w:tcW w:w="10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Payment Date</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Amount per Share</w:t>
            </w:r>
          </w:p>
        </w:tc>
        <w:tc>
          <w:tcPr>
            <w:tcW w:w="0" w:type="dxa"/>
            <w:vAlign w:val="bottom"/>
          </w:tcPr>
          <w:p>
            <w:pPr>
              <w:spacing w:after="0"/>
              <w:rPr>
                <w:sz w:val="1"/>
                <w:szCs w:val="1"/>
                <w:color w:val="auto"/>
              </w:rPr>
            </w:pPr>
          </w:p>
        </w:tc>
      </w:tr>
      <w:tr>
        <w:trPr>
          <w:trHeight w:val="249"/>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Fiscal 2015:</w:t>
            </w:r>
          </w:p>
        </w:tc>
        <w:tc>
          <w:tcPr>
            <w:tcW w:w="2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gridSpan w:val="2"/>
          </w:tcPr>
          <w:p>
            <w:pPr>
              <w:ind w:left="220"/>
              <w:spacing w:after="0" w:line="270" w:lineRule="exact"/>
              <w:rPr>
                <w:sz w:val="20"/>
                <w:szCs w:val="20"/>
                <w:color w:val="auto"/>
              </w:rPr>
            </w:pPr>
            <w:r>
              <w:rPr>
                <w:rFonts w:ascii="Arial" w:cs="Arial" w:eastAsia="Arial" w:hAnsi="Arial"/>
                <w:sz w:val="18"/>
                <w:szCs w:val="18"/>
                <w:color w:val="auto"/>
              </w:rPr>
              <w:t>November 4, 2015</w:t>
            </w:r>
            <w:r>
              <w:rPr>
                <w:rFonts w:ascii="Arial" w:cs="Arial" w:eastAsia="Arial" w:hAnsi="Arial"/>
                <w:sz w:val="25"/>
                <w:szCs w:val="25"/>
                <w:color w:val="auto"/>
                <w:vertAlign w:val="superscript"/>
              </w:rPr>
              <w:t>(1)</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16, 2015</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31, 2015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Fiscal 2016:</w:t>
            </w:r>
          </w:p>
        </w:tc>
        <w:tc>
          <w:tcPr>
            <w:tcW w:w="2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gridSpan w:val="2"/>
          </w:tcPr>
          <w:p>
            <w:pPr>
              <w:ind w:left="220"/>
              <w:spacing w:after="0" w:line="270" w:lineRule="exact"/>
              <w:rPr>
                <w:sz w:val="20"/>
                <w:szCs w:val="20"/>
                <w:color w:val="auto"/>
              </w:rPr>
            </w:pPr>
            <w:r>
              <w:rPr>
                <w:rFonts w:ascii="Arial" w:cs="Arial" w:eastAsia="Arial" w:hAnsi="Arial"/>
                <w:sz w:val="18"/>
                <w:szCs w:val="18"/>
                <w:color w:val="auto"/>
              </w:rPr>
              <w:t>August 3, 2016</w:t>
            </w:r>
            <w:r>
              <w:rPr>
                <w:rFonts w:ascii="Arial" w:cs="Arial" w:eastAsia="Arial" w:hAnsi="Arial"/>
                <w:sz w:val="25"/>
                <w:szCs w:val="25"/>
                <w:color w:val="auto"/>
                <w:vertAlign w:val="superscript"/>
              </w:rPr>
              <w:t>(2)</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16, 2016</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August 24, 2016</w:t>
            </w:r>
          </w:p>
        </w:tc>
        <w:tc>
          <w:tcPr>
            <w:tcW w:w="220" w:type="dxa"/>
            <w:vAlign w:val="bottom"/>
          </w:tcPr>
          <w:p>
            <w:pPr>
              <w:spacing w:after="0"/>
              <w:rPr>
                <w:sz w:val="23"/>
                <w:szCs w:val="23"/>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Fiscal 2019:</w:t>
            </w:r>
          </w:p>
        </w:tc>
        <w:tc>
          <w:tcPr>
            <w:tcW w:w="2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860" w:type="dxa"/>
            <w:vAlign w:val="bottom"/>
            <w:gridSpan w:val="2"/>
          </w:tcPr>
          <w:p>
            <w:pPr>
              <w:ind w:left="220"/>
              <w:spacing w:after="0" w:line="270" w:lineRule="exact"/>
              <w:rPr>
                <w:sz w:val="20"/>
                <w:szCs w:val="20"/>
                <w:color w:val="auto"/>
              </w:rPr>
            </w:pPr>
            <w:r>
              <w:rPr>
                <w:rFonts w:ascii="Arial" w:cs="Arial" w:eastAsia="Arial" w:hAnsi="Arial"/>
                <w:sz w:val="18"/>
                <w:szCs w:val="18"/>
                <w:color w:val="auto"/>
              </w:rPr>
              <w:t>November 5, 2019</w:t>
            </w:r>
            <w:r>
              <w:rPr>
                <w:rFonts w:ascii="Arial" w:cs="Arial" w:eastAsia="Arial" w:hAnsi="Arial"/>
                <w:sz w:val="25"/>
                <w:szCs w:val="25"/>
                <w:color w:val="auto"/>
                <w:vertAlign w:val="superscript"/>
              </w:rPr>
              <w:t>(3)</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2, 2019</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12, 2019</w:t>
            </w:r>
          </w:p>
        </w:tc>
        <w:tc>
          <w:tcPr>
            <w:tcW w:w="220" w:type="dxa"/>
            <w:vAlign w:val="bottom"/>
          </w:tcPr>
          <w:p>
            <w:pPr>
              <w:spacing w:after="0"/>
              <w:rPr>
                <w:sz w:val="23"/>
                <w:szCs w:val="23"/>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70"/>
        </w:trPr>
        <w:tc>
          <w:tcPr>
            <w:tcW w:w="4860" w:type="dxa"/>
            <w:vAlign w:val="bottom"/>
            <w:gridSpan w:val="2"/>
            <w:shd w:val="clear" w:color="auto" w:fill="CCEEFF"/>
          </w:tcPr>
          <w:p>
            <w:pPr>
              <w:ind w:left="220"/>
              <w:spacing w:after="0" w:line="270" w:lineRule="exact"/>
              <w:rPr>
                <w:sz w:val="20"/>
                <w:szCs w:val="20"/>
                <w:color w:val="auto"/>
              </w:rPr>
            </w:pPr>
            <w:r>
              <w:rPr>
                <w:rFonts w:ascii="Arial" w:cs="Arial" w:eastAsia="Arial" w:hAnsi="Arial"/>
                <w:sz w:val="18"/>
                <w:szCs w:val="18"/>
                <w:color w:val="auto"/>
              </w:rPr>
              <w:t>December 20, 2019</w:t>
            </w:r>
            <w:r>
              <w:rPr>
                <w:rFonts w:ascii="Arial" w:cs="Arial" w:eastAsia="Arial" w:hAnsi="Arial"/>
                <w:sz w:val="25"/>
                <w:szCs w:val="25"/>
                <w:color w:val="auto"/>
                <w:vertAlign w:val="superscript"/>
              </w:rPr>
              <w:t>(4)</w:t>
            </w:r>
          </w:p>
        </w:tc>
        <w:tc>
          <w:tcPr>
            <w:tcW w:w="2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31, 2019</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January 15, 2020</w:t>
            </w:r>
          </w:p>
        </w:tc>
        <w:tc>
          <w:tcPr>
            <w:tcW w:w="2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97"/>
        </w:trPr>
        <w:tc>
          <w:tcPr>
            <w:tcW w:w="47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6"/>
                <w:szCs w:val="16"/>
                <w:color w:val="auto"/>
              </w:rPr>
              <w:t>___________________</w:t>
            </w: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7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left="340" w:hanging="332"/>
        <w:spacing w:after="0" w:line="249"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approximately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Of the total distribution of $887,240 paid on August 24, 2016, $820,753 represented a distribution from realized gains, and $66,487 represented a return of capital.</w:t>
      </w:r>
    </w:p>
    <w:p>
      <w:pPr>
        <w:spacing w:after="0" w:line="16" w:lineRule="exact"/>
        <w:rPr>
          <w:rFonts w:ascii="Arial" w:cs="Arial" w:eastAsia="Arial" w:hAnsi="Arial"/>
          <w:sz w:val="15"/>
          <w:szCs w:val="15"/>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100% of the $3,512,849 distribution paid on December 12, 2019 represented a distribution from realized gains. None of the distribution represented a return of capital.</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100% of the $2,107,709 distribution paid on January 15, 2020 represented a distribution from realized gains. None of the distribution represented a return of capital.</w:t>
      </w:r>
    </w:p>
    <w:p>
      <w:pPr>
        <w:spacing w:after="0" w:line="214" w:lineRule="exact"/>
        <w:rPr>
          <w:sz w:val="20"/>
          <w:szCs w:val="20"/>
          <w:color w:val="auto"/>
        </w:rPr>
      </w:pPr>
    </w:p>
    <w:p>
      <w:pPr>
        <w:jc w:val="both"/>
        <w:ind w:firstLine="351"/>
        <w:spacing w:after="0" w:line="257"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188" w:lineRule="exact"/>
        <w:rPr>
          <w:sz w:val="20"/>
          <w:szCs w:val="20"/>
          <w:color w:val="auto"/>
        </w:rPr>
      </w:pPr>
    </w:p>
    <w:p>
      <w:pPr>
        <w:jc w:val="both"/>
        <w:ind w:firstLine="351"/>
        <w:spacing w:after="0" w:line="269" w:lineRule="auto"/>
        <w:rPr>
          <w:sz w:val="20"/>
          <w:szCs w:val="20"/>
          <w:color w:val="auto"/>
        </w:rPr>
      </w:pPr>
      <w:r>
        <w:rPr>
          <w:rFonts w:ascii="Arial" w:cs="Arial" w:eastAsia="Arial" w:hAnsi="Arial"/>
          <w:sz w:val="17"/>
          <w:szCs w:val="17"/>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 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185" w:lineRule="exact"/>
        <w:rPr>
          <w:sz w:val="20"/>
          <w:szCs w:val="20"/>
          <w:color w:val="auto"/>
        </w:rPr>
      </w:pPr>
    </w:p>
    <w:p>
      <w:pPr>
        <w:jc w:val="both"/>
        <w:ind w:firstLine="351"/>
        <w:spacing w:after="0" w:line="293" w:lineRule="auto"/>
        <w:rPr>
          <w:sz w:val="20"/>
          <w:szCs w:val="20"/>
          <w:color w:val="auto"/>
        </w:rPr>
      </w:pPr>
      <w:r>
        <w:rPr>
          <w:rFonts w:ascii="Arial" w:cs="Arial" w:eastAsia="Arial" w:hAnsi="Arial"/>
          <w:sz w:val="16"/>
          <w:szCs w:val="16"/>
          <w:color w:val="auto"/>
        </w:rPr>
        <w:t>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r>
        <w:rPr>
          <w:rFonts w:ascii="Arial" w:cs="Arial" w:eastAsia="Arial" w:hAnsi="Arial"/>
          <w:sz w:val="16"/>
          <w:szCs w:val="16"/>
          <w:i w:val="1"/>
          <w:iCs w:val="1"/>
          <w:color w:val="auto"/>
        </w:rPr>
        <w:t>U.S. Federal and State Income Taxes</w:t>
      </w:r>
      <w:r>
        <w:rPr>
          <w:rFonts w:ascii="Arial" w:cs="Arial" w:eastAsia="Arial" w:hAnsi="Arial"/>
          <w:sz w:val="16"/>
          <w:szCs w:val="16"/>
          <w:color w:val="auto"/>
        </w:rPr>
        <w:t>” and “Note 9—Income Taxes” to our condensed consolidated financial statements as of March 31, 2020 for more information. The Taxable Subsidiaries included in our consolidated financial statements are taxable subsidiaries, regardless of whether we are taxed as a RIC. These taxable subsidiaries are not consolidated for income tax purposes and may generate income tax expenses as 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result of their ownership of the portfolio companies. Such income tax expenses and deferred taxes, if any, will be reflected in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51"/>
        <w:spacing w:after="0" w:line="291" w:lineRule="auto"/>
        <w:rPr>
          <w:sz w:val="20"/>
          <w:szCs w:val="20"/>
          <w:color w:val="auto"/>
        </w:rPr>
      </w:pPr>
      <w:r>
        <w:rPr>
          <w:rFonts w:ascii="Arial" w:cs="Arial" w:eastAsia="Arial" w:hAnsi="Arial"/>
          <w:sz w:val="16"/>
          <w:szCs w:val="16"/>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condensed consolidated financial statements as of March 31, 2020 for further detail regarding our critical accounting policies and recently issued or adopted 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229"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See “Note 3—Related-Party Arrangements” to our condensed consolidated financial statements as of March 31, 2020 for more information.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ind w:firstLine="351"/>
        <w:spacing w:after="0" w:line="275" w:lineRule="auto"/>
        <w:rPr>
          <w:sz w:val="20"/>
          <w:szCs w:val="20"/>
          <w:color w:val="auto"/>
        </w:rPr>
      </w:pPr>
      <w:r>
        <w:rPr>
          <w:rFonts w:ascii="Arial" w:cs="Arial" w:eastAsia="Arial" w:hAnsi="Arial"/>
          <w:sz w:val="17"/>
          <w:szCs w:val="17"/>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Risk</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2020, all of our debt investments and outstanding borrowings bore fixed rates of interest.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351"/>
        <w:spacing w:after="0" w:line="270" w:lineRule="auto"/>
        <w:rPr>
          <w:sz w:val="20"/>
          <w:szCs w:val="20"/>
          <w:color w:val="auto"/>
        </w:rPr>
      </w:pPr>
      <w:r>
        <w:rPr>
          <w:rFonts w:ascii="Arial" w:cs="Arial" w:eastAsia="Arial" w:hAnsi="Arial"/>
          <w:sz w:val="17"/>
          <w:szCs w:val="17"/>
          <w:color w:val="auto"/>
        </w:rPr>
        <w:t>As of March 31, 2020,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fiscal quarter ended March 31, 2020 that have materially affected, or are reasonably likely to materially affect, our internal control over financial reporting.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jc w:val="both"/>
        <w:ind w:firstLine="351"/>
        <w:spacing w:after="0" w:line="263" w:lineRule="auto"/>
        <w:rPr>
          <w:sz w:val="20"/>
          <w:szCs w:val="20"/>
          <w:color w:val="auto"/>
        </w:rPr>
      </w:pPr>
      <w:r>
        <w:rPr>
          <w:rFonts w:ascii="Arial" w:cs="Arial" w:eastAsia="Arial" w:hAnsi="Arial"/>
          <w:sz w:val="18"/>
          <w:szCs w:val="18"/>
          <w:color w:val="auto"/>
        </w:rPr>
        <w:t>From time to time, we are involved in various legal proceedings, lawsuits and claims incidental to the conduct of our business. Our business is also subject to extensive regulation, which may result in regulatory proceedings against us. Except as described below, we are not currently a party to any material legal proceedings.</w:t>
      </w:r>
    </w:p>
    <w:p>
      <w:pPr>
        <w:spacing w:after="0" w:line="184" w:lineRule="exact"/>
        <w:rPr>
          <w:sz w:val="20"/>
          <w:szCs w:val="20"/>
          <w:color w:val="auto"/>
        </w:rPr>
      </w:pPr>
    </w:p>
    <w:p>
      <w:pPr>
        <w:jc w:val="both"/>
        <w:ind w:firstLine="351"/>
        <w:spacing w:after="0" w:line="253" w:lineRule="auto"/>
        <w:rPr>
          <w:sz w:val="20"/>
          <w:szCs w:val="20"/>
          <w:color w:val="auto"/>
        </w:rPr>
      </w:pPr>
      <w:r>
        <w:rPr>
          <w:rFonts w:ascii="Arial" w:cs="Arial" w:eastAsia="Arial" w:hAnsi="Arial"/>
          <w:sz w:val="18"/>
          <w:szCs w:val="18"/>
          <w:color w:val="auto"/>
        </w:rPr>
        <w:t>On March 12, 2020, a complaint was filed in the United States District Court in the Northern District of California, by Sutter Hill Ventures, captioned, Sutter Hill Ventures, a California limited partnership (Plaintiff) v. Sutter Rock Capital Corp, a Maryland corporation (Defendant). The complaint alleges that the Defendant infringed on the Plaintiff’s federally-registered service mark SUTTER HILL VENTURES; engaged in unfair competition and false designation of origin under Section 43(a) of the Latham Act; and related claims of unfair competition and trademark infringement under California common law. The Plaintiff is seeking an injunction on Defendant from using the SUTTER ROCK and SUTTER ROCK CAPITAL marks and trade names, or any other mark or name that it views as similar to SUTTER HILL and SUTTER HILL VENTURES; an unspecified amount of damages and disgorgement of Defendant’s profits; a determination that the alleged infringement was willful, intentional and deliberate, warranting an award to Plaintiff of three times Defendant’s profits and three times Plaintiff’s damages; an award of Plaintiff’s attorney’s fees and cost; and an award of prejudgment and post judgment interest.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Investing in our securities involves a number of significant risks. In addition to the other information contained in this report, you should carefully consider the factors discussed in our annual report on Form 10-K for the fiscal year ended December 31, 2019, filed with the SEC on March 13, 2020, which could materially affect our business, financial condition and/or operating results. Although the risks described below and in our annual report on Form 10-K for the fiscal year ended December 31, 2019 represent the principal risks associated with an investment in us, they are not the only risks we face. Additional risks and uncertainties not currently known to us, or that we currently deem to be immaterial, might materially and adversely affect our business, financial condition and/or operating results. Other than as described below, during the three months ended March 31, 2019, there have been no material changes to the risk factors discussed in "Item 1A. Risk Factors" of Part I of our annual report on Form 10-K for the fiscal year ended December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materially and adversely affect our portfolio companies and the results of our operations.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late 2019 and early 2020, SARS-CoV-2 and COVID-19 emerged in China and spread rapidly across the world, including the U.S. This outbreak has led, and for an unknown period of time will continue to lead, to disruptions in local, regional, national and global markets and economies affected thereby. The spread of COVID-19 has caused quarantines, cancellation of events and travel, business and school shutdowns, reduction in business activity and financial transactions, labor shortages, supply chain interruptions and overall economic and financial market instability. The COVID-19 outbreak may disrupt our operations through its impact on our employees, our portfolio companies and their businesses, and certain industries in which our portfolio companies operate.</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outbreak has resulted in, and until fully resolved is likely to continue to result in, among other things, government imposition of various forms of “stay at home” orders and the closing of “non-essential” businesses, resulting in significant disruption to many businesses including supply chains, demand and practical aspects of their operations, as well as in lay-offs of employees. While these effects are hoped to be temporary, some effects could be persistent or even permanent. Rapidly evolving proposals and/or actions by state and federal governments to address problems being experienced by the markets and by businesses and the economy in general may not necessarily be adequate to address the problems facing impacted businesses. This outbreak and any future outbreaks could have an adverse impact on our portfolio companies and us and on the markets and the economy in general, and that impact could be material.</w:t>
      </w:r>
    </w:p>
    <w:p>
      <w:pPr>
        <w:spacing w:after="0" w:line="19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 from an operational perspective, our employees are currently working remotely. An extended period of remote work arrangements could strain our business continuity plans, introduce operational risk, including but not limited to cybersecurity risks, and impair our ability to manage our business. In addition, we are highly dependent on third party service providers for certain communication and information systems. As a result, we rely upon the successful implementation and execution of the business continuity planning of such providers in the current environment. If one or more of these third parties to whom we outsource certain critical business activities experience operational failures as a result of the impacts from the spread of COVID-19, or claim that they cannot perform due to a force majeure, it may have a material adverse effect on our business, financial condition, results of operations, liquidity and cash flows.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extent of the impact of the COVID-19 pandemic on our operational and financial performance, including our ability to execute our business strategies and initiatives in the expected time frame, will depend on future developments, including the duration and spread of the pandemic and related restrictions on travel and transportation, all of which are uncertain and cannot be predicted. An extended period of global supply chain and economic disruption could materially affect our business, results of operations, access to sources of liquidity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U.S. capital markets have experienced extreme volatility and disruption following the global outbreak of COVID-19 that began in early 2020. Some economists and major investment banks have expressed concern that the continued spread of the virus globally could lead to a world-wide economic downturn. Disruptions in the capital markets have increased the spread between the yields realized on risk-free and higher risk securities, resulting in illiquidity in parts of the capital markets. These and future market disruptions and/or illiquidity could have an adverse effect on our business, financial condition, results of operations and cash flows. Unfavorable economic conditions could also increase our funding costs, limit our access to the capital markets or result in a decision by lenders not to extend credit to us. These events could limit our investment originations and ability to grow, and have a material negative impact on our operating results and the fair values of our investments.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Equity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did not sell any equity securities during the period covered in this report that were not registered under the Securities Act of 1933, as amended.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5"/>
          <w:szCs w:val="25"/>
          <w:b w:val="1"/>
          <w:bCs w:val="1"/>
          <w:color w:val="auto"/>
          <w:vertAlign w:val="superscript"/>
        </w:rPr>
        <w:t>(1)</w:t>
      </w:r>
    </w:p>
    <w:p>
      <w:pPr>
        <w:spacing w:after="0" w:line="1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relating to the Company’s purchases of its common stock during the three months ended March 31, 2020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 Number</w:t>
            </w:r>
          </w:p>
        </w:tc>
        <w:tc>
          <w:tcPr>
            <w:tcW w:w="1380" w:type="dxa"/>
            <w:vAlign w:val="bottom"/>
          </w:tcPr>
          <w:p>
            <w:pPr>
              <w:jc w:val="center"/>
              <w:ind w:right="103"/>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38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 Shares</w:t>
            </w:r>
          </w:p>
        </w:tc>
        <w:tc>
          <w:tcPr>
            <w:tcW w:w="138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38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38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2"/>
              </w:rPr>
              <w:t>Under the Share</w:t>
            </w:r>
          </w:p>
        </w:tc>
        <w:tc>
          <w:tcPr>
            <w:tcW w:w="0" w:type="dxa"/>
            <w:vAlign w:val="bottom"/>
          </w:tcPr>
          <w:p>
            <w:pPr>
              <w:spacing w:after="0"/>
              <w:rPr>
                <w:sz w:val="1"/>
                <w:szCs w:val="1"/>
                <w:color w:val="auto"/>
              </w:rPr>
            </w:pPr>
          </w:p>
        </w:tc>
      </w:tr>
      <w:tr>
        <w:trPr>
          <w:trHeight w:val="148"/>
        </w:trPr>
        <w:tc>
          <w:tcPr>
            <w:tcW w:w="4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Announced</w:t>
            </w:r>
          </w:p>
        </w:tc>
        <w:tc>
          <w:tcPr>
            <w:tcW w:w="138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r>
              <w:rPr>
                <w:rFonts w:ascii="Arial" w:cs="Arial" w:eastAsia="Arial" w:hAnsi="Arial"/>
                <w:sz w:val="8"/>
                <w:szCs w:val="8"/>
                <w:b w:val="1"/>
                <w:bCs w:val="1"/>
                <w:color w:val="auto"/>
                <w:w w:val="90"/>
              </w:rPr>
              <w:t>(2)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1"/>
              </w:rPr>
              <w:t>Per Share</w:t>
            </w:r>
          </w:p>
        </w:tc>
        <w:tc>
          <w:tcPr>
            <w:tcW w:w="1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49"/>
        </w:trPr>
        <w:tc>
          <w:tcPr>
            <w:tcW w:w="4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through January 31, 2020</w:t>
            </w: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18,508</w:t>
            </w:r>
          </w:p>
        </w:tc>
        <w:tc>
          <w:tcPr>
            <w:tcW w:w="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gridSpan w:val="3"/>
            <w:shd w:val="clear" w:color="auto" w:fill="CCEEFF"/>
          </w:tcPr>
          <w:p>
            <w:pPr>
              <w:ind w:left="1380"/>
              <w:spacing w:after="0"/>
              <w:rPr>
                <w:sz w:val="20"/>
                <w:szCs w:val="20"/>
                <w:color w:val="auto"/>
              </w:rPr>
            </w:pPr>
            <w:r>
              <w:rPr>
                <w:rFonts w:ascii="Arial" w:cs="Arial" w:eastAsia="Arial" w:hAnsi="Arial"/>
                <w:sz w:val="18"/>
                <w:szCs w:val="18"/>
                <w:color w:val="auto"/>
              </w:rPr>
              <w:t>—   $</w:t>
            </w:r>
          </w:p>
        </w:tc>
        <w:tc>
          <w:tcPr>
            <w:tcW w:w="13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4,997,307</w:t>
            </w:r>
          </w:p>
        </w:tc>
        <w:tc>
          <w:tcPr>
            <w:tcW w:w="0" w:type="dxa"/>
            <w:vAlign w:val="bottom"/>
          </w:tcPr>
          <w:p>
            <w:pPr>
              <w:spacing w:after="0"/>
              <w:rPr>
                <w:sz w:val="1"/>
                <w:szCs w:val="1"/>
                <w:color w:val="auto"/>
              </w:rPr>
            </w:pPr>
          </w:p>
        </w:tc>
      </w:tr>
      <w:tr>
        <w:trPr>
          <w:trHeight w:val="243"/>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February 1 through February 28, 2020</w:t>
            </w:r>
          </w:p>
        </w:tc>
        <w:tc>
          <w:tcPr>
            <w:tcW w:w="15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3"/>
              <w:spacing w:after="0"/>
              <w:rPr>
                <w:sz w:val="20"/>
                <w:szCs w:val="20"/>
                <w:color w:val="auto"/>
              </w:rPr>
            </w:pPr>
            <w:r>
              <w:rPr>
                <w:rFonts w:ascii="Arial" w:cs="Arial" w:eastAsia="Arial" w:hAnsi="Arial"/>
                <w:sz w:val="18"/>
                <w:szCs w:val="18"/>
                <w:color w:val="auto"/>
              </w:rPr>
              <w:t>4,997,307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March 1 through March 31, 2020</w:t>
            </w:r>
            <w:r>
              <w:rPr>
                <w:rFonts w:ascii="Arial" w:cs="Arial" w:eastAsia="Arial" w:hAnsi="Arial"/>
                <w:sz w:val="25"/>
                <w:szCs w:val="25"/>
                <w:color w:val="auto"/>
                <w:vertAlign w:val="superscript"/>
              </w:rPr>
              <w:t>(3)</w:t>
            </w:r>
          </w:p>
        </w:tc>
        <w:tc>
          <w:tcPr>
            <w:tcW w:w="1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689,928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689,928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6,288,063</w:t>
            </w:r>
          </w:p>
        </w:tc>
        <w:tc>
          <w:tcPr>
            <w:tcW w:w="0" w:type="dxa"/>
            <w:vAlign w:val="bottom"/>
          </w:tcPr>
          <w:p>
            <w:pPr>
              <w:spacing w:after="0"/>
              <w:rPr>
                <w:sz w:val="1"/>
                <w:szCs w:val="1"/>
                <w:color w:val="auto"/>
              </w:rPr>
            </w:pPr>
          </w:p>
        </w:tc>
      </w:tr>
      <w:tr>
        <w:trPr>
          <w:trHeight w:val="257"/>
        </w:trPr>
        <w:tc>
          <w:tcPr>
            <w:tcW w:w="45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708,436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689,928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three months ended March 31, 2020, we repurchased 689,928 shares of our common stock pursuant to the Share Repurchase Program.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jc w:val="both"/>
        <w:ind w:left="500" w:hanging="492"/>
        <w:spacing w:after="0" w:line="266" w:lineRule="auto"/>
        <w:tabs>
          <w:tab w:leader="none" w:pos="50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ind w:left="500"/>
        <w:spacing w:after="0" w:line="279" w:lineRule="auto"/>
        <w:rPr>
          <w:sz w:val="20"/>
          <w:szCs w:val="20"/>
          <w:color w:val="auto"/>
        </w:rPr>
      </w:pPr>
      <w:r>
        <w:rPr>
          <w:rFonts w:ascii="Arial" w:cs="Arial" w:eastAsia="Arial" w:hAnsi="Arial"/>
          <w:sz w:val="16"/>
          <w:szCs w:val="16"/>
          <w:color w:val="auto"/>
        </w:rPr>
        <w:t>until the earlier of (i) March 8, 2021 or (ii) the repurchase of $30.0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three months ended March 31, 2020, the Company repurchased 689,928 shares of the Company’s common stock pursuant to the Share Repurchase Program. As of March 31, 2020, the dollar value of shares that remained available to be purchased by the Company under the Share Repurchase Program was approximately $6.3 million.</w:t>
      </w:r>
    </w:p>
    <w:p>
      <w:pPr>
        <w:spacing w:after="0" w:line="3" w:lineRule="exact"/>
        <w:rPr>
          <w:sz w:val="20"/>
          <w:szCs w:val="20"/>
          <w:color w:val="auto"/>
        </w:rPr>
      </w:pPr>
    </w:p>
    <w:p>
      <w:pPr>
        <w:ind w:left="500" w:hanging="492"/>
        <w:spacing w:after="0" w:line="253"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purchases of our common stock made on the open market by or on behalf of any “affiliated purchaser,” as defined in Exchange Act Rule 10b-18(a)(3), of the Company.</w:t>
      </w:r>
    </w:p>
    <w:p>
      <w:pPr>
        <w:ind w:left="500" w:hanging="492"/>
        <w:spacing w:after="0" w:line="328" w:lineRule="auto"/>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Subsequent to quarter-end, through May 8, 2020, we repurchased an additional 594,637 shares under the Share Repurchase Program for an aggregate purchase price of $3.6 million. As of May 8, 2020, the dollar value of shares that may yet be purchased by us under the Share Repurchase Program is approximately $2.7 million.</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3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97" w:lineRule="exact"/>
        <w:rPr>
          <w:sz w:val="20"/>
          <w:szCs w:val="20"/>
          <w:color w:val="auto"/>
        </w:rPr>
      </w:pPr>
    </w:p>
    <w:p>
      <w:pPr>
        <w:jc w:val="center"/>
        <w:ind w:right="7739"/>
        <w:spacing w:after="0"/>
        <w:rPr>
          <w:sz w:val="20"/>
          <w:szCs w:val="20"/>
          <w:color w:val="auto"/>
        </w:rPr>
      </w:pPr>
      <w:r>
        <w:rPr>
          <w:rFonts w:ascii="Arial" w:cs="Arial" w:eastAsia="Arial" w:hAnsi="Arial"/>
          <w:sz w:val="18"/>
          <w:szCs w:val="18"/>
          <w:color w:val="auto"/>
        </w:rPr>
        <w:t>Not applicable.</w:t>
      </w:r>
    </w:p>
    <w:p>
      <w:pPr>
        <w:spacing w:after="0" w:line="23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139"/>
          </w:cols>
          <w:pgMar w:left="320" w:top="122" w:right="1440" w:bottom="1440" w:gutter="0" w:footer="0" w:header="0"/>
        </w:sectPr>
      </w:pPr>
    </w:p>
    <w:bookmarkStart w:id="70" w:name="page71"/>
    <w:bookmarkEnd w:id="70"/>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171"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106">
        <w:r>
          <w:rPr>
            <w:rFonts w:ascii="Arial" w:cs="Arial" w:eastAsia="Arial" w:hAnsi="Arial"/>
            <w:sz w:val="16"/>
            <w:szCs w:val="16"/>
            <w:u w:val="single" w:color="auto"/>
            <w:color w:val="0000FF"/>
          </w:rPr>
          <w:t>Articles of Amendment and Restatement</w:t>
        </w:r>
      </w:hyperlink>
      <w:r>
        <w:rPr>
          <w:rFonts w:ascii="Arial" w:cs="Arial" w:eastAsia="Arial" w:hAnsi="Arial"/>
          <w:sz w:val="22"/>
          <w:szCs w:val="22"/>
          <w:color w:val="000000"/>
          <w:vertAlign w:val="superscript"/>
        </w:rPr>
        <w:t>(1)</w:t>
      </w:r>
    </w:p>
    <w:p>
      <w:pPr>
        <w:spacing w:after="0" w:line="27"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07">
        <w:r>
          <w:rPr>
            <w:rFonts w:ascii="Arial" w:cs="Arial" w:eastAsia="Arial" w:hAnsi="Arial"/>
            <w:sz w:val="16"/>
            <w:szCs w:val="16"/>
            <w:u w:val="single" w:color="auto"/>
            <w:color w:val="0000FF"/>
          </w:rPr>
          <w:t>Articles of Amendment</w:t>
        </w:r>
      </w:hyperlink>
      <w:r>
        <w:rPr>
          <w:rFonts w:ascii="Arial" w:cs="Arial" w:eastAsia="Arial" w:hAnsi="Arial"/>
          <w:sz w:val="22"/>
          <w:szCs w:val="22"/>
          <w:color w:val="000000"/>
          <w:vertAlign w:val="superscript"/>
        </w:rPr>
        <w:t>(2)</w:t>
      </w:r>
    </w:p>
    <w:p>
      <w:pPr>
        <w:spacing w:after="0" w:line="17" w:lineRule="exact"/>
        <w:rPr>
          <w:sz w:val="20"/>
          <w:szCs w:val="20"/>
          <w:color w:val="auto"/>
        </w:rPr>
      </w:pPr>
    </w:p>
    <w:p>
      <w:pPr>
        <w:ind w:left="24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3.3</w:t>
      </w:r>
      <w:r>
        <w:rPr>
          <w:sz w:val="20"/>
          <w:szCs w:val="20"/>
          <w:color w:val="auto"/>
        </w:rPr>
        <w:tab/>
      </w:r>
      <w:hyperlink r:id="rId108">
        <w:r>
          <w:rPr>
            <w:rFonts w:ascii="Arial" w:cs="Arial" w:eastAsia="Arial" w:hAnsi="Arial"/>
            <w:sz w:val="16"/>
            <w:szCs w:val="16"/>
            <w:u w:val="single" w:color="auto"/>
            <w:color w:val="0000FF"/>
          </w:rPr>
          <w:t>Articles of Amendment</w:t>
        </w:r>
      </w:hyperlink>
      <w:r>
        <w:rPr>
          <w:rFonts w:ascii="Arial" w:cs="Arial" w:eastAsia="Arial" w:hAnsi="Arial"/>
          <w:sz w:val="22"/>
          <w:szCs w:val="22"/>
          <w:color w:val="000000"/>
          <w:vertAlign w:val="superscript"/>
        </w:rPr>
        <w:t>(3)</w:t>
      </w:r>
    </w:p>
    <w:p>
      <w:pPr>
        <w:spacing w:after="0" w:line="17" w:lineRule="exact"/>
        <w:rPr>
          <w:sz w:val="20"/>
          <w:szCs w:val="20"/>
          <w:color w:val="auto"/>
        </w:rPr>
      </w:pPr>
    </w:p>
    <w:p>
      <w:pPr>
        <w:ind w:left="240"/>
        <w:spacing w:after="0"/>
        <w:tabs>
          <w:tab w:leader="none" w:pos="700" w:val="left"/>
        </w:tabs>
        <w:rPr>
          <w:rFonts w:ascii="Arial" w:cs="Arial" w:eastAsia="Arial" w:hAnsi="Arial"/>
          <w:sz w:val="15"/>
          <w:szCs w:val="15"/>
          <w:u w:val="single" w:color="auto"/>
          <w:color w:val="0000FF"/>
        </w:rPr>
      </w:pPr>
      <w:r>
        <w:rPr>
          <w:rFonts w:ascii="Arial" w:cs="Arial" w:eastAsia="Arial" w:hAnsi="Arial"/>
          <w:sz w:val="18"/>
          <w:szCs w:val="18"/>
          <w:color w:val="auto"/>
        </w:rPr>
        <w:t>3.4</w:t>
      </w:r>
      <w:r>
        <w:rPr>
          <w:sz w:val="20"/>
          <w:szCs w:val="20"/>
          <w:color w:val="auto"/>
        </w:rPr>
        <w:tab/>
      </w:r>
      <w:hyperlink r:id="rId109">
        <w:r>
          <w:rPr>
            <w:rFonts w:ascii="Arial" w:cs="Arial" w:eastAsia="Arial" w:hAnsi="Arial"/>
            <w:sz w:val="15"/>
            <w:szCs w:val="15"/>
            <w:u w:val="single" w:color="auto"/>
            <w:color w:val="0000FF"/>
          </w:rPr>
          <w:t>Amended and Restated Bylaws</w:t>
        </w:r>
      </w:hyperlink>
      <w:r>
        <w:rPr>
          <w:rFonts w:ascii="Arial" w:cs="Arial" w:eastAsia="Arial" w:hAnsi="Arial"/>
          <w:sz w:val="21"/>
          <w:szCs w:val="21"/>
          <w:color w:val="000000"/>
          <w:vertAlign w:val="superscript"/>
        </w:rPr>
        <w:t>(3)</w:t>
      </w:r>
    </w:p>
    <w:p>
      <w:pPr>
        <w:spacing w:after="0" w:line="34" w:lineRule="exact"/>
        <w:rPr>
          <w:sz w:val="20"/>
          <w:szCs w:val="20"/>
          <w:color w:val="auto"/>
        </w:rPr>
      </w:pPr>
    </w:p>
    <w:p>
      <w:pPr>
        <w:ind w:left="18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w:anchor="page73">
        <w:r>
          <w:rPr>
            <w:rFonts w:ascii="Arial" w:cs="Arial" w:eastAsia="Arial" w:hAnsi="Arial"/>
            <w:sz w:val="16"/>
            <w:szCs w:val="16"/>
            <w:u w:val="single" w:color="auto"/>
            <w:color w:val="0000FF"/>
          </w:rPr>
          <w:t>Amended and Restated Employment Agreement, dated April 28, 2020, by and between Sutter Rock Capital Corp. and Mark D. Klein*</w:t>
        </w:r>
      </w:hyperlink>
    </w:p>
    <w:p>
      <w:pPr>
        <w:spacing w:after="0" w:line="47" w:lineRule="exact"/>
        <w:rPr>
          <w:sz w:val="20"/>
          <w:szCs w:val="20"/>
          <w:color w:val="auto"/>
        </w:rPr>
      </w:pPr>
    </w:p>
    <w:p>
      <w:pPr>
        <w:ind w:left="18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w:anchor="page93">
        <w:r>
          <w:rPr>
            <w:rFonts w:ascii="Arial" w:cs="Arial" w:eastAsia="Arial" w:hAnsi="Arial"/>
            <w:sz w:val="16"/>
            <w:szCs w:val="16"/>
            <w:u w:val="single" w:color="auto"/>
            <w:color w:val="0000FF"/>
          </w:rPr>
          <w:t>Amended and Restated Employment Agreement, dated April 28, 2020, by and between Sutter Rock Capital Corp. and Allison Green*</w:t>
        </w:r>
      </w:hyperlink>
    </w:p>
    <w:p>
      <w:pPr>
        <w:spacing w:after="0" w:line="63" w:lineRule="exact"/>
        <w:rPr>
          <w:sz w:val="20"/>
          <w:szCs w:val="20"/>
          <w:color w:val="auto"/>
        </w:rPr>
      </w:pPr>
    </w:p>
    <w:p>
      <w:pPr>
        <w:ind w:left="18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w:anchor="page113">
        <w:r>
          <w:rPr>
            <w:rFonts w:ascii="Arial" w:cs="Arial" w:eastAsia="Arial" w:hAnsi="Arial"/>
            <w:sz w:val="16"/>
            <w:szCs w:val="16"/>
            <w:u w:val="single" w:color="auto"/>
            <w:color w:val="0000FF"/>
          </w:rPr>
          <w:t>Form Option Cancellation Agreement*</w:t>
        </w:r>
      </w:hyperlink>
    </w:p>
    <w:p>
      <w:pPr>
        <w:spacing w:after="0" w:line="63" w:lineRule="exact"/>
        <w:rPr>
          <w:sz w:val="20"/>
          <w:szCs w:val="20"/>
          <w:color w:val="auto"/>
        </w:rPr>
      </w:pPr>
    </w:p>
    <w:p>
      <w:pPr>
        <w:ind w:left="18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16">
        <w:r>
          <w:rPr>
            <w:rFonts w:ascii="Arial" w:cs="Arial" w:eastAsia="Arial" w:hAnsi="Arial"/>
            <w:sz w:val="16"/>
            <w:szCs w:val="16"/>
            <w:u w:val="single" w:color="auto"/>
            <w:color w:val="0000FF"/>
          </w:rPr>
          <w:t>Certification of Chief Executive Officer pursuant to Rule 13a-14 of the Securities Exchange Act of 1934, as amended*</w:t>
        </w:r>
      </w:hyperlink>
    </w:p>
    <w:p>
      <w:pPr>
        <w:spacing w:after="0" w:line="63" w:lineRule="exact"/>
        <w:rPr>
          <w:sz w:val="20"/>
          <w:szCs w:val="20"/>
          <w:color w:val="auto"/>
        </w:rPr>
      </w:pPr>
    </w:p>
    <w:p>
      <w:pPr>
        <w:ind w:left="18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17">
        <w:r>
          <w:rPr>
            <w:rFonts w:ascii="Arial" w:cs="Arial" w:eastAsia="Arial" w:hAnsi="Arial"/>
            <w:sz w:val="16"/>
            <w:szCs w:val="16"/>
            <w:u w:val="single" w:color="auto"/>
            <w:color w:val="0000FF"/>
          </w:rPr>
          <w:t>Certification of Chief Financial Officer pursuant to Rule 13a-14 of the Securities Exchange Act of 1934, as amended*</w:t>
        </w:r>
      </w:hyperlink>
    </w:p>
    <w:p>
      <w:pPr>
        <w:spacing w:after="0" w:line="63" w:lineRule="exact"/>
        <w:rPr>
          <w:sz w:val="20"/>
          <w:szCs w:val="20"/>
          <w:color w:val="auto"/>
        </w:rPr>
      </w:pPr>
    </w:p>
    <w:p>
      <w:pPr>
        <w:ind w:left="18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118">
        <w:r>
          <w:rPr>
            <w:rFonts w:ascii="Arial" w:cs="Arial" w:eastAsia="Arial" w:hAnsi="Arial"/>
            <w:sz w:val="16"/>
            <w:szCs w:val="16"/>
            <w:u w:val="single" w:color="auto"/>
            <w:color w:val="0000FF"/>
          </w:rPr>
          <w:t>Certification of Chief Executive Officer pursuant to Section 906 of the Sarbanes-Oxley Act of 2002*</w:t>
        </w:r>
      </w:hyperlink>
    </w:p>
    <w:p>
      <w:pPr>
        <w:spacing w:after="0" w:line="63" w:lineRule="exact"/>
        <w:rPr>
          <w:sz w:val="20"/>
          <w:szCs w:val="20"/>
          <w:color w:val="auto"/>
        </w:rPr>
      </w:pPr>
    </w:p>
    <w:p>
      <w:pPr>
        <w:ind w:left="180"/>
        <w:spacing w:after="0"/>
        <w:tabs>
          <w:tab w:leader="none" w:pos="70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119">
        <w:r>
          <w:rPr>
            <w:rFonts w:ascii="Arial" w:cs="Arial" w:eastAsia="Arial" w:hAnsi="Arial"/>
            <w:sz w:val="16"/>
            <w:szCs w:val="16"/>
            <w:u w:val="single" w:color="auto"/>
            <w:color w:val="0000FF"/>
          </w:rPr>
          <w:t>Certification of Chief Financial Officer pursuant to Section 906 of the Sarbanes-Oxley Act of 2002*</w:t>
        </w:r>
      </w:hyperlink>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w:t>
      </w:r>
    </w:p>
    <w:p>
      <w:pPr>
        <w:spacing w:after="0" w:line="27" w:lineRule="exact"/>
        <w:rPr>
          <w:sz w:val="20"/>
          <w:szCs w:val="20"/>
          <w:color w:val="auto"/>
        </w:rPr>
      </w:pPr>
    </w:p>
    <w:p>
      <w:pPr>
        <w:ind w:left="500" w:hanging="492"/>
        <w:spacing w:after="0" w:line="276"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211"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 2011, and incorporated by reference herein.</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August 1, 2019, and incorporated by reference herein.</w:t>
      </w:r>
    </w:p>
    <w:p>
      <w:pPr>
        <w:spacing w:after="0" w:line="170"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740"/>
          </w:cols>
          <w:pgMar w:left="320" w:top="122"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8,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8, 2020</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SUTTER ROCK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240030</wp:posOffset>
            </wp:positionV>
            <wp:extent cx="889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37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31750</wp:posOffset>
            </wp:positionV>
            <wp:extent cx="3351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Mark D. Klein</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237490</wp:posOffset>
            </wp:positionV>
            <wp:extent cx="889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8890" cy="171450"/>
                    </a:xfrm>
                    <a:prstGeom prst="rect">
                      <a:avLst/>
                    </a:prstGeom>
                    <a:noFill/>
                  </pic:spPr>
                </pic:pic>
              </a:graphicData>
            </a:graphic>
          </wp:anchor>
        </w:drawing>
      </w:r>
    </w:p>
    <w:p>
      <w:pPr>
        <w:spacing w:after="0" w:line="3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31750</wp:posOffset>
            </wp:positionV>
            <wp:extent cx="33515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Allison Green</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Chief Financial Officer, Chief Compliance Officer, Treasurer, and</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Corporate Secretary</w:t>
      </w:r>
    </w:p>
    <w:p>
      <w:pPr>
        <w:spacing w:after="0" w:line="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ectPr>
          <w:pgSz w:w="11900" w:h="16838" w:orient="portrait"/>
          <w:cols w:equalWidth="0" w:num="2">
            <w:col w:w="4840" w:space="720"/>
            <w:col w:w="5180"/>
          </w:cols>
          <w:pgMar w:left="320" w:top="122" w:right="8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0740"/>
          </w:cols>
          <w:pgMar w:left="320" w:top="122" w:right="83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EMPLOYMENT AGREEMENT</w:t>
      </w:r>
    </w:p>
    <w:p>
      <w:pPr>
        <w:spacing w:after="0" w:line="235"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This AMENDED AND RESTATED EMPLOYMENT AGREEMENT is made and entered into this 28th day of April, 2020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Sutter Rock Capital Corp., a Maryland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Mark D. Klein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4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is an internally managed, closed-end management investment company that has elected to be treated as a business development company under the Investment Company Act of 1940;</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and the Executive previously entered into an employment agreement, dated April 23, 2019 (the “</w:t>
      </w:r>
      <w:r>
        <w:rPr>
          <w:rFonts w:ascii="Arial" w:cs="Arial" w:eastAsia="Arial" w:hAnsi="Arial"/>
          <w:sz w:val="20"/>
          <w:szCs w:val="20"/>
          <w:u w:val="single" w:color="auto"/>
          <w:color w:val="auto"/>
        </w:rPr>
        <w:t>Prior</w:t>
      </w:r>
      <w:r>
        <w:rPr>
          <w:rFonts w:ascii="Arial" w:cs="Arial" w:eastAsia="Arial" w:hAnsi="Arial"/>
          <w:sz w:val="20"/>
          <w:szCs w:val="20"/>
          <w:color w:val="auto"/>
        </w:rPr>
        <w:t xml:space="preserv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changed its name, as of July 30, 2019, to “Sutter Rock Capital Corp.” from “GSV Capital Corp.”; and</w:t>
      </w:r>
    </w:p>
    <w:p>
      <w:pPr>
        <w:spacing w:after="0" w:line="23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parties desire to amend and restate the Prior Employment Agreement in its entirety to secure the Executive’s employment during the Term (as hereinafter defined), on the terms and conditions set forth herein.</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171" w:lineRule="exact"/>
        <w:rPr>
          <w:sz w:val="20"/>
          <w:szCs w:val="20"/>
          <w:color w:val="auto"/>
        </w:rPr>
      </w:pPr>
    </w:p>
    <w:p>
      <w:pPr>
        <w:jc w:val="both"/>
        <w:ind w:left="340" w:hanging="332"/>
        <w:spacing w:after="0" w:line="253" w:lineRule="auto"/>
        <w:tabs>
          <w:tab w:leader="none" w:pos="340"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Position</w:t>
      </w:r>
      <w:r>
        <w:rPr>
          <w:rFonts w:ascii="Arial" w:cs="Arial" w:eastAsia="Arial" w:hAnsi="Arial"/>
          <w:sz w:val="20"/>
          <w:szCs w:val="20"/>
          <w:color w:val="auto"/>
        </w:rPr>
        <w:t>. The Company hereby reaffirms its employment of the Executive and the Executive agrees to continue to serve the Company as</w:t>
      </w:r>
      <w:r>
        <w:rPr>
          <w:rFonts w:ascii="Arial" w:cs="Arial" w:eastAsia="Arial" w:hAnsi="Arial"/>
          <w:sz w:val="20"/>
          <w:szCs w:val="20"/>
          <w:b w:val="1"/>
          <w:bCs w:val="1"/>
          <w:color w:val="auto"/>
        </w:rPr>
        <w:t xml:space="preserve"> </w:t>
      </w:r>
      <w:r>
        <w:rPr>
          <w:rFonts w:ascii="Arial" w:cs="Arial" w:eastAsia="Arial" w:hAnsi="Arial"/>
          <w:sz w:val="20"/>
          <w:szCs w:val="20"/>
          <w:color w:val="auto"/>
        </w:rPr>
        <w:t>Chief Executive Officer on the terms and conditions set forth in this Agreement. The Executive also agrees to serve as a director of the Company and as a voting member of the Company’s Investment Committee.</w:t>
      </w:r>
    </w:p>
    <w:p>
      <w:pPr>
        <w:spacing w:after="0" w:line="177" w:lineRule="exact"/>
        <w:rPr>
          <w:rFonts w:ascii="Arial" w:cs="Arial" w:eastAsia="Arial" w:hAnsi="Arial"/>
          <w:sz w:val="20"/>
          <w:szCs w:val="20"/>
          <w:color w:val="auto"/>
        </w:rPr>
      </w:pPr>
    </w:p>
    <w:p>
      <w:pPr>
        <w:jc w:val="both"/>
        <w:ind w:left="340" w:hanging="332"/>
        <w:spacing w:after="0" w:line="242" w:lineRule="auto"/>
        <w:tabs>
          <w:tab w:leader="none" w:pos="340"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Employment Term</w:t>
      </w:r>
      <w:r>
        <w:rPr>
          <w:rFonts w:ascii="Arial" w:cs="Arial" w:eastAsia="Arial" w:hAnsi="Arial"/>
          <w:sz w:val="20"/>
          <w:szCs w:val="20"/>
          <w:color w:val="auto"/>
        </w:rPr>
        <w:t>. Subject to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w:t>
      </w:r>
      <w:r>
        <w:rPr>
          <w:rFonts w:ascii="Arial" w:cs="Arial" w:eastAsia="Arial" w:hAnsi="Arial"/>
          <w:sz w:val="20"/>
          <w:szCs w:val="20"/>
          <w:color w:val="auto"/>
        </w:rPr>
        <w:t>, the Executive’s employment by the Company under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commenced on March 12, 2019, (the “</w:t>
      </w:r>
      <w:r>
        <w:rPr>
          <w:rFonts w:ascii="Arial" w:cs="Arial" w:eastAsia="Arial" w:hAnsi="Arial"/>
          <w:sz w:val="20"/>
          <w:szCs w:val="20"/>
          <w:u w:val="single" w:color="auto"/>
          <w:color w:val="auto"/>
        </w:rPr>
        <w:t>Effective Date</w:t>
      </w:r>
      <w:r>
        <w:rPr>
          <w:rFonts w:ascii="Arial" w:cs="Arial" w:eastAsia="Arial" w:hAnsi="Arial"/>
          <w:sz w:val="20"/>
          <w:szCs w:val="20"/>
          <w:color w:val="auto"/>
        </w:rPr>
        <w:t>”) and shall end on December 31, 2023 (the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Unless terminated earlier pursuant to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the Term shall be automatically extended for one year on December 31, 2023, and then on each succeeding anniversary of December 31, 2023, unless either party elects, in writing, to terminate this Agreement at least thirty (30) days prior to the expiration of the then current Term. In the event that the Company declines to extend the Term of this Agreement and the Executive’s employment is terminated, the Executive’s termination shall be treated as a termination Without Cause and the Executive shall receive Accrued Benefits through the date of the Executive’s termination and Severance Benefits in accordance with the terms of </w:t>
      </w:r>
      <w:r>
        <w:rPr>
          <w:rFonts w:ascii="Arial" w:cs="Arial" w:eastAsia="Arial" w:hAnsi="Arial"/>
          <w:sz w:val="20"/>
          <w:szCs w:val="20"/>
          <w:u w:val="single" w:color="auto"/>
          <w:color w:val="auto"/>
        </w:rPr>
        <w:t>Section 8(f)</w:t>
      </w:r>
      <w:r>
        <w:rPr>
          <w:rFonts w:ascii="Arial" w:cs="Arial" w:eastAsia="Arial" w:hAnsi="Arial"/>
          <w:sz w:val="20"/>
          <w:szCs w:val="20"/>
          <w:color w:val="auto"/>
        </w:rPr>
        <w:t>, provided, however, that the Executive is willing and able to execute such extension and to continue performing services under this Agreement.</w:t>
      </w:r>
    </w:p>
    <w:p>
      <w:pPr>
        <w:spacing w:after="0" w:line="194" w:lineRule="exact"/>
        <w:rPr>
          <w:rFonts w:ascii="Arial" w:cs="Arial" w:eastAsia="Arial" w:hAnsi="Arial"/>
          <w:sz w:val="20"/>
          <w:szCs w:val="20"/>
          <w:color w:val="auto"/>
        </w:rPr>
      </w:pPr>
    </w:p>
    <w:p>
      <w:pPr>
        <w:jc w:val="both"/>
        <w:ind w:left="340" w:hanging="332"/>
        <w:spacing w:after="0" w:line="244" w:lineRule="auto"/>
        <w:tabs>
          <w:tab w:leader="none" w:pos="340" w:val="left"/>
        </w:tabs>
        <w:numPr>
          <w:ilvl w:val="0"/>
          <w:numId w:val="44"/>
        </w:numPr>
        <w:rPr>
          <w:rFonts w:ascii="Arial" w:cs="Arial" w:eastAsia="Arial" w:hAnsi="Arial"/>
          <w:sz w:val="20"/>
          <w:szCs w:val="20"/>
          <w:color w:val="auto"/>
        </w:rPr>
      </w:pPr>
      <w:r>
        <w:rPr>
          <w:rFonts w:ascii="Arial" w:cs="Arial" w:eastAsia="Arial" w:hAnsi="Arial"/>
          <w:sz w:val="20"/>
          <w:szCs w:val="20"/>
          <w:b w:val="1"/>
          <w:bCs w:val="1"/>
          <w:color w:val="auto"/>
        </w:rPr>
        <w:t>Duties</w:t>
      </w:r>
      <w:r>
        <w:rPr>
          <w:rFonts w:ascii="Arial" w:cs="Arial" w:eastAsia="Arial" w:hAnsi="Arial"/>
          <w:sz w:val="20"/>
          <w:szCs w:val="20"/>
          <w:color w:val="auto"/>
        </w:rPr>
        <w:t>. During the Executive’s employment, the Executive shall have all the power, authority and responsibilities customarily related to</w:t>
      </w:r>
      <w:r>
        <w:rPr>
          <w:rFonts w:ascii="Arial" w:cs="Arial" w:eastAsia="Arial" w:hAnsi="Arial"/>
          <w:sz w:val="20"/>
          <w:szCs w:val="20"/>
          <w:b w:val="1"/>
          <w:bCs w:val="1"/>
          <w:color w:val="auto"/>
        </w:rPr>
        <w:t xml:space="preserve"> </w:t>
      </w:r>
      <w:r>
        <w:rPr>
          <w:rFonts w:ascii="Arial" w:cs="Arial" w:eastAsia="Arial" w:hAnsi="Arial"/>
          <w:sz w:val="20"/>
          <w:szCs w:val="20"/>
          <w:color w:val="auto"/>
        </w:rPr>
        <w:t>the Executive’s position as Chief Executive Officer of the Company and as may be assigned by and under the direction and control of the Board of Directors of the Company (the “</w:t>
      </w:r>
      <w:r>
        <w:rPr>
          <w:rFonts w:ascii="Arial" w:cs="Arial" w:eastAsia="Arial" w:hAnsi="Arial"/>
          <w:sz w:val="20"/>
          <w:szCs w:val="20"/>
          <w:u w:val="single" w:color="auto"/>
          <w:color w:val="auto"/>
        </w:rPr>
        <w:t>Board</w:t>
      </w:r>
      <w:r>
        <w:rPr>
          <w:rFonts w:ascii="Arial" w:cs="Arial" w:eastAsia="Arial" w:hAnsi="Arial"/>
          <w:sz w:val="20"/>
          <w:szCs w:val="20"/>
          <w:color w:val="auto"/>
        </w:rPr>
        <w:t>”). During the Term, the Executive shall not engage in any other business activity that would materially interfere with the Executive’s responsibilities or performance of duties under this Agreement, unless approved by the Board. Notwithstanding the foregoing, nothing herein shall prohibit the Executive from (i) subject to prior approval of the Board, accepting directorships unrelated to the Company that do not give rise to any conflicts of interest with the Company or its Affiliates, (ii) engaging in charitable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6" w:right="339" w:bottom="1440" w:gutter="0" w:footer="0" w:header="0"/>
        </w:sectPr>
      </w:pPr>
    </w:p>
    <w:bookmarkStart w:id="73" w:name="page74"/>
    <w:bookmarkEnd w:id="73"/>
    <w:p>
      <w:pPr>
        <w:ind w:left="332"/>
        <w:spacing w:after="0"/>
        <w:rPr>
          <w:sz w:val="20"/>
          <w:szCs w:val="20"/>
          <w:color w:val="auto"/>
        </w:rPr>
      </w:pPr>
      <w:r>
        <w:rPr>
          <w:rFonts w:ascii="Arial" w:cs="Arial" w:eastAsia="Arial" w:hAnsi="Arial"/>
          <w:sz w:val="19"/>
          <w:szCs w:val="19"/>
          <w:color w:val="auto"/>
        </w:rPr>
        <w:t>and civic activities, so long as such outside interests do not interfere with the performance of Executive’s duties hereunder, or</w:t>
      </w:r>
    </w:p>
    <w:p>
      <w:pPr>
        <w:spacing w:after="0" w:line="14" w:lineRule="exact"/>
        <w:rPr>
          <w:sz w:val="20"/>
          <w:szCs w:val="20"/>
          <w:color w:val="auto"/>
        </w:rPr>
      </w:pPr>
    </w:p>
    <w:p>
      <w:pPr>
        <w:ind w:left="332"/>
        <w:spacing w:after="0"/>
        <w:rPr>
          <w:sz w:val="20"/>
          <w:szCs w:val="20"/>
          <w:color w:val="auto"/>
        </w:rPr>
      </w:pPr>
      <w:r>
        <w:rPr>
          <w:rFonts w:ascii="Arial" w:cs="Arial" w:eastAsia="Arial" w:hAnsi="Arial"/>
          <w:sz w:val="20"/>
          <w:szCs w:val="20"/>
          <w:color w:val="auto"/>
        </w:rPr>
        <w:t xml:space="preserve">(iii) engaging in activities expressly permitted by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180" w:lineRule="exact"/>
        <w:rPr>
          <w:sz w:val="20"/>
          <w:szCs w:val="20"/>
          <w:color w:val="auto"/>
        </w:rPr>
      </w:pPr>
    </w:p>
    <w:p>
      <w:pPr>
        <w:ind w:left="332" w:hanging="332"/>
        <w:spacing w:after="0"/>
        <w:tabs>
          <w:tab w:leader="none" w:pos="332" w:val="left"/>
        </w:tabs>
        <w:numPr>
          <w:ilvl w:val="0"/>
          <w:numId w:val="45"/>
        </w:numPr>
        <w:rPr>
          <w:rFonts w:ascii="Arial" w:cs="Arial" w:eastAsia="Arial" w:hAnsi="Arial"/>
          <w:sz w:val="20"/>
          <w:szCs w:val="20"/>
          <w:color w:val="auto"/>
        </w:rPr>
      </w:pPr>
      <w:r>
        <w:rPr>
          <w:rFonts w:ascii="Arial" w:cs="Arial" w:eastAsia="Arial" w:hAnsi="Arial"/>
          <w:sz w:val="20"/>
          <w:szCs w:val="20"/>
          <w:b w:val="1"/>
          <w:bCs w:val="1"/>
          <w:color w:val="auto"/>
        </w:rPr>
        <w:t>Compensation</w:t>
      </w:r>
      <w:r>
        <w:rPr>
          <w:rFonts w:ascii="Arial" w:cs="Arial" w:eastAsia="Arial" w:hAnsi="Arial"/>
          <w:sz w:val="20"/>
          <w:szCs w:val="20"/>
          <w:color w:val="auto"/>
        </w:rPr>
        <w:t>.</w:t>
      </w:r>
    </w:p>
    <w:p>
      <w:pPr>
        <w:spacing w:after="0" w:line="235" w:lineRule="exact"/>
        <w:rPr>
          <w:rFonts w:ascii="Arial" w:cs="Arial" w:eastAsia="Arial" w:hAnsi="Arial"/>
          <w:sz w:val="20"/>
          <w:szCs w:val="20"/>
          <w:color w:val="auto"/>
        </w:rPr>
      </w:pPr>
    </w:p>
    <w:p>
      <w:pPr>
        <w:jc w:val="both"/>
        <w:ind w:left="652" w:hanging="409"/>
        <w:spacing w:after="0" w:line="266" w:lineRule="auto"/>
        <w:tabs>
          <w:tab w:leader="none" w:pos="652" w:val="left"/>
        </w:tabs>
        <w:numPr>
          <w:ilvl w:val="2"/>
          <w:numId w:val="45"/>
        </w:numPr>
        <w:rPr>
          <w:rFonts w:ascii="Arial" w:cs="Arial" w:eastAsia="Arial" w:hAnsi="Arial"/>
          <w:sz w:val="22"/>
          <w:szCs w:val="22"/>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During the Term, the Executive shall be compensated for the Executive’s services at an initial annual rate of base salary of eight hundred fifty thousand dollars ($850,000), which may be reviewed and increased (but not decreased) on an annual basis by the Board in its sole discretion, payable in accordance with the Company’s regular payroll schedule (the “</w:t>
      </w:r>
      <w:r>
        <w:rPr>
          <w:rFonts w:ascii="Arial" w:cs="Arial" w:eastAsia="Arial" w:hAnsi="Arial"/>
          <w:sz w:val="20"/>
          <w:szCs w:val="20"/>
          <w:u w:val="single" w:color="auto"/>
          <w:color w:val="auto"/>
        </w:rPr>
        <w:t>Base Salary</w:t>
      </w:r>
      <w:r>
        <w:rPr>
          <w:rFonts w:ascii="Arial" w:cs="Arial" w:eastAsia="Arial" w:hAnsi="Arial"/>
          <w:sz w:val="20"/>
          <w:szCs w:val="20"/>
          <w:color w:val="auto"/>
        </w:rPr>
        <w:t>”). All payments made to or on behalf of the Executive under the terms of this Agreement, including all payments of Base Salary and any bonuses, shall be subject to all withholding required by law (such as income and payroll taxes) and such additional withholding as may be agreed upon by the Executive.</w:t>
      </w:r>
    </w:p>
    <w:p>
      <w:pPr>
        <w:spacing w:after="0" w:line="200" w:lineRule="exact"/>
        <w:rPr>
          <w:rFonts w:ascii="Arial" w:cs="Arial" w:eastAsia="Arial" w:hAnsi="Arial"/>
          <w:sz w:val="22"/>
          <w:szCs w:val="22"/>
          <w:color w:val="auto"/>
        </w:rPr>
      </w:pPr>
    </w:p>
    <w:p>
      <w:pPr>
        <w:jc w:val="both"/>
        <w:ind w:left="652" w:hanging="423"/>
        <w:spacing w:after="0" w:line="282" w:lineRule="auto"/>
        <w:tabs>
          <w:tab w:leader="none" w:pos="652" w:val="left"/>
        </w:tabs>
        <w:numPr>
          <w:ilvl w:val="2"/>
          <w:numId w:val="45"/>
        </w:numPr>
        <w:rPr>
          <w:rFonts w:ascii="Arial" w:cs="Arial" w:eastAsia="Arial" w:hAnsi="Arial"/>
          <w:sz w:val="21"/>
          <w:szCs w:val="21"/>
          <w:color w:val="auto"/>
        </w:rPr>
      </w:pPr>
      <w:r>
        <w:rPr>
          <w:rFonts w:ascii="Arial" w:cs="Arial" w:eastAsia="Arial" w:hAnsi="Arial"/>
          <w:sz w:val="19"/>
          <w:szCs w:val="19"/>
          <w:u w:val="single" w:color="auto"/>
          <w:color w:val="auto"/>
        </w:rPr>
        <w:t>Annual Bonus Arrangements</w:t>
      </w:r>
      <w:r>
        <w:rPr>
          <w:rFonts w:ascii="Arial" w:cs="Arial" w:eastAsia="Arial" w:hAnsi="Arial"/>
          <w:sz w:val="19"/>
          <w:szCs w:val="19"/>
          <w:color w:val="auto"/>
        </w:rPr>
        <w:t>. The Executive will be eligible to receive annual bonus payments up to one hundred percent (100%) of the Executive’s then-effective Base Salary, payable in amounts and at such times as determined in good faith by the Board, based on meeting Company performance objectives, performance goals, and other objectives as mutually agreed upon by the Board and the Executive, and as may be amended from time to time (the “</w:t>
      </w:r>
      <w:r>
        <w:rPr>
          <w:rFonts w:ascii="Arial" w:cs="Arial" w:eastAsia="Arial" w:hAnsi="Arial"/>
          <w:sz w:val="19"/>
          <w:szCs w:val="19"/>
          <w:u w:val="single" w:color="auto"/>
          <w:color w:val="auto"/>
        </w:rPr>
        <w:t>Annual Bonus</w:t>
      </w:r>
      <w:r>
        <w:rPr>
          <w:rFonts w:ascii="Arial" w:cs="Arial" w:eastAsia="Arial" w:hAnsi="Arial"/>
          <w:sz w:val="19"/>
          <w:szCs w:val="19"/>
          <w:color w:val="auto"/>
        </w:rPr>
        <w:t>”). The Executive must remain employed by the Company through the date on which the Annual Bonus is earned, which is December 31 of each year, whether or not the Executive remains employed by the Company on the date the bonus is actually payable. Notwithstanding the foregoing, in the event that the Executive is terminated for Cause (as defined below) prior to the payment of any Annual Bonus, the Executive shall not be entitled to the payment of such Annual Bonus.</w:t>
      </w:r>
    </w:p>
    <w:p>
      <w:pPr>
        <w:spacing w:after="0" w:line="187" w:lineRule="exact"/>
        <w:rPr>
          <w:rFonts w:ascii="Arial" w:cs="Arial" w:eastAsia="Arial" w:hAnsi="Arial"/>
          <w:sz w:val="21"/>
          <w:szCs w:val="21"/>
          <w:color w:val="auto"/>
        </w:rPr>
      </w:pPr>
    </w:p>
    <w:p>
      <w:pPr>
        <w:jc w:val="both"/>
        <w:ind w:left="652" w:hanging="423"/>
        <w:spacing w:after="0" w:line="266" w:lineRule="auto"/>
        <w:tabs>
          <w:tab w:leader="none" w:pos="652" w:val="left"/>
        </w:tabs>
        <w:numPr>
          <w:ilvl w:val="1"/>
          <w:numId w:val="45"/>
        </w:numPr>
        <w:rPr>
          <w:rFonts w:ascii="Arial" w:cs="Arial" w:eastAsia="Arial" w:hAnsi="Arial"/>
          <w:sz w:val="22"/>
          <w:szCs w:val="22"/>
          <w:color w:val="auto"/>
        </w:rPr>
      </w:pPr>
      <w:r>
        <w:rPr>
          <w:rFonts w:ascii="Arial" w:cs="Arial" w:eastAsia="Arial" w:hAnsi="Arial"/>
          <w:sz w:val="20"/>
          <w:szCs w:val="20"/>
          <w:u w:val="single" w:color="auto"/>
          <w:color w:val="auto"/>
        </w:rPr>
        <w:t>Additional Bonus</w:t>
      </w:r>
      <w:r>
        <w:rPr>
          <w:rFonts w:ascii="Arial" w:cs="Arial" w:eastAsia="Arial" w:hAnsi="Arial"/>
          <w:sz w:val="20"/>
          <w:szCs w:val="20"/>
          <w:color w:val="auto"/>
        </w:rPr>
        <w:t>. The Executive will be eligible to receive an additional bonus in excess of the Annual Bonus (the “</w:t>
      </w:r>
      <w:r>
        <w:rPr>
          <w:rFonts w:ascii="Arial" w:cs="Arial" w:eastAsia="Arial" w:hAnsi="Arial"/>
          <w:sz w:val="20"/>
          <w:szCs w:val="20"/>
          <w:u w:val="single" w:color="auto"/>
          <w:color w:val="auto"/>
        </w:rPr>
        <w:t>Additional</w:t>
      </w:r>
      <w:r>
        <w:rPr>
          <w:rFonts w:ascii="Arial" w:cs="Arial" w:eastAsia="Arial" w:hAnsi="Arial"/>
          <w:sz w:val="20"/>
          <w:szCs w:val="20"/>
          <w:color w:val="auto"/>
        </w:rPr>
        <w:t xml:space="preserve"> </w:t>
      </w:r>
      <w:r>
        <w:rPr>
          <w:rFonts w:ascii="Arial" w:cs="Arial" w:eastAsia="Arial" w:hAnsi="Arial"/>
          <w:sz w:val="20"/>
          <w:szCs w:val="20"/>
          <w:u w:val="single" w:color="auto"/>
          <w:color w:val="auto"/>
        </w:rPr>
        <w:t>Bonus</w:t>
      </w:r>
      <w:r>
        <w:rPr>
          <w:rFonts w:ascii="Arial" w:cs="Arial" w:eastAsia="Arial" w:hAnsi="Arial"/>
          <w:sz w:val="20"/>
          <w:szCs w:val="20"/>
          <w:color w:val="auto"/>
        </w:rPr>
        <w:t>”) as determined by the Compensation Committee of the Board in its sole discretion, provided that the Executive will use one hundred percent (100%) of the Net Amount (defined below) to purchase shares of common stock of the Company in accordance with Company policies and procedures and applicable law. The “</w:t>
      </w:r>
      <w:r>
        <w:rPr>
          <w:rFonts w:ascii="Arial" w:cs="Arial" w:eastAsia="Arial" w:hAnsi="Arial"/>
          <w:sz w:val="20"/>
          <w:szCs w:val="20"/>
          <w:u w:val="single" w:color="auto"/>
          <w:color w:val="auto"/>
        </w:rPr>
        <w:t>Net Amount</w:t>
      </w:r>
      <w:r>
        <w:rPr>
          <w:rFonts w:ascii="Arial" w:cs="Arial" w:eastAsia="Arial" w:hAnsi="Arial"/>
          <w:sz w:val="20"/>
          <w:szCs w:val="20"/>
          <w:color w:val="auto"/>
        </w:rPr>
        <w:t>” means the gross amount of the Additional Bonus less all withholding required by law (such as income and payroll taxes) and such additional withholding as may be agreed upon by the Executive.</w:t>
      </w:r>
    </w:p>
    <w:p>
      <w:pPr>
        <w:spacing w:after="0" w:line="213" w:lineRule="exact"/>
        <w:rPr>
          <w:rFonts w:ascii="Arial" w:cs="Arial" w:eastAsia="Arial" w:hAnsi="Arial"/>
          <w:sz w:val="22"/>
          <w:szCs w:val="22"/>
          <w:color w:val="auto"/>
        </w:rPr>
      </w:pPr>
    </w:p>
    <w:p>
      <w:pPr>
        <w:ind w:left="652" w:hanging="409"/>
        <w:spacing w:after="0" w:line="264" w:lineRule="auto"/>
        <w:tabs>
          <w:tab w:leader="none" w:pos="652" w:val="left"/>
        </w:tabs>
        <w:numPr>
          <w:ilvl w:val="3"/>
          <w:numId w:val="45"/>
        </w:numPr>
        <w:rPr>
          <w:rFonts w:ascii="Arial" w:cs="Arial" w:eastAsia="Arial" w:hAnsi="Arial"/>
          <w:sz w:val="22"/>
          <w:szCs w:val="22"/>
          <w:color w:val="auto"/>
        </w:rPr>
      </w:pPr>
      <w:r>
        <w:rPr>
          <w:rFonts w:ascii="Arial" w:cs="Arial" w:eastAsia="Arial" w:hAnsi="Arial"/>
          <w:sz w:val="20"/>
          <w:szCs w:val="20"/>
          <w:u w:val="single" w:color="auto"/>
          <w:color w:val="auto"/>
        </w:rPr>
        <w:t>Equity</w:t>
      </w:r>
      <w:r>
        <w:rPr>
          <w:rFonts w:ascii="Arial" w:cs="Arial" w:eastAsia="Arial" w:hAnsi="Arial"/>
          <w:sz w:val="20"/>
          <w:szCs w:val="20"/>
          <w:color w:val="auto"/>
        </w:rPr>
        <w:t>. The Executive shall, in the Company’s sole discretion, be eligible to receive awards of equity in accordance with the terms and conditions set forth in the applicable equity incentive plan and equity award agreement.</w:t>
      </w:r>
    </w:p>
    <w:p>
      <w:pPr>
        <w:spacing w:after="0" w:line="192" w:lineRule="exact"/>
        <w:rPr>
          <w:sz w:val="20"/>
          <w:szCs w:val="20"/>
          <w:color w:val="auto"/>
        </w:rPr>
      </w:pPr>
    </w:p>
    <w:p>
      <w:pPr>
        <w:ind w:left="332" w:hanging="332"/>
        <w:spacing w:after="0"/>
        <w:tabs>
          <w:tab w:leader="none" w:pos="332" w:val="left"/>
        </w:tabs>
        <w:numPr>
          <w:ilvl w:val="0"/>
          <w:numId w:val="46"/>
        </w:numPr>
        <w:rPr>
          <w:rFonts w:ascii="Arial" w:cs="Arial" w:eastAsia="Arial" w:hAnsi="Arial"/>
          <w:sz w:val="22"/>
          <w:szCs w:val="22"/>
          <w:color w:val="auto"/>
        </w:rPr>
      </w:pPr>
      <w:r>
        <w:rPr>
          <w:rFonts w:ascii="Arial" w:cs="Arial" w:eastAsia="Arial" w:hAnsi="Arial"/>
          <w:sz w:val="20"/>
          <w:szCs w:val="20"/>
          <w:b w:val="1"/>
          <w:bCs w:val="1"/>
          <w:color w:val="auto"/>
        </w:rPr>
        <w:t>Benefits.</w:t>
      </w:r>
    </w:p>
    <w:p>
      <w:pPr>
        <w:spacing w:after="0" w:line="225" w:lineRule="exact"/>
        <w:rPr>
          <w:rFonts w:ascii="Arial" w:cs="Arial" w:eastAsia="Arial" w:hAnsi="Arial"/>
          <w:sz w:val="22"/>
          <w:szCs w:val="22"/>
          <w:color w:val="auto"/>
        </w:rPr>
      </w:pPr>
    </w:p>
    <w:p>
      <w:pPr>
        <w:jc w:val="both"/>
        <w:ind w:left="652" w:hanging="409"/>
        <w:spacing w:after="0" w:line="308" w:lineRule="auto"/>
        <w:tabs>
          <w:tab w:leader="none" w:pos="652" w:val="left"/>
        </w:tabs>
        <w:numPr>
          <w:ilvl w:val="1"/>
          <w:numId w:val="46"/>
        </w:numPr>
        <w:rPr>
          <w:rFonts w:ascii="Arial" w:cs="Arial" w:eastAsia="Arial" w:hAnsi="Arial"/>
          <w:sz w:val="19"/>
          <w:szCs w:val="19"/>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During the Term, the Company will provide the Executive the highest level and most favored nation employee benefits coverage (including life, health accident insurance and disability programs) provided by the Company. Such participation shall be subject to the terms of the applicable plan documents and policies generally applicable to Company employees, including, without limitation, plan terms or policies relating to employee contributions under any such plans.</w:t>
      </w:r>
    </w:p>
    <w:p>
      <w:pPr>
        <w:spacing w:after="0" w:line="164" w:lineRule="exact"/>
        <w:rPr>
          <w:rFonts w:ascii="Arial" w:cs="Arial" w:eastAsia="Arial" w:hAnsi="Arial"/>
          <w:sz w:val="19"/>
          <w:szCs w:val="19"/>
          <w:color w:val="auto"/>
        </w:rPr>
      </w:pPr>
    </w:p>
    <w:p>
      <w:pPr>
        <w:jc w:val="both"/>
        <w:ind w:left="652" w:hanging="409"/>
        <w:spacing w:after="0" w:line="265" w:lineRule="auto"/>
        <w:tabs>
          <w:tab w:leader="none" w:pos="652" w:val="left"/>
        </w:tabs>
        <w:numPr>
          <w:ilvl w:val="1"/>
          <w:numId w:val="46"/>
        </w:numPr>
        <w:rPr>
          <w:rFonts w:ascii="Arial" w:cs="Arial" w:eastAsia="Arial" w:hAnsi="Arial"/>
          <w:sz w:val="22"/>
          <w:szCs w:val="22"/>
          <w:color w:val="auto"/>
        </w:rPr>
      </w:pPr>
      <w:r>
        <w:rPr>
          <w:rFonts w:ascii="Arial" w:cs="Arial" w:eastAsia="Arial" w:hAnsi="Arial"/>
          <w:sz w:val="20"/>
          <w:szCs w:val="20"/>
          <w:u w:val="single" w:color="auto"/>
          <w:color w:val="auto"/>
        </w:rPr>
        <w:t>Vacation and Sick Leave</w:t>
      </w:r>
      <w:r>
        <w:rPr>
          <w:rFonts w:ascii="Arial" w:cs="Arial" w:eastAsia="Arial" w:hAnsi="Arial"/>
          <w:sz w:val="20"/>
          <w:szCs w:val="20"/>
          <w:color w:val="auto"/>
        </w:rPr>
        <w:t>. The Executive will be entitled to five (5) weeks of paid time off in the form of vacation and sick leave (without taking into account any qualified disability leave offered pursuant to the Company’s disability benefit programs in place from time to time), subject to the terms and conditions of the Company’s policies, procedures, and practices applicable to similarly situated employees and applicable law.</w:t>
      </w:r>
    </w:p>
    <w:p>
      <w:pPr>
        <w:spacing w:after="0" w:line="200" w:lineRule="exact"/>
        <w:rPr>
          <w:rFonts w:ascii="Arial" w:cs="Arial" w:eastAsia="Arial" w:hAnsi="Arial"/>
          <w:sz w:val="22"/>
          <w:szCs w:val="22"/>
          <w:color w:val="auto"/>
        </w:rPr>
      </w:pPr>
    </w:p>
    <w:p>
      <w:pPr>
        <w:spacing w:after="0" w:line="212" w:lineRule="exact"/>
        <w:rPr>
          <w:rFonts w:ascii="Arial" w:cs="Arial" w:eastAsia="Arial" w:hAnsi="Arial"/>
          <w:sz w:val="22"/>
          <w:szCs w:val="22"/>
          <w:color w:val="auto"/>
        </w:rPr>
      </w:pPr>
    </w:p>
    <w:p>
      <w:pPr>
        <w:ind w:left="4332" w:hanging="120"/>
        <w:spacing w:after="0"/>
        <w:tabs>
          <w:tab w:leader="none" w:pos="4332" w:val="left"/>
        </w:tabs>
        <w:numPr>
          <w:ilvl w:val="2"/>
          <w:numId w:val="46"/>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232"/>
          </w:cols>
          <w:pgMar w:left="328" w:top="852" w:right="339" w:bottom="1440" w:gutter="0" w:footer="0" w:header="0"/>
        </w:sectPr>
      </w:pPr>
    </w:p>
    <w:bookmarkStart w:id="74" w:name="page75"/>
    <w:bookmarkEnd w:id="74"/>
    <w:p>
      <w:pPr>
        <w:jc w:val="both"/>
        <w:ind w:left="332" w:hanging="332"/>
        <w:spacing w:after="0" w:line="268" w:lineRule="auto"/>
        <w:tabs>
          <w:tab w:leader="none" w:pos="332" w:val="left"/>
        </w:tabs>
        <w:numPr>
          <w:ilvl w:val="0"/>
          <w:numId w:val="47"/>
        </w:numPr>
        <w:rPr>
          <w:rFonts w:ascii="Arial" w:cs="Arial" w:eastAsia="Arial" w:hAnsi="Arial"/>
          <w:sz w:val="22"/>
          <w:szCs w:val="22"/>
          <w:color w:val="auto"/>
        </w:rPr>
      </w:pPr>
      <w:r>
        <w:rPr>
          <w:rFonts w:ascii="Arial" w:cs="Arial" w:eastAsia="Arial" w:hAnsi="Arial"/>
          <w:sz w:val="20"/>
          <w:szCs w:val="20"/>
          <w:b w:val="1"/>
          <w:bCs w:val="1"/>
          <w:color w:val="auto"/>
        </w:rPr>
        <w:t xml:space="preserve">Business Expenses. </w:t>
      </w:r>
      <w:r>
        <w:rPr>
          <w:rFonts w:ascii="Arial" w:cs="Arial" w:eastAsia="Arial" w:hAnsi="Arial"/>
          <w:sz w:val="20"/>
          <w:szCs w:val="20"/>
          <w:color w:val="auto"/>
        </w:rPr>
        <w:t>The Executive shall be reimbursed for all reasonable expenses (including, without limitation, travel and lodging</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incurred by the Executive during the Term, upon presentation by the Executive of documentation, expense statements, vouchers and/or such other supporting information as the Company may reasonably request.</w:t>
      </w:r>
    </w:p>
    <w:p>
      <w:pPr>
        <w:spacing w:after="0" w:line="189" w:lineRule="exact"/>
        <w:rPr>
          <w:rFonts w:ascii="Arial" w:cs="Arial" w:eastAsia="Arial" w:hAnsi="Arial"/>
          <w:sz w:val="22"/>
          <w:szCs w:val="22"/>
          <w:color w:val="auto"/>
        </w:rPr>
      </w:pPr>
    </w:p>
    <w:p>
      <w:pPr>
        <w:jc w:val="both"/>
        <w:ind w:left="332" w:hanging="332"/>
        <w:spacing w:after="0" w:line="267" w:lineRule="auto"/>
        <w:tabs>
          <w:tab w:leader="none" w:pos="332" w:val="left"/>
        </w:tabs>
        <w:numPr>
          <w:ilvl w:val="0"/>
          <w:numId w:val="47"/>
        </w:numPr>
        <w:rPr>
          <w:rFonts w:ascii="Arial" w:cs="Arial" w:eastAsia="Arial" w:hAnsi="Arial"/>
          <w:sz w:val="22"/>
          <w:szCs w:val="22"/>
          <w:color w:val="auto"/>
        </w:rPr>
      </w:pPr>
      <w:r>
        <w:rPr>
          <w:rFonts w:ascii="Arial" w:cs="Arial" w:eastAsia="Arial" w:hAnsi="Arial"/>
          <w:sz w:val="20"/>
          <w:szCs w:val="20"/>
          <w:b w:val="1"/>
          <w:bCs w:val="1"/>
          <w:color w:val="auto"/>
        </w:rPr>
        <w:t xml:space="preserve">Freedom to Contract. </w:t>
      </w:r>
      <w:r>
        <w:rPr>
          <w:rFonts w:ascii="Arial" w:cs="Arial" w:eastAsia="Arial" w:hAnsi="Arial"/>
          <w:sz w:val="20"/>
          <w:szCs w:val="20"/>
          <w:color w:val="auto"/>
        </w:rPr>
        <w:t>The Executive represents and warrants that the Executive has the right to enter into this Agreement and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is eligible for employment by the Company. The Executive further agrees to hold the Company and its Affiliates harmless from any and all liability arising out of any contractual obligations entered into by the Executive that would prevent the Executive from performing the services the Executive is required to perform under this Agreement.</w:t>
      </w:r>
    </w:p>
    <w:p>
      <w:pPr>
        <w:spacing w:after="0" w:line="193" w:lineRule="exact"/>
        <w:rPr>
          <w:rFonts w:ascii="Arial" w:cs="Arial" w:eastAsia="Arial" w:hAnsi="Arial"/>
          <w:sz w:val="22"/>
          <w:szCs w:val="22"/>
          <w:color w:val="auto"/>
        </w:rPr>
      </w:pPr>
    </w:p>
    <w:p>
      <w:pPr>
        <w:ind w:left="332" w:hanging="332"/>
        <w:spacing w:after="0" w:line="271" w:lineRule="auto"/>
        <w:tabs>
          <w:tab w:leader="none" w:pos="332" w:val="left"/>
        </w:tabs>
        <w:numPr>
          <w:ilvl w:val="0"/>
          <w:numId w:val="47"/>
        </w:numPr>
        <w:rPr>
          <w:rFonts w:ascii="Arial" w:cs="Arial" w:eastAsia="Arial" w:hAnsi="Arial"/>
          <w:sz w:val="22"/>
          <w:szCs w:val="22"/>
          <w:color w:val="auto"/>
        </w:rPr>
      </w:pPr>
      <w:r>
        <w:rPr>
          <w:rFonts w:ascii="Arial" w:cs="Arial" w:eastAsia="Arial" w:hAnsi="Arial"/>
          <w:sz w:val="20"/>
          <w:szCs w:val="20"/>
          <w:b w:val="1"/>
          <w:bCs w:val="1"/>
          <w:color w:val="auto"/>
        </w:rPr>
        <w:t xml:space="preserve">Termination. </w:t>
      </w:r>
      <w:r>
        <w:rPr>
          <w:rFonts w:ascii="Arial" w:cs="Arial" w:eastAsia="Arial" w:hAnsi="Arial"/>
          <w:sz w:val="20"/>
          <w:szCs w:val="20"/>
          <w:color w:val="auto"/>
        </w:rPr>
        <w:t>Notwithstanding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w:t>
      </w:r>
      <w:r>
        <w:rPr>
          <w:rFonts w:ascii="Arial" w:cs="Arial" w:eastAsia="Arial" w:hAnsi="Arial"/>
          <w:sz w:val="20"/>
          <w:szCs w:val="20"/>
          <w:color w:val="auto"/>
        </w:rPr>
        <w:t>, the Executive’s employment under this Agreement and the Term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shall terminate on the earliest of the following dates:</w:t>
      </w:r>
    </w:p>
    <w:p>
      <w:pPr>
        <w:spacing w:after="0" w:line="189" w:lineRule="exact"/>
        <w:rPr>
          <w:rFonts w:ascii="Arial" w:cs="Arial" w:eastAsia="Arial" w:hAnsi="Arial"/>
          <w:sz w:val="22"/>
          <w:szCs w:val="22"/>
          <w:color w:val="auto"/>
        </w:rPr>
      </w:pPr>
    </w:p>
    <w:p>
      <w:pPr>
        <w:jc w:val="both"/>
        <w:ind w:left="652" w:hanging="409"/>
        <w:spacing w:after="0" w:line="300" w:lineRule="auto"/>
        <w:tabs>
          <w:tab w:leader="none" w:pos="652" w:val="left"/>
        </w:tabs>
        <w:numPr>
          <w:ilvl w:val="1"/>
          <w:numId w:val="47"/>
        </w:numPr>
        <w:rPr>
          <w:rFonts w:ascii="Arial" w:cs="Arial" w:eastAsia="Arial" w:hAnsi="Arial"/>
          <w:sz w:val="19"/>
          <w:szCs w:val="19"/>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On the date of the Executive’s death. In the event of the death of the Executive, the Company shall pay to the Executive’s legal representatives or named beneficiaries (as designated in a writing delivered to the Company) (the “</w:t>
      </w:r>
      <w:r>
        <w:rPr>
          <w:rFonts w:ascii="Arial" w:cs="Arial" w:eastAsia="Arial" w:hAnsi="Arial"/>
          <w:sz w:val="18"/>
          <w:szCs w:val="18"/>
          <w:u w:val="single" w:color="auto"/>
          <w:color w:val="auto"/>
        </w:rPr>
        <w:t>Estate</w:t>
      </w:r>
      <w:r>
        <w:rPr>
          <w:rFonts w:ascii="Arial" w:cs="Arial" w:eastAsia="Arial" w:hAnsi="Arial"/>
          <w:sz w:val="18"/>
          <w:szCs w:val="18"/>
          <w:color w:val="auto"/>
        </w:rPr>
        <w:t>”) the Executive’s (i) earned but unpaid Base Salary, (ii) any accrued but unpaid paid time off or vacation payable in accordance with applicable Company policy and the terms of this Agreement, (iii) any reimbursable business expenses incurred, but not yet reimbursed to the Executive, and (iv) any benefits earned through the date of the Executive’s termination in accordance with the terms of the applicable benefit plans (collectively, the “</w:t>
      </w:r>
      <w:r>
        <w:rPr>
          <w:rFonts w:ascii="Arial" w:cs="Arial" w:eastAsia="Arial" w:hAnsi="Arial"/>
          <w:sz w:val="18"/>
          <w:szCs w:val="18"/>
          <w:u w:val="single" w:color="auto"/>
          <w:color w:val="auto"/>
        </w:rPr>
        <w:t>Accrued Benefits</w:t>
      </w:r>
      <w:r>
        <w:rPr>
          <w:rFonts w:ascii="Arial" w:cs="Arial" w:eastAsia="Arial" w:hAnsi="Arial"/>
          <w:sz w:val="18"/>
          <w:szCs w:val="18"/>
          <w:color w:val="auto"/>
        </w:rPr>
        <w:t>”). The Accrued Benefits shall be paid by the Company to the Estate within five (5) days of the receipt by the Company of documentation in connection with proof of the Executive’s death, as required by applicable law and reasonably requested by the Company. The Company shall also pay the Estate (i) any unpaid Annual Bonus for the preceding fiscal year and (ii) a pro-rated portion of the Annual Bonus for the current fiscal year based on the number of days that the Executive was employed by the Company for during the year of the Executive’s termination (“</w:t>
      </w:r>
      <w:r>
        <w:rPr>
          <w:rFonts w:ascii="Arial" w:cs="Arial" w:eastAsia="Arial" w:hAnsi="Arial"/>
          <w:sz w:val="18"/>
          <w:szCs w:val="18"/>
          <w:u w:val="single" w:color="auto"/>
          <w:color w:val="auto"/>
        </w:rPr>
        <w:t>Pro-Rated Bonus</w:t>
      </w:r>
      <w:r>
        <w:rPr>
          <w:rFonts w:ascii="Arial" w:cs="Arial" w:eastAsia="Arial" w:hAnsi="Arial"/>
          <w:sz w:val="18"/>
          <w:szCs w:val="18"/>
          <w:color w:val="auto"/>
        </w:rPr>
        <w:t xml:space="preserve">”), payable in accordance with the timing as set forth in </w:t>
      </w:r>
      <w:r>
        <w:rPr>
          <w:rFonts w:ascii="Arial" w:cs="Arial" w:eastAsia="Arial" w:hAnsi="Arial"/>
          <w:sz w:val="18"/>
          <w:szCs w:val="18"/>
          <w:u w:val="single" w:color="auto"/>
          <w:color w:val="auto"/>
        </w:rPr>
        <w:t>Section 8(h)</w:t>
      </w:r>
      <w:r>
        <w:rPr>
          <w:rFonts w:ascii="Arial" w:cs="Arial" w:eastAsia="Arial" w:hAnsi="Arial"/>
          <w:sz w:val="18"/>
          <w:szCs w:val="18"/>
          <w:color w:val="auto"/>
        </w:rPr>
        <w:t xml:space="preserve">. Furthermore, notwithstanding anything in the applicable equity incentive plan and/or equity award agreement to the contrary, any unvested portion of any equity awards held by the Executive shall vest in full and become exercisable and free from forfeiture or repurchase, as applicable, as of the effective date of the release as set forth in </w:t>
      </w:r>
      <w:r>
        <w:rPr>
          <w:rFonts w:ascii="Arial" w:cs="Arial" w:eastAsia="Arial" w:hAnsi="Arial"/>
          <w:sz w:val="18"/>
          <w:szCs w:val="18"/>
          <w:u w:val="single" w:color="auto"/>
          <w:color w:val="auto"/>
        </w:rPr>
        <w:t>Section 8(i)</w:t>
      </w:r>
      <w:r>
        <w:rPr>
          <w:rFonts w:ascii="Arial" w:cs="Arial" w:eastAsia="Arial" w:hAnsi="Arial"/>
          <w:sz w:val="18"/>
          <w:szCs w:val="18"/>
          <w:color w:val="auto"/>
        </w:rPr>
        <w:t>.</w:t>
      </w:r>
    </w:p>
    <w:p>
      <w:pPr>
        <w:spacing w:after="0" w:line="172" w:lineRule="exact"/>
        <w:rPr>
          <w:rFonts w:ascii="Arial" w:cs="Arial" w:eastAsia="Arial" w:hAnsi="Arial"/>
          <w:sz w:val="19"/>
          <w:szCs w:val="19"/>
          <w:color w:val="auto"/>
        </w:rPr>
      </w:pPr>
    </w:p>
    <w:p>
      <w:pPr>
        <w:jc w:val="both"/>
        <w:ind w:left="652" w:hanging="409"/>
        <w:spacing w:after="0" w:line="282" w:lineRule="auto"/>
        <w:tabs>
          <w:tab w:leader="none" w:pos="652" w:val="left"/>
        </w:tabs>
        <w:numPr>
          <w:ilvl w:val="1"/>
          <w:numId w:val="47"/>
        </w:numPr>
        <w:rPr>
          <w:rFonts w:ascii="Arial" w:cs="Arial" w:eastAsia="Arial" w:hAnsi="Arial"/>
          <w:sz w:val="21"/>
          <w:szCs w:val="21"/>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xml:space="preserve">. On the date specified in a written notice from the Company terminating the Executive’s employment due to Disability, or in the event no date is specified in the notice, on the date on which the notice is delivered to the Executive. For the purposes of this Agreement, “Disability” shall mean that (x) the Executive shall have failed to perform the services contemplated under this Agreement due to a medically determinable physical or mental impairment that can be expected to result in death or can be expected to last for a period of 180 consecutive days, or a total of at least 240 calendar days during any 365-day period, or (y) a determination of permanent disability shall have been made by a physician satisfactory to both the Executive and the Company, provided that if the Executive and the Company do not agree on a physician, the Executive and the Company shall each select a physician and these two together shall select a third physician whose determination as to disability shall be binding on both parties. In the event of the termination of the Executive’s employment pursuant to this </w:t>
      </w:r>
      <w:r>
        <w:rPr>
          <w:rFonts w:ascii="Arial" w:cs="Arial" w:eastAsia="Arial" w:hAnsi="Arial"/>
          <w:sz w:val="19"/>
          <w:szCs w:val="19"/>
          <w:u w:val="single" w:color="auto"/>
          <w:color w:val="auto"/>
        </w:rPr>
        <w:t>Section 8(b)</w:t>
      </w:r>
      <w:r>
        <w:rPr>
          <w:rFonts w:ascii="Arial" w:cs="Arial" w:eastAsia="Arial" w:hAnsi="Arial"/>
          <w:sz w:val="19"/>
          <w:szCs w:val="19"/>
          <w:color w:val="auto"/>
        </w:rPr>
        <w:t xml:space="preserve">, the Company shall pay to the Executive the Executive’s Accrued Benefits earned as of the date of the Executive’s termination. The Company shall also pay the Executive (i) any unpaid Annual Bonus for the preceding fiscal year, and (ii) the Pro-Rated Bonus, payable in accordance with the timing as set forth in </w:t>
      </w:r>
      <w:r>
        <w:rPr>
          <w:rFonts w:ascii="Arial" w:cs="Arial" w:eastAsia="Arial" w:hAnsi="Arial"/>
          <w:sz w:val="19"/>
          <w:szCs w:val="19"/>
          <w:u w:val="single" w:color="auto"/>
          <w:color w:val="auto"/>
        </w:rPr>
        <w:t>Section 8(h)</w:t>
      </w:r>
      <w:r>
        <w:rPr>
          <w:rFonts w:ascii="Arial" w:cs="Arial" w:eastAsia="Arial" w:hAnsi="Arial"/>
          <w:sz w:val="19"/>
          <w:szCs w:val="19"/>
          <w:color w:val="auto"/>
        </w:rPr>
        <w:t>. Furthermore, notwithstanding anything in the applicable equity incentive plan and/or equity award agreement to the contrary, any</w:t>
      </w:r>
    </w:p>
    <w:p>
      <w:pPr>
        <w:spacing w:after="0" w:line="397" w:lineRule="exact"/>
        <w:rPr>
          <w:rFonts w:ascii="Arial" w:cs="Arial" w:eastAsia="Arial" w:hAnsi="Arial"/>
          <w:sz w:val="21"/>
          <w:szCs w:val="21"/>
          <w:color w:val="auto"/>
        </w:rPr>
      </w:pPr>
    </w:p>
    <w:p>
      <w:pPr>
        <w:ind w:left="4332" w:hanging="120"/>
        <w:spacing w:after="0"/>
        <w:tabs>
          <w:tab w:leader="none" w:pos="4332" w:val="left"/>
        </w:tabs>
        <w:numPr>
          <w:ilvl w:val="2"/>
          <w:numId w:val="47"/>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32"/>
          </w:cols>
          <w:pgMar w:left="328" w:top="859" w:right="339" w:bottom="1440" w:gutter="0" w:footer="0" w:header="0"/>
        </w:sectPr>
      </w:pPr>
    </w:p>
    <w:bookmarkStart w:id="75" w:name="page76"/>
    <w:bookmarkEnd w:id="75"/>
    <w:p>
      <w:pPr>
        <w:ind w:left="409"/>
        <w:spacing w:after="0" w:line="246" w:lineRule="auto"/>
        <w:rPr>
          <w:sz w:val="20"/>
          <w:szCs w:val="20"/>
          <w:color w:val="auto"/>
        </w:rPr>
      </w:pPr>
      <w:r>
        <w:rPr>
          <w:rFonts w:ascii="Arial" w:cs="Arial" w:eastAsia="Arial" w:hAnsi="Arial"/>
          <w:sz w:val="20"/>
          <w:szCs w:val="20"/>
          <w:color w:val="auto"/>
        </w:rPr>
        <w:t xml:space="preserve">unvested portion of any equity awards held by the Executive shall vest in full and become exercisable and free from forfeiture or repurchase, as applicable, as of the effective date of the release as set forth in </w:t>
      </w:r>
      <w:r>
        <w:rPr>
          <w:rFonts w:ascii="Arial" w:cs="Arial" w:eastAsia="Arial" w:hAnsi="Arial"/>
          <w:sz w:val="20"/>
          <w:szCs w:val="20"/>
          <w:u w:val="single" w:color="auto"/>
          <w:color w:val="auto"/>
        </w:rPr>
        <w:t>Section 8(i)</w:t>
      </w:r>
      <w:r>
        <w:rPr>
          <w:rFonts w:ascii="Arial" w:cs="Arial" w:eastAsia="Arial" w:hAnsi="Arial"/>
          <w:sz w:val="20"/>
          <w:szCs w:val="20"/>
          <w:color w:val="auto"/>
        </w:rPr>
        <w:t>.</w:t>
      </w:r>
    </w:p>
    <w:p>
      <w:pPr>
        <w:spacing w:after="0" w:line="190" w:lineRule="exact"/>
        <w:rPr>
          <w:sz w:val="20"/>
          <w:szCs w:val="20"/>
          <w:color w:val="auto"/>
        </w:rPr>
      </w:pPr>
    </w:p>
    <w:p>
      <w:pPr>
        <w:jc w:val="both"/>
        <w:ind w:left="409" w:hanging="409"/>
        <w:spacing w:after="0" w:line="297" w:lineRule="auto"/>
        <w:tabs>
          <w:tab w:leader="none" w:pos="409" w:val="left"/>
        </w:tabs>
        <w:numPr>
          <w:ilvl w:val="0"/>
          <w:numId w:val="48"/>
        </w:numPr>
        <w:rPr>
          <w:rFonts w:ascii="Arial" w:cs="Arial" w:eastAsia="Arial" w:hAnsi="Arial"/>
          <w:sz w:val="19"/>
          <w:szCs w:val="19"/>
          <w:color w:val="auto"/>
        </w:rPr>
      </w:pPr>
      <w:r>
        <w:rPr>
          <w:rFonts w:ascii="Arial" w:cs="Arial" w:eastAsia="Arial" w:hAnsi="Arial"/>
          <w:sz w:val="18"/>
          <w:szCs w:val="18"/>
          <w:u w:val="single" w:color="auto"/>
          <w:color w:val="auto"/>
        </w:rPr>
        <w:t>For Cause</w:t>
      </w:r>
      <w:r>
        <w:rPr>
          <w:rFonts w:ascii="Arial" w:cs="Arial" w:eastAsia="Arial" w:hAnsi="Arial"/>
          <w:sz w:val="18"/>
          <w:szCs w:val="18"/>
          <w:color w:val="auto"/>
        </w:rPr>
        <w:t xml:space="preserve">. On the date of delivery of a notice from the Company terminating the Executive’s employment for Cause. For purposes of this Agreement, the Company shall have “Cause” to terminate the Executive’s employment hereunder in the event: (i) the Executive shall have willfully failed and continued to fail substantially to perform the duties (other than due to Disability or any failure that the Company anticipated or had reason to anticipate after the issuance by the Executive of a notice of termination) for thirty (30) days after a written demand for performance is delivered to the Executive on behalf of the Company which specifically identifies the manner in which it is alleged that the Executive has not substantially performed his duties, provided that the Company's economic performance or failure to meet any specific projection shall not, in and of itself, constitute “Cause”; (ii) the Executive shall have engaged in (A) any material misappropriation of funds, properties, or assets of the Company, it being understood that “material” for these purposes shall take into account both the amount of funds, properties or assets misappropriated, and the circumstances thereof (including the intent of the Executive in connection therewith); (iii) any malicious damage or destruction of any property or assets of the Company, whether resulting from the Executive's willful actions or omissions or the Executive's gross negligence; (iv) the Executive shall (A) have been convicted of a crime involving moral turpitude or constituting a felony relating to the Company or (B) entered a plea of nolo contendere to any such crime, either of which has had a material adverse effect upon the business of the Company; (v) the Executive shall have (A) materially breached his obligations under </w:t>
      </w:r>
      <w:r>
        <w:rPr>
          <w:rFonts w:ascii="Arial" w:cs="Arial" w:eastAsia="Arial" w:hAnsi="Arial"/>
          <w:sz w:val="18"/>
          <w:szCs w:val="18"/>
          <w:u w:val="single" w:color="auto"/>
          <w:color w:val="auto"/>
        </w:rPr>
        <w:t>Sections 10, 11 and 13</w:t>
      </w:r>
      <w:r>
        <w:rPr>
          <w:rFonts w:ascii="Arial" w:cs="Arial" w:eastAsia="Arial" w:hAnsi="Arial"/>
          <w:sz w:val="18"/>
          <w:szCs w:val="18"/>
          <w:color w:val="auto"/>
        </w:rPr>
        <w:t xml:space="preserve"> hereof or (B) breached any of the other material provisions of this Agreement and such breach shall remain uncured by the Executive within 30 days following receipt of notice from the Company specifying such breach; and/or (vi) (AA) the Executive is sanctioned by a federal or state government or agency with material violations, provided that such violations are willful and knowing violations on the Executive’s part, of federal or state securities laws relating to the Company and for which the Executive is directly responsible, or</w:t>
      </w:r>
    </w:p>
    <w:p>
      <w:pPr>
        <w:spacing w:after="0" w:line="5" w:lineRule="exact"/>
        <w:rPr>
          <w:rFonts w:ascii="Arial" w:cs="Arial" w:eastAsia="Arial" w:hAnsi="Arial"/>
          <w:sz w:val="19"/>
          <w:szCs w:val="19"/>
          <w:color w:val="auto"/>
        </w:rPr>
      </w:pPr>
    </w:p>
    <w:p>
      <w:pPr>
        <w:jc w:val="both"/>
        <w:ind w:left="409" w:hanging="4"/>
        <w:spacing w:after="0" w:line="272" w:lineRule="auto"/>
        <w:tabs>
          <w:tab w:leader="none" w:pos="870" w:val="left"/>
        </w:tabs>
        <w:numPr>
          <w:ilvl w:val="1"/>
          <w:numId w:val="48"/>
        </w:numPr>
        <w:rPr>
          <w:rFonts w:ascii="Arial" w:cs="Arial" w:eastAsia="Arial" w:hAnsi="Arial"/>
          <w:sz w:val="20"/>
          <w:szCs w:val="20"/>
          <w:color w:val="auto"/>
        </w:rPr>
      </w:pPr>
      <w:r>
        <w:rPr>
          <w:rFonts w:ascii="Arial" w:cs="Arial" w:eastAsia="Arial" w:hAnsi="Arial"/>
          <w:sz w:val="20"/>
          <w:szCs w:val="20"/>
          <w:color w:val="auto"/>
        </w:rPr>
        <w:t xml:space="preserve">the Executive is found by any court, or by any judicial or administrative process or proceeding, to have committed any such violation, provided that any such violation has had a material adverse effect upon the business of the Company. In the event of the termination of the Executive’s employment for Cause pursuant to this </w:t>
      </w:r>
      <w:r>
        <w:rPr>
          <w:rFonts w:ascii="Arial" w:cs="Arial" w:eastAsia="Arial" w:hAnsi="Arial"/>
          <w:sz w:val="20"/>
          <w:szCs w:val="20"/>
          <w:u w:val="single" w:color="auto"/>
          <w:color w:val="auto"/>
        </w:rPr>
        <w:t>Section 8(c)</w:t>
      </w:r>
      <w:r>
        <w:rPr>
          <w:rFonts w:ascii="Arial" w:cs="Arial" w:eastAsia="Arial" w:hAnsi="Arial"/>
          <w:sz w:val="20"/>
          <w:szCs w:val="20"/>
          <w:color w:val="auto"/>
        </w:rPr>
        <w:t>, the Company shall pay to the Executive Accrued Benefits that had been earned but unpaid as of the date of the termination, and the Executive shall receive no further payments of any kind.</w:t>
      </w:r>
    </w:p>
    <w:p>
      <w:pPr>
        <w:spacing w:after="0" w:line="195" w:lineRule="exact"/>
        <w:rPr>
          <w:rFonts w:ascii="Arial" w:cs="Arial" w:eastAsia="Arial" w:hAnsi="Arial"/>
          <w:sz w:val="20"/>
          <w:szCs w:val="20"/>
          <w:color w:val="auto"/>
        </w:rPr>
      </w:pPr>
    </w:p>
    <w:p>
      <w:pPr>
        <w:jc w:val="both"/>
        <w:ind w:left="409" w:hanging="409"/>
        <w:spacing w:after="0" w:line="282" w:lineRule="auto"/>
        <w:tabs>
          <w:tab w:leader="none" w:pos="409" w:val="left"/>
        </w:tabs>
        <w:numPr>
          <w:ilvl w:val="0"/>
          <w:numId w:val="48"/>
        </w:numPr>
        <w:rPr>
          <w:rFonts w:ascii="Arial" w:cs="Arial" w:eastAsia="Arial" w:hAnsi="Arial"/>
          <w:sz w:val="21"/>
          <w:szCs w:val="21"/>
          <w:color w:val="auto"/>
        </w:rPr>
      </w:pPr>
      <w:r>
        <w:rPr>
          <w:rFonts w:ascii="Arial" w:cs="Arial" w:eastAsia="Arial" w:hAnsi="Arial"/>
          <w:sz w:val="19"/>
          <w:szCs w:val="19"/>
          <w:u w:val="single" w:color="auto"/>
          <w:color w:val="auto"/>
        </w:rPr>
        <w:t>Without Cause</w:t>
      </w:r>
      <w:r>
        <w:rPr>
          <w:rFonts w:ascii="Arial" w:cs="Arial" w:eastAsia="Arial" w:hAnsi="Arial"/>
          <w:sz w:val="19"/>
          <w:szCs w:val="19"/>
          <w:color w:val="auto"/>
        </w:rPr>
        <w:t>. On the date specified in a written notice from the Company terminating the Executive’s employment Without Cause, or in the event no date is specified in the notice, on the date on which the notice is delivered to the Executive, provided that such termination may take place no earlier than thirty (30) days after the Company has provided written notice to the Executive of the Company’s intent to terminate employment. The Company reserves the right to provide payment at the Executive’s then-current Base Salary in lieu of all or any portion of such notice period. For purposes of this Agreement, “</w:t>
      </w:r>
      <w:r>
        <w:rPr>
          <w:rFonts w:ascii="Arial" w:cs="Arial" w:eastAsia="Arial" w:hAnsi="Arial"/>
          <w:sz w:val="19"/>
          <w:szCs w:val="19"/>
          <w:u w:val="single" w:color="auto"/>
          <w:color w:val="auto"/>
        </w:rPr>
        <w:t>Without Cause</w:t>
      </w:r>
      <w:r>
        <w:rPr>
          <w:rFonts w:ascii="Arial" w:cs="Arial" w:eastAsia="Arial" w:hAnsi="Arial"/>
          <w:sz w:val="19"/>
          <w:szCs w:val="19"/>
          <w:color w:val="auto"/>
        </w:rPr>
        <w:t xml:space="preserve">” shall mean any reason for the Company’s decision to terminate the Executive’s employment other than by reason of the Executive’s death, Disability, or for Cause, as provided in subsections (a) through (c) above. In the event of the termination of the Executive’s employment Without Cause pursuant to this </w:t>
      </w:r>
      <w:r>
        <w:rPr>
          <w:rFonts w:ascii="Arial" w:cs="Arial" w:eastAsia="Arial" w:hAnsi="Arial"/>
          <w:sz w:val="19"/>
          <w:szCs w:val="19"/>
          <w:u w:val="single" w:color="auto"/>
          <w:color w:val="auto"/>
        </w:rPr>
        <w:t>Section 8(d)</w:t>
      </w:r>
      <w:r>
        <w:rPr>
          <w:rFonts w:ascii="Arial" w:cs="Arial" w:eastAsia="Arial" w:hAnsi="Arial"/>
          <w:sz w:val="19"/>
          <w:szCs w:val="19"/>
          <w:color w:val="auto"/>
        </w:rPr>
        <w:t>, the Company shall pay to the Executive all Accrued Benefits through the date of such termination, and Severance Benefits (as defined below).</w:t>
      </w:r>
    </w:p>
    <w:p>
      <w:pPr>
        <w:spacing w:after="0" w:line="398" w:lineRule="exact"/>
        <w:rPr>
          <w:rFonts w:ascii="Arial" w:cs="Arial" w:eastAsia="Arial" w:hAnsi="Arial"/>
          <w:sz w:val="21"/>
          <w:szCs w:val="21"/>
          <w:color w:val="auto"/>
        </w:rPr>
      </w:pPr>
    </w:p>
    <w:p>
      <w:pPr>
        <w:ind w:left="4089" w:hanging="120"/>
        <w:spacing w:after="0"/>
        <w:tabs>
          <w:tab w:leader="none" w:pos="4089" w:val="left"/>
        </w:tabs>
        <w:numPr>
          <w:ilvl w:val="2"/>
          <w:numId w:val="48"/>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0989"/>
          </w:cols>
          <w:pgMar w:left="571" w:top="852" w:right="339" w:bottom="1440" w:gutter="0" w:footer="0" w:header="0"/>
        </w:sectPr>
      </w:pPr>
    </w:p>
    <w:bookmarkStart w:id="76" w:name="page77"/>
    <w:bookmarkEnd w:id="76"/>
    <w:p>
      <w:pPr>
        <w:jc w:val="both"/>
        <w:ind w:left="409" w:hanging="409"/>
        <w:spacing w:after="0" w:line="298" w:lineRule="auto"/>
        <w:tabs>
          <w:tab w:leader="none" w:pos="409" w:val="left"/>
        </w:tabs>
        <w:numPr>
          <w:ilvl w:val="0"/>
          <w:numId w:val="49"/>
        </w:numPr>
        <w:rPr>
          <w:rFonts w:ascii="Arial" w:cs="Arial" w:eastAsia="Arial" w:hAnsi="Arial"/>
          <w:sz w:val="19"/>
          <w:szCs w:val="19"/>
          <w:color w:val="auto"/>
        </w:rPr>
      </w:pPr>
      <w:r>
        <w:rPr>
          <w:rFonts w:ascii="Arial" w:cs="Arial" w:eastAsia="Arial" w:hAnsi="Arial"/>
          <w:sz w:val="18"/>
          <w:szCs w:val="18"/>
          <w:u w:val="single" w:color="auto"/>
          <w:color w:val="auto"/>
        </w:rPr>
        <w:t>For Good Reason</w:t>
      </w:r>
      <w:r>
        <w:rPr>
          <w:rFonts w:ascii="Arial" w:cs="Arial" w:eastAsia="Arial" w:hAnsi="Arial"/>
          <w:sz w:val="18"/>
          <w:szCs w:val="18"/>
          <w:color w:val="auto"/>
        </w:rPr>
        <w:t>. By the Executive for Good Reason as set forth herein.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for purposes of this Agreement shall mean the occurrence of any of the following events without the Executive’s consent: (i) any material reduction in the Executive’s then current Base Salary; (ii) the assignment to the Executive of any duties inconsistent with his status as Chief Executive Officer of the Company, his removal from the position of Chief Executive Officer of the Company, or a material diminution in the Executive’s duties, title, or reporting relationship; (iii) the relocation of the Executive’s work location to a location that is more than thirty (30) miles from the Executive’s then-current principal work location, provided, however, that travel during the ordinary course of performance of the Executive’s duties will not constitute Good Reason; and/or (iv) the Company ceasing to provide, in the aggregate, substantially the same employee benefits that are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of this Agreement or a material breach by the Company of any other provision of this Agreement; provided that, in each case, (A) within sixty (60) days of the first occurrence of such event, the Executive must give written notice to the Board stating in reasonable detail the actions or omissions purported to constitute Good Reason, (B) such event is not corrected within thirty (30) days after receiving the Executive’s written notice (the “</w:t>
      </w:r>
      <w:r>
        <w:rPr>
          <w:rFonts w:ascii="Arial" w:cs="Arial" w:eastAsia="Arial" w:hAnsi="Arial"/>
          <w:sz w:val="18"/>
          <w:szCs w:val="18"/>
          <w:u w:val="single" w:color="auto"/>
          <w:color w:val="auto"/>
        </w:rPr>
        <w:t>Cure Period</w:t>
      </w:r>
      <w:r>
        <w:rPr>
          <w:rFonts w:ascii="Arial" w:cs="Arial" w:eastAsia="Arial" w:hAnsi="Arial"/>
          <w:sz w:val="18"/>
          <w:szCs w:val="18"/>
          <w:color w:val="auto"/>
        </w:rPr>
        <w:t>”), and</w:t>
      </w:r>
    </w:p>
    <w:p>
      <w:pPr>
        <w:spacing w:after="0" w:line="7" w:lineRule="exact"/>
        <w:rPr>
          <w:rFonts w:ascii="Arial" w:cs="Arial" w:eastAsia="Arial" w:hAnsi="Arial"/>
          <w:sz w:val="19"/>
          <w:szCs w:val="19"/>
          <w:color w:val="auto"/>
        </w:rPr>
      </w:pPr>
    </w:p>
    <w:p>
      <w:pPr>
        <w:jc w:val="both"/>
        <w:ind w:left="409"/>
        <w:spacing w:after="0" w:line="278" w:lineRule="auto"/>
        <w:rPr>
          <w:rFonts w:ascii="Arial" w:cs="Arial" w:eastAsia="Arial" w:hAnsi="Arial"/>
          <w:sz w:val="19"/>
          <w:szCs w:val="19"/>
          <w:color w:val="auto"/>
        </w:rPr>
      </w:pPr>
      <w:r>
        <w:rPr>
          <w:rFonts w:ascii="Arial" w:cs="Arial" w:eastAsia="Arial" w:hAnsi="Arial"/>
          <w:sz w:val="20"/>
          <w:szCs w:val="20"/>
          <w:color w:val="auto"/>
        </w:rPr>
        <w:t xml:space="preserve">(C) the Executive terminates the Executive’s employment within thirty (30) days following the end of the Cure Period. In the event of the termination by the Executive for Good Reason pursuant to this </w:t>
      </w:r>
      <w:r>
        <w:rPr>
          <w:rFonts w:ascii="Arial" w:cs="Arial" w:eastAsia="Arial" w:hAnsi="Arial"/>
          <w:sz w:val="20"/>
          <w:szCs w:val="20"/>
          <w:u w:val="single" w:color="auto"/>
          <w:color w:val="auto"/>
        </w:rPr>
        <w:t>Section 8(e)</w:t>
      </w:r>
      <w:r>
        <w:rPr>
          <w:rFonts w:ascii="Arial" w:cs="Arial" w:eastAsia="Arial" w:hAnsi="Arial"/>
          <w:sz w:val="20"/>
          <w:szCs w:val="20"/>
          <w:color w:val="auto"/>
        </w:rPr>
        <w:t>, the Company shall pay to the Executive all Accrued Benefits through the date of such termination, and Severance Benefits.</w:t>
      </w:r>
    </w:p>
    <w:p>
      <w:pPr>
        <w:spacing w:after="0" w:line="186" w:lineRule="exact"/>
        <w:rPr>
          <w:rFonts w:ascii="Arial" w:cs="Arial" w:eastAsia="Arial" w:hAnsi="Arial"/>
          <w:sz w:val="19"/>
          <w:szCs w:val="19"/>
          <w:color w:val="auto"/>
        </w:rPr>
      </w:pPr>
    </w:p>
    <w:p>
      <w:pPr>
        <w:jc w:val="both"/>
        <w:ind w:left="409" w:hanging="409"/>
        <w:spacing w:after="0" w:line="265" w:lineRule="auto"/>
        <w:tabs>
          <w:tab w:leader="none" w:pos="409" w:val="left"/>
        </w:tabs>
        <w:numPr>
          <w:ilvl w:val="0"/>
          <w:numId w:val="49"/>
        </w:numPr>
        <w:rPr>
          <w:rFonts w:ascii="Arial" w:cs="Arial" w:eastAsia="Arial" w:hAnsi="Arial"/>
          <w:sz w:val="22"/>
          <w:szCs w:val="22"/>
          <w:color w:val="auto"/>
        </w:rPr>
      </w:pPr>
      <w:r>
        <w:rPr>
          <w:rFonts w:ascii="Arial" w:cs="Arial" w:eastAsia="Arial" w:hAnsi="Arial"/>
          <w:sz w:val="20"/>
          <w:szCs w:val="20"/>
          <w:u w:val="single" w:color="auto"/>
          <w:color w:val="auto"/>
        </w:rPr>
        <w:t>Severance Benefits</w:t>
      </w:r>
      <w:r>
        <w:rPr>
          <w:rFonts w:ascii="Arial" w:cs="Arial" w:eastAsia="Arial" w:hAnsi="Arial"/>
          <w:sz w:val="20"/>
          <w:szCs w:val="20"/>
          <w:color w:val="auto"/>
        </w:rPr>
        <w:t xml:space="preserve">. In the event of the termination of the Executive’s employment by the Company under </w:t>
      </w:r>
      <w:r>
        <w:rPr>
          <w:rFonts w:ascii="Arial" w:cs="Arial" w:eastAsia="Arial" w:hAnsi="Arial"/>
          <w:sz w:val="20"/>
          <w:szCs w:val="20"/>
          <w:u w:val="single" w:color="auto"/>
          <w:color w:val="auto"/>
        </w:rPr>
        <w:t>Section 8(d)</w:t>
      </w:r>
      <w:r>
        <w:rPr>
          <w:rFonts w:ascii="Arial" w:cs="Arial" w:eastAsia="Arial" w:hAnsi="Arial"/>
          <w:sz w:val="20"/>
          <w:szCs w:val="20"/>
          <w:color w:val="auto"/>
        </w:rPr>
        <w:t xml:space="preserve"> (Without Cause) and/or by the Executive under </w:t>
      </w:r>
      <w:r>
        <w:rPr>
          <w:rFonts w:ascii="Arial" w:cs="Arial" w:eastAsia="Arial" w:hAnsi="Arial"/>
          <w:sz w:val="20"/>
          <w:szCs w:val="20"/>
          <w:u w:val="single" w:color="auto"/>
          <w:color w:val="auto"/>
        </w:rPr>
        <w:t>Section 8(e)</w:t>
      </w:r>
      <w:r>
        <w:rPr>
          <w:rFonts w:ascii="Arial" w:cs="Arial" w:eastAsia="Arial" w:hAnsi="Arial"/>
          <w:sz w:val="20"/>
          <w:szCs w:val="20"/>
          <w:color w:val="auto"/>
        </w:rPr>
        <w:t xml:space="preserve"> (for Good Reason) (each, a “</w:t>
      </w:r>
      <w:r>
        <w:rPr>
          <w:rFonts w:ascii="Arial" w:cs="Arial" w:eastAsia="Arial" w:hAnsi="Arial"/>
          <w:sz w:val="20"/>
          <w:szCs w:val="20"/>
          <w:u w:val="single" w:color="auto"/>
          <w:color w:val="auto"/>
        </w:rPr>
        <w:t>Qualifying Termination</w:t>
      </w:r>
      <w:r>
        <w:rPr>
          <w:rFonts w:ascii="Arial" w:cs="Arial" w:eastAsia="Arial" w:hAnsi="Arial"/>
          <w:sz w:val="20"/>
          <w:szCs w:val="20"/>
          <w:color w:val="auto"/>
        </w:rPr>
        <w:t>”), the Company shall pay the Executive each of the following benefits (“</w:t>
      </w:r>
      <w:r>
        <w:rPr>
          <w:rFonts w:ascii="Arial" w:cs="Arial" w:eastAsia="Arial" w:hAnsi="Arial"/>
          <w:sz w:val="20"/>
          <w:szCs w:val="20"/>
          <w:u w:val="single" w:color="auto"/>
          <w:color w:val="auto"/>
        </w:rPr>
        <w:t>Severance Benefits</w:t>
      </w:r>
      <w:r>
        <w:rPr>
          <w:rFonts w:ascii="Arial" w:cs="Arial" w:eastAsia="Arial" w:hAnsi="Arial"/>
          <w:sz w:val="20"/>
          <w:szCs w:val="20"/>
          <w:color w:val="auto"/>
        </w:rPr>
        <w:t>”):</w:t>
      </w:r>
    </w:p>
    <w:p>
      <w:pPr>
        <w:spacing w:after="0" w:line="198" w:lineRule="exact"/>
        <w:rPr>
          <w:rFonts w:ascii="Arial" w:cs="Arial" w:eastAsia="Arial" w:hAnsi="Arial"/>
          <w:sz w:val="22"/>
          <w:szCs w:val="22"/>
          <w:color w:val="auto"/>
        </w:rPr>
      </w:pPr>
    </w:p>
    <w:p>
      <w:pPr>
        <w:jc w:val="right"/>
        <w:ind w:left="729" w:hanging="473"/>
        <w:spacing w:after="0" w:line="293" w:lineRule="auto"/>
        <w:tabs>
          <w:tab w:leader="none" w:pos="477" w:val="left"/>
        </w:tabs>
        <w:numPr>
          <w:ilvl w:val="1"/>
          <w:numId w:val="49"/>
        </w:numPr>
        <w:rPr>
          <w:rFonts w:ascii="Arial" w:cs="Arial" w:eastAsia="Arial" w:hAnsi="Arial"/>
          <w:sz w:val="19"/>
          <w:szCs w:val="19"/>
          <w:color w:val="auto"/>
        </w:rPr>
      </w:pPr>
      <w:r>
        <w:rPr>
          <w:rFonts w:ascii="Arial" w:cs="Arial" w:eastAsia="Arial" w:hAnsi="Arial"/>
          <w:sz w:val="18"/>
          <w:szCs w:val="18"/>
          <w:color w:val="auto"/>
        </w:rPr>
        <w:t>The Company shall pay the Executive a lump sum amount of severance equal to the product of: (A) the Multiplier; and (B) the sum of (aa) the Executive’s then-current Base Salary, and (bb) the Annual Bonus earned by the Executive for the preceding fiscal year (“</w:t>
      </w:r>
      <w:r>
        <w:rPr>
          <w:rFonts w:ascii="Arial" w:cs="Arial" w:eastAsia="Arial" w:hAnsi="Arial"/>
          <w:sz w:val="18"/>
          <w:szCs w:val="18"/>
          <w:u w:val="single" w:color="auto"/>
          <w:color w:val="auto"/>
        </w:rPr>
        <w:t>Prior Annual Bonus</w:t>
      </w:r>
      <w:r>
        <w:rPr>
          <w:rFonts w:ascii="Arial" w:cs="Arial" w:eastAsia="Arial" w:hAnsi="Arial"/>
          <w:sz w:val="18"/>
          <w:szCs w:val="18"/>
          <w:color w:val="auto"/>
        </w:rPr>
        <w:t>”). For purposes of this Agreement, the “</w:t>
      </w:r>
      <w:r>
        <w:rPr>
          <w:rFonts w:ascii="Arial" w:cs="Arial" w:eastAsia="Arial" w:hAnsi="Arial"/>
          <w:sz w:val="18"/>
          <w:szCs w:val="18"/>
          <w:u w:val="single" w:color="auto"/>
          <w:color w:val="auto"/>
        </w:rPr>
        <w:t>Multiplier</w:t>
      </w:r>
      <w:r>
        <w:rPr>
          <w:rFonts w:ascii="Arial" w:cs="Arial" w:eastAsia="Arial" w:hAnsi="Arial"/>
          <w:sz w:val="18"/>
          <w:szCs w:val="18"/>
          <w:color w:val="auto"/>
        </w:rPr>
        <w:t>” shall equal two (2), provided, however, that the Multiplier shall equal three (3) if (x) the Qualifying Termination occurs within the first anniversary of a Change in Control event,</w:t>
      </w:r>
    </w:p>
    <w:p>
      <w:pPr>
        <w:spacing w:after="0" w:line="1" w:lineRule="exact"/>
        <w:rPr>
          <w:rFonts w:ascii="Arial" w:cs="Arial" w:eastAsia="Arial" w:hAnsi="Arial"/>
          <w:sz w:val="19"/>
          <w:szCs w:val="19"/>
          <w:color w:val="auto"/>
        </w:rPr>
      </w:pPr>
    </w:p>
    <w:p>
      <w:pPr>
        <w:jc w:val="both"/>
        <w:ind w:left="729"/>
        <w:spacing w:after="0" w:line="307" w:lineRule="auto"/>
        <w:rPr>
          <w:rFonts w:ascii="Arial" w:cs="Arial" w:eastAsia="Arial" w:hAnsi="Arial"/>
          <w:sz w:val="19"/>
          <w:szCs w:val="19"/>
          <w:color w:val="auto"/>
        </w:rPr>
      </w:pPr>
      <w:r>
        <w:rPr>
          <w:rFonts w:ascii="Arial" w:cs="Arial" w:eastAsia="Arial" w:hAnsi="Arial"/>
          <w:sz w:val="18"/>
          <w:szCs w:val="18"/>
          <w:color w:val="auto"/>
        </w:rPr>
        <w:t>(y) the Executive did not vote in favor of such Change in Control, and (z) the Company’s net assets are greater than one hundred million dollars ($100,000,000) as determined by the Board in good faith. This severance amount shall be paid to the Executive within thirty (30) days following the effective date of the release as set forth in subsection (i). For the avoidance of doubt and for purposes of calculating severance under this Section, (1) if the Qualifying Termination occurs during fiscal year 2020, the Prior Annual Bonus shall equal the Executive’s then-current Base Salary; and (2) if the Qualifying Termination occurs during fiscal year 2021, the Prior Annual Bonus shall equal the annualized rate of the Annual Bonus earned for fiscal year 2020.</w:t>
      </w:r>
    </w:p>
    <w:p>
      <w:pPr>
        <w:spacing w:after="0" w:line="162" w:lineRule="exact"/>
        <w:rPr>
          <w:sz w:val="20"/>
          <w:szCs w:val="20"/>
          <w:color w:val="auto"/>
        </w:rPr>
      </w:pPr>
    </w:p>
    <w:p>
      <w:pPr>
        <w:jc w:val="both"/>
        <w:ind w:left="769" w:hanging="521"/>
        <w:spacing w:after="0" w:line="262" w:lineRule="auto"/>
        <w:rPr>
          <w:sz w:val="20"/>
          <w:szCs w:val="20"/>
          <w:color w:val="auto"/>
        </w:rPr>
      </w:pPr>
      <w:r>
        <w:rPr>
          <w:rFonts w:ascii="Arial" w:cs="Arial" w:eastAsia="Arial" w:hAnsi="Arial"/>
          <w:sz w:val="22"/>
          <w:szCs w:val="22"/>
          <w:color w:val="auto"/>
        </w:rPr>
        <w:t>(ii)</w:t>
      </w:r>
      <w:r>
        <w:rPr>
          <w:rFonts w:ascii="Arial" w:cs="Arial" w:eastAsia="Arial" w:hAnsi="Arial"/>
          <w:sz w:val="19"/>
          <w:szCs w:val="19"/>
          <w:color w:val="auto"/>
        </w:rPr>
        <w:t>Notwithstanding anything in the applicable equity incentive plan and/or equity award agreement to the contrary, any unvested</w:t>
      </w:r>
      <w:r>
        <w:rPr>
          <w:rFonts w:ascii="Arial" w:cs="Arial" w:eastAsia="Arial" w:hAnsi="Arial"/>
          <w:sz w:val="22"/>
          <w:szCs w:val="22"/>
          <w:color w:val="auto"/>
        </w:rPr>
        <w:t xml:space="preserve"> </w:t>
      </w:r>
      <w:r>
        <w:rPr>
          <w:rFonts w:ascii="Arial" w:cs="Arial" w:eastAsia="Arial" w:hAnsi="Arial"/>
          <w:sz w:val="19"/>
          <w:szCs w:val="19"/>
          <w:color w:val="auto"/>
        </w:rPr>
        <w:t xml:space="preserve">portion of any equity awards held by the Executive shall vest in full and become exercisable and free from forfeiture or repurchase, as applicable, as of the date of the effective date of the release as set forth in </w:t>
      </w:r>
      <w:r>
        <w:rPr>
          <w:rFonts w:ascii="Arial" w:cs="Arial" w:eastAsia="Arial" w:hAnsi="Arial"/>
          <w:sz w:val="19"/>
          <w:szCs w:val="19"/>
          <w:u w:val="single" w:color="auto"/>
          <w:color w:val="auto"/>
        </w:rPr>
        <w:t>Section 8(i)</w:t>
      </w:r>
      <w:r>
        <w:rPr>
          <w:rFonts w:ascii="Arial" w:cs="Arial" w:eastAsia="Arial" w:hAnsi="Arial"/>
          <w:sz w:val="19"/>
          <w:szCs w:val="19"/>
          <w:color w:val="auto"/>
        </w:rPr>
        <w:t>.</w:t>
      </w:r>
    </w:p>
    <w:p>
      <w:pPr>
        <w:spacing w:after="0" w:line="195" w:lineRule="exact"/>
        <w:rPr>
          <w:sz w:val="20"/>
          <w:szCs w:val="20"/>
          <w:color w:val="auto"/>
        </w:rPr>
      </w:pPr>
    </w:p>
    <w:p>
      <w:pPr>
        <w:jc w:val="both"/>
        <w:ind w:left="829" w:hanging="575"/>
        <w:spacing w:after="0" w:line="267" w:lineRule="auto"/>
        <w:rPr>
          <w:sz w:val="20"/>
          <w:szCs w:val="20"/>
          <w:color w:val="auto"/>
        </w:rPr>
      </w:pPr>
      <w:r>
        <w:rPr>
          <w:rFonts w:ascii="Arial" w:cs="Arial" w:eastAsia="Arial" w:hAnsi="Arial"/>
          <w:sz w:val="22"/>
          <w:szCs w:val="22"/>
          <w:color w:val="auto"/>
        </w:rPr>
        <w:t>(iii)</w:t>
      </w:r>
      <w:r>
        <w:rPr>
          <w:rFonts w:ascii="Arial" w:cs="Arial" w:eastAsia="Arial" w:hAnsi="Arial"/>
          <w:sz w:val="19"/>
          <w:szCs w:val="19"/>
          <w:color w:val="auto"/>
        </w:rPr>
        <w:t>The Company shall provide, at the Company’s cost, continuation health insurance coverage under the Consolidated Omnibus</w:t>
      </w:r>
      <w:r>
        <w:rPr>
          <w:rFonts w:ascii="Arial" w:cs="Arial" w:eastAsia="Arial" w:hAnsi="Arial"/>
          <w:sz w:val="22"/>
          <w:szCs w:val="22"/>
          <w:color w:val="auto"/>
        </w:rPr>
        <w:t xml:space="preserve"> </w:t>
      </w:r>
      <w:r>
        <w:rPr>
          <w:rFonts w:ascii="Arial" w:cs="Arial" w:eastAsia="Arial" w:hAnsi="Arial"/>
          <w:sz w:val="19"/>
          <w:szCs w:val="19"/>
          <w:color w:val="auto"/>
        </w:rPr>
        <w:t>Budget Reconciliation Act of 1985 (“</w:t>
      </w:r>
      <w:r>
        <w:rPr>
          <w:rFonts w:ascii="Arial" w:cs="Arial" w:eastAsia="Arial" w:hAnsi="Arial"/>
          <w:sz w:val="19"/>
          <w:szCs w:val="19"/>
          <w:u w:val="single" w:color="auto"/>
          <w:color w:val="auto"/>
        </w:rPr>
        <w:t>COBRA</w:t>
      </w:r>
      <w:r>
        <w:rPr>
          <w:rFonts w:ascii="Arial" w:cs="Arial" w:eastAsia="Arial" w:hAnsi="Arial"/>
          <w:sz w:val="19"/>
          <w:szCs w:val="19"/>
          <w:color w:val="auto"/>
        </w:rPr>
        <w:t>”) during the eighteen (18) months following the date of termination (“</w:t>
      </w:r>
      <w:r>
        <w:rPr>
          <w:rFonts w:ascii="Arial" w:cs="Arial" w:eastAsia="Arial" w:hAnsi="Arial"/>
          <w:sz w:val="19"/>
          <w:szCs w:val="19"/>
          <w:u w:val="single" w:color="auto"/>
          <w:color w:val="auto"/>
        </w:rPr>
        <w:t>COBRA</w:t>
      </w:r>
      <w:r>
        <w:rPr>
          <w:rFonts w:ascii="Arial" w:cs="Arial" w:eastAsia="Arial" w:hAnsi="Arial"/>
          <w:sz w:val="19"/>
          <w:szCs w:val="19"/>
          <w:color w:val="auto"/>
        </w:rPr>
        <w:t xml:space="preserve"> </w:t>
      </w:r>
      <w:r>
        <w:rPr>
          <w:rFonts w:ascii="Arial" w:cs="Arial" w:eastAsia="Arial" w:hAnsi="Arial"/>
          <w:sz w:val="19"/>
          <w:szCs w:val="19"/>
          <w:u w:val="single" w:color="auto"/>
          <w:color w:val="auto"/>
        </w:rPr>
        <w:t>Coverage Period</w:t>
      </w:r>
      <w:r>
        <w:rPr>
          <w:rFonts w:ascii="Arial" w:cs="Arial" w:eastAsia="Arial" w:hAnsi="Arial"/>
          <w:sz w:val="19"/>
          <w:szCs w:val="19"/>
          <w:color w:val="auto"/>
        </w:rPr>
        <w:t>”), provided that, these payments for continuation coverage under COBRA shall cease prior to the end of the COBRA Coverage Period if the Executive becomes eligible for other group health insurance coverage</w:t>
      </w:r>
    </w:p>
    <w:p>
      <w:pPr>
        <w:spacing w:after="0" w:line="200" w:lineRule="exact"/>
        <w:rPr>
          <w:sz w:val="20"/>
          <w:szCs w:val="20"/>
          <w:color w:val="auto"/>
        </w:rPr>
      </w:pPr>
    </w:p>
    <w:p>
      <w:pPr>
        <w:spacing w:after="0" w:line="209" w:lineRule="exact"/>
        <w:rPr>
          <w:sz w:val="20"/>
          <w:szCs w:val="20"/>
          <w:color w:val="auto"/>
        </w:rPr>
      </w:pPr>
    </w:p>
    <w:p>
      <w:pPr>
        <w:ind w:left="3969"/>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0989"/>
          </w:cols>
          <w:pgMar w:left="571" w:top="865" w:right="339" w:bottom="1440" w:gutter="0" w:footer="0" w:header="0"/>
        </w:sectPr>
      </w:pPr>
    </w:p>
    <w:bookmarkStart w:id="77" w:name="page78"/>
    <w:bookmarkEnd w:id="77"/>
    <w:p>
      <w:pPr>
        <w:ind w:left="640"/>
        <w:spacing w:after="0" w:line="246" w:lineRule="auto"/>
        <w:rPr>
          <w:sz w:val="20"/>
          <w:szCs w:val="20"/>
          <w:color w:val="auto"/>
        </w:rPr>
      </w:pPr>
      <w:r>
        <w:rPr>
          <w:rFonts w:ascii="Arial" w:cs="Arial" w:eastAsia="Arial" w:hAnsi="Arial"/>
          <w:sz w:val="20"/>
          <w:szCs w:val="20"/>
          <w:color w:val="auto"/>
        </w:rPr>
        <w:t>from a new employer, and provided further that such coverage provided during the COBRA Coverage Period shall be included in (and not in addition to) the continuation period under COBRA.</w:t>
      </w:r>
    </w:p>
    <w:p>
      <w:pPr>
        <w:spacing w:after="0" w:line="190" w:lineRule="exact"/>
        <w:rPr>
          <w:sz w:val="20"/>
          <w:szCs w:val="20"/>
          <w:color w:val="auto"/>
        </w:rPr>
      </w:pPr>
    </w:p>
    <w:p>
      <w:pPr>
        <w:ind w:left="820" w:hanging="573"/>
        <w:spacing w:after="0" w:line="264" w:lineRule="auto"/>
        <w:tabs>
          <w:tab w:leader="none" w:pos="568" w:val="left"/>
        </w:tabs>
        <w:numPr>
          <w:ilvl w:val="0"/>
          <w:numId w:val="50"/>
        </w:numPr>
        <w:rPr>
          <w:rFonts w:ascii="Arial" w:cs="Arial" w:eastAsia="Arial" w:hAnsi="Arial"/>
          <w:sz w:val="22"/>
          <w:szCs w:val="22"/>
          <w:color w:val="auto"/>
        </w:rPr>
      </w:pPr>
      <w:r>
        <w:rPr>
          <w:rFonts w:ascii="Arial" w:cs="Arial" w:eastAsia="Arial" w:hAnsi="Arial"/>
          <w:sz w:val="20"/>
          <w:szCs w:val="20"/>
          <w:color w:val="auto"/>
        </w:rPr>
        <w:t xml:space="preserve">The Executive shall receive any unpaid Annual Bonus for the preceding fiscal year and the Pro-Rated Bonus, payable in accordance with the timing as set forth in </w:t>
      </w:r>
      <w:r>
        <w:rPr>
          <w:rFonts w:ascii="Arial" w:cs="Arial" w:eastAsia="Arial" w:hAnsi="Arial"/>
          <w:sz w:val="20"/>
          <w:szCs w:val="20"/>
          <w:u w:val="single" w:color="auto"/>
          <w:color w:val="auto"/>
        </w:rPr>
        <w:t>Section 8(h)</w:t>
      </w:r>
      <w:r>
        <w:rPr>
          <w:rFonts w:ascii="Arial" w:cs="Arial" w:eastAsia="Arial" w:hAnsi="Arial"/>
          <w:sz w:val="20"/>
          <w:szCs w:val="20"/>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purposes of this Agreement, “</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mean the occurrence of any of the following events during the Term:</w:t>
      </w:r>
    </w:p>
    <w:p>
      <w:pPr>
        <w:spacing w:after="0" w:line="241" w:lineRule="exact"/>
        <w:rPr>
          <w:sz w:val="20"/>
          <w:szCs w:val="20"/>
          <w:color w:val="auto"/>
        </w:rPr>
      </w:pPr>
    </w:p>
    <w:p>
      <w:pPr>
        <w:ind w:left="640" w:hanging="393"/>
        <w:spacing w:after="0"/>
        <w:tabs>
          <w:tab w:leader="none" w:pos="6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 majority of the Board ceases to be comprised of Incumbent Directors (as defined below); or</w:t>
      </w:r>
    </w:p>
    <w:p>
      <w:pPr>
        <w:spacing w:after="0" w:line="229" w:lineRule="exact"/>
        <w:rPr>
          <w:rFonts w:ascii="Arial" w:cs="Arial" w:eastAsia="Arial" w:hAnsi="Arial"/>
          <w:sz w:val="20"/>
          <w:szCs w:val="20"/>
          <w:color w:val="auto"/>
        </w:rPr>
      </w:pPr>
    </w:p>
    <w:p>
      <w:pPr>
        <w:ind w:left="1160" w:hanging="913"/>
        <w:spacing w:after="0" w:line="246" w:lineRule="auto"/>
        <w:tabs>
          <w:tab w:leader="none" w:pos="638" w:val="left"/>
        </w:tabs>
        <w:numPr>
          <w:ilvl w:val="0"/>
          <w:numId w:val="51"/>
        </w:numPr>
        <w:rPr>
          <w:rFonts w:ascii="Arial" w:cs="Arial" w:eastAsia="Arial" w:hAnsi="Arial"/>
          <w:sz w:val="20"/>
          <w:szCs w:val="20"/>
          <w:color w:val="auto"/>
        </w:rPr>
      </w:pPr>
      <w:r>
        <w:rPr>
          <w:rFonts w:ascii="Arial" w:cs="Arial" w:eastAsia="Arial" w:hAnsi="Arial"/>
          <w:sz w:val="20"/>
          <w:szCs w:val="20"/>
          <w:color w:val="auto"/>
        </w:rPr>
        <w:t>any individual, entity or group (within the meaning of Section 13(d)(3) or 14(d)(2) of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(a “</w:t>
      </w:r>
      <w:r>
        <w:rPr>
          <w:rFonts w:ascii="Arial" w:cs="Arial" w:eastAsia="Arial" w:hAnsi="Arial"/>
          <w:sz w:val="20"/>
          <w:szCs w:val="20"/>
          <w:u w:val="single" w:color="auto"/>
          <w:color w:val="auto"/>
        </w:rPr>
        <w:t>Person</w:t>
      </w:r>
      <w:r>
        <w:rPr>
          <w:rFonts w:ascii="Arial" w:cs="Arial" w:eastAsia="Arial" w:hAnsi="Arial"/>
          <w:sz w:val="20"/>
          <w:szCs w:val="20"/>
          <w:color w:val="auto"/>
        </w:rPr>
        <w:t>”) is or becomes the beneficial owner (within the meaning of Rule 13d-3 promulgated under the Securities Exchange Act) of more than 25% of the combined voting power of the then-outstanding voting stock of the Company; or</w:t>
      </w:r>
    </w:p>
    <w:p>
      <w:pPr>
        <w:spacing w:after="0" w:line="96" w:lineRule="exact"/>
        <w:rPr>
          <w:rFonts w:ascii="Arial" w:cs="Arial" w:eastAsia="Arial" w:hAnsi="Arial"/>
          <w:sz w:val="20"/>
          <w:szCs w:val="20"/>
          <w:color w:val="auto"/>
        </w:rPr>
      </w:pPr>
    </w:p>
    <w:p>
      <w:pPr>
        <w:jc w:val="both"/>
        <w:ind w:left="640" w:hanging="393"/>
        <w:spacing w:after="0" w:line="257" w:lineRule="auto"/>
        <w:tabs>
          <w:tab w:leader="none" w:pos="6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consummation of a consolidation, merger, stock sale or similar transaction or series of related transactions (or a sale or transfer of all or substantially all of the Company's assets) (each, a "</w:t>
      </w:r>
      <w:r>
        <w:rPr>
          <w:rFonts w:ascii="Arial" w:cs="Arial" w:eastAsia="Arial" w:hAnsi="Arial"/>
          <w:sz w:val="19"/>
          <w:szCs w:val="19"/>
          <w:u w:val="single" w:color="auto"/>
          <w:color w:val="auto"/>
        </w:rPr>
        <w:t>Business Transaction</w:t>
      </w:r>
      <w:r>
        <w:rPr>
          <w:rFonts w:ascii="Arial" w:cs="Arial" w:eastAsia="Arial" w:hAnsi="Arial"/>
          <w:sz w:val="19"/>
          <w:szCs w:val="19"/>
          <w:color w:val="auto"/>
        </w:rPr>
        <w:t>"),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25% or more of the combined voting power of the then-outstanding shares of voting stock of the entity resulting from such Business Transaction or, if it is such entity, the Company, and (B) at least one-half of the members of the Board of Directors of the entity resulting from such Business Transaction were Incumbent Directors at the time of the execution of the initial agreement providing for such Business Transaction; or</w:t>
      </w:r>
    </w:p>
    <w:p>
      <w:pPr>
        <w:spacing w:after="0" w:line="85" w:lineRule="exact"/>
        <w:rPr>
          <w:rFonts w:ascii="Arial" w:cs="Arial" w:eastAsia="Arial" w:hAnsi="Arial"/>
          <w:sz w:val="19"/>
          <w:szCs w:val="19"/>
          <w:color w:val="auto"/>
        </w:rPr>
      </w:pPr>
    </w:p>
    <w:p>
      <w:pPr>
        <w:ind w:left="640" w:hanging="393"/>
        <w:spacing w:after="0"/>
        <w:tabs>
          <w:tab w:leader="none" w:pos="64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dissolution or liquidation of the Company.</w:t>
      </w:r>
    </w:p>
    <w:p>
      <w:pPr>
        <w:spacing w:after="0" w:line="216" w:lineRule="exact"/>
        <w:rPr>
          <w:sz w:val="20"/>
          <w:szCs w:val="20"/>
          <w:color w:val="auto"/>
        </w:rPr>
      </w:pPr>
    </w:p>
    <w:p>
      <w:pPr>
        <w:jc w:val="both"/>
        <w:ind w:left="260"/>
        <w:spacing w:after="0" w:line="257"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Incumbent Directors</w:t>
      </w:r>
      <w:r>
        <w:rPr>
          <w:rFonts w:ascii="Arial" w:cs="Arial" w:eastAsia="Arial" w:hAnsi="Arial"/>
          <w:sz w:val="19"/>
          <w:szCs w:val="19"/>
          <w:color w:val="auto"/>
        </w:rPr>
        <w:t xml:space="preserve">” shall mean individuals who, as of the date hereof,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230" w:lineRule="exact"/>
        <w:rPr>
          <w:sz w:val="20"/>
          <w:szCs w:val="20"/>
          <w:color w:val="auto"/>
        </w:rPr>
      </w:pPr>
    </w:p>
    <w:p>
      <w:pPr>
        <w:jc w:val="both"/>
        <w:ind w:left="480" w:hanging="485"/>
        <w:spacing w:after="0" w:line="287" w:lineRule="auto"/>
        <w:rPr>
          <w:sz w:val="20"/>
          <w:szCs w:val="20"/>
          <w:color w:val="auto"/>
        </w:rPr>
      </w:pPr>
      <w:r>
        <w:rPr>
          <w:rFonts w:ascii="Arial" w:cs="Arial" w:eastAsia="Arial" w:hAnsi="Arial"/>
          <w:sz w:val="21"/>
          <w:szCs w:val="21"/>
          <w:color w:val="auto"/>
        </w:rPr>
        <w:t>g.</w:t>
      </w:r>
      <w:r>
        <w:rPr>
          <w:rFonts w:ascii="Arial" w:cs="Arial" w:eastAsia="Arial" w:hAnsi="Arial"/>
          <w:sz w:val="18"/>
          <w:szCs w:val="18"/>
          <w:u w:val="single" w:color="auto"/>
          <w:color w:val="auto"/>
        </w:rPr>
        <w:t>By the Executive</w:t>
      </w:r>
      <w:r>
        <w:rPr>
          <w:rFonts w:ascii="Arial" w:cs="Arial" w:eastAsia="Arial" w:hAnsi="Arial"/>
          <w:sz w:val="18"/>
          <w:szCs w:val="18"/>
          <w:color w:val="auto"/>
        </w:rPr>
        <w:t>. Notwithstanding the foregoing, the Executive may terminate the Executive’s employment under this Agreement,</w:t>
      </w:r>
      <w:r>
        <w:rPr>
          <w:rFonts w:ascii="Arial" w:cs="Arial" w:eastAsia="Arial" w:hAnsi="Arial"/>
          <w:sz w:val="21"/>
          <w:szCs w:val="21"/>
          <w:color w:val="auto"/>
        </w:rPr>
        <w:t xml:space="preserve"> </w:t>
      </w:r>
      <w:r>
        <w:rPr>
          <w:rFonts w:ascii="Arial" w:cs="Arial" w:eastAsia="Arial" w:hAnsi="Arial"/>
          <w:sz w:val="18"/>
          <w:szCs w:val="18"/>
          <w:color w:val="auto"/>
        </w:rPr>
        <w:t xml:space="preserve">provided that such termination may take place no earlier than thirty (30) days after the Executive has provided written notice to the Company of the Executive’s intent to terminate employment. The Company reserves the right to provide payment at the Executive’s then-current Base Salary in lieu of all or any portion of such notice period. In the event Executive terminates the Executive’s employment under this </w:t>
      </w:r>
      <w:r>
        <w:rPr>
          <w:rFonts w:ascii="Arial" w:cs="Arial" w:eastAsia="Arial" w:hAnsi="Arial"/>
          <w:sz w:val="18"/>
          <w:szCs w:val="18"/>
          <w:u w:val="single" w:color="auto"/>
          <w:color w:val="auto"/>
        </w:rPr>
        <w:t>Section 8(g)</w:t>
      </w:r>
      <w:r>
        <w:rPr>
          <w:rFonts w:ascii="Arial" w:cs="Arial" w:eastAsia="Arial" w:hAnsi="Arial"/>
          <w:sz w:val="18"/>
          <w:szCs w:val="18"/>
          <w:color w:val="auto"/>
        </w:rPr>
        <w:t>, the Executive shall receive all Accrued Benefits through the date of such termination.</w:t>
      </w:r>
    </w:p>
    <w:p>
      <w:pPr>
        <w:spacing w:after="0" w:line="394"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- 6 -</w:t>
      </w:r>
    </w:p>
    <w:p>
      <w:pPr>
        <w:sectPr>
          <w:pgSz w:w="11900" w:h="16838" w:orient="portrait"/>
          <w:cols w:equalWidth="0" w:num="1">
            <w:col w:w="10980"/>
          </w:cols>
          <w:pgMar w:left="580" w:top="852" w:right="339" w:bottom="1440" w:gutter="0" w:footer="0" w:header="0"/>
        </w:sectPr>
      </w:pPr>
    </w:p>
    <w:bookmarkStart w:id="78" w:name="page79"/>
    <w:bookmarkEnd w:id="78"/>
    <w:p>
      <w:pPr>
        <w:jc w:val="both"/>
        <w:ind w:left="732" w:hanging="485"/>
        <w:spacing w:after="0" w:line="290" w:lineRule="auto"/>
        <w:rPr>
          <w:sz w:val="20"/>
          <w:szCs w:val="20"/>
          <w:color w:val="auto"/>
        </w:rPr>
      </w:pPr>
      <w:r>
        <w:rPr>
          <w:rFonts w:ascii="Arial" w:cs="Arial" w:eastAsia="Arial" w:hAnsi="Arial"/>
          <w:sz w:val="21"/>
          <w:szCs w:val="21"/>
          <w:color w:val="auto"/>
        </w:rPr>
        <w:t>h.</w:t>
      </w:r>
      <w:r>
        <w:rPr>
          <w:rFonts w:ascii="Arial" w:cs="Arial" w:eastAsia="Arial" w:hAnsi="Arial"/>
          <w:sz w:val="18"/>
          <w:szCs w:val="18"/>
          <w:u w:val="single" w:color="auto"/>
          <w:color w:val="auto"/>
        </w:rPr>
        <w:t>Bonus Payment Timing</w:t>
      </w:r>
      <w:r>
        <w:rPr>
          <w:rFonts w:ascii="Arial" w:cs="Arial" w:eastAsia="Arial" w:hAnsi="Arial"/>
          <w:sz w:val="18"/>
          <w:szCs w:val="18"/>
          <w:color w:val="auto"/>
        </w:rPr>
        <w:t>. Subject to the execution and non-revocation of a release as set forth in</w:t>
      </w:r>
      <w:r>
        <w:rPr>
          <w:rFonts w:ascii="Arial" w:cs="Arial" w:eastAsia="Arial" w:hAnsi="Arial"/>
          <w:sz w:val="21"/>
          <w:szCs w:val="21"/>
          <w:color w:val="auto"/>
        </w:rPr>
        <w:t xml:space="preserve"> </w:t>
      </w:r>
      <w:r>
        <w:rPr>
          <w:rFonts w:ascii="Arial" w:cs="Arial" w:eastAsia="Arial" w:hAnsi="Arial"/>
          <w:sz w:val="18"/>
          <w:szCs w:val="18"/>
          <w:u w:val="single" w:color="auto"/>
          <w:color w:val="auto"/>
        </w:rPr>
        <w:t>Section 8(i)</w:t>
      </w:r>
      <w:r>
        <w:rPr>
          <w:rFonts w:ascii="Arial" w:cs="Arial" w:eastAsia="Arial" w:hAnsi="Arial"/>
          <w:sz w:val="21"/>
          <w:szCs w:val="21"/>
          <w:color w:val="auto"/>
        </w:rPr>
        <w:t xml:space="preserve"> </w:t>
      </w:r>
      <w:r>
        <w:rPr>
          <w:rFonts w:ascii="Arial" w:cs="Arial" w:eastAsia="Arial" w:hAnsi="Arial"/>
          <w:sz w:val="18"/>
          <w:szCs w:val="18"/>
          <w:color w:val="auto"/>
        </w:rPr>
        <w:t>and in substantially similar</w:t>
      </w:r>
      <w:r>
        <w:rPr>
          <w:rFonts w:ascii="Arial" w:cs="Arial" w:eastAsia="Arial" w:hAnsi="Arial"/>
          <w:sz w:val="21"/>
          <w:szCs w:val="21"/>
          <w:color w:val="auto"/>
        </w:rPr>
        <w:t xml:space="preserve"> </w:t>
      </w:r>
      <w:r>
        <w:rPr>
          <w:rFonts w:ascii="Arial" w:cs="Arial" w:eastAsia="Arial" w:hAnsi="Arial"/>
          <w:sz w:val="18"/>
          <w:szCs w:val="18"/>
          <w:color w:val="auto"/>
        </w:rPr>
        <w:t xml:space="preserve">to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Company shall (A) pay any unpaid Annual Bonus for the preceding fiscal year otherwise payable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within thirty (30) days following the date of the effective date of such release; and (B) subject to the execution and non-revocation of an additional release of claims substantially similar to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pay the Pro-Rated Bonus otherwise payable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in accordance with the Company’s regular bonus payment schedule for the Annual Bonus for that calendar year, as otherwise payable to similarly situated active employees of the Company, but no later than 2.5 months following the end of the calendar year in which it was earned.</w:t>
      </w:r>
    </w:p>
    <w:p>
      <w:pPr>
        <w:spacing w:after="0" w:line="176" w:lineRule="exact"/>
        <w:rPr>
          <w:sz w:val="20"/>
          <w:szCs w:val="20"/>
          <w:color w:val="auto"/>
        </w:rPr>
      </w:pPr>
    </w:p>
    <w:p>
      <w:pPr>
        <w:jc w:val="both"/>
        <w:ind w:left="692" w:hanging="444"/>
        <w:spacing w:after="0" w:line="270" w:lineRule="auto"/>
        <w:rPr>
          <w:sz w:val="20"/>
          <w:szCs w:val="20"/>
          <w:color w:val="auto"/>
        </w:rPr>
      </w:pPr>
      <w:r>
        <w:rPr>
          <w:rFonts w:ascii="Arial" w:cs="Arial" w:eastAsia="Arial" w:hAnsi="Arial"/>
          <w:sz w:val="22"/>
          <w:szCs w:val="22"/>
          <w:color w:val="auto"/>
        </w:rPr>
        <w:t>i.</w:t>
      </w:r>
      <w:r>
        <w:rPr>
          <w:rFonts w:ascii="Arial" w:cs="Arial" w:eastAsia="Arial" w:hAnsi="Arial"/>
          <w:sz w:val="19"/>
          <w:szCs w:val="19"/>
          <w:b w:val="1"/>
          <w:bCs w:val="1"/>
          <w:u w:val="single" w:color="auto"/>
          <w:color w:val="auto"/>
        </w:rPr>
        <w:t>Release</w:t>
      </w:r>
      <w:r>
        <w:rPr>
          <w:rFonts w:ascii="Arial" w:cs="Arial" w:eastAsia="Arial" w:hAnsi="Arial"/>
          <w:sz w:val="19"/>
          <w:szCs w:val="19"/>
          <w:b w:val="1"/>
          <w:bCs w:val="1"/>
          <w:color w:val="auto"/>
        </w:rPr>
        <w:t>. As a precondition to the payment of any amounts or benefits in addition to earned but unpaid Base Salary upon</w:t>
      </w:r>
      <w:r>
        <w:rPr>
          <w:rFonts w:ascii="Arial" w:cs="Arial" w:eastAsia="Arial" w:hAnsi="Arial"/>
          <w:sz w:val="22"/>
          <w:szCs w:val="22"/>
          <w:color w:val="auto"/>
        </w:rPr>
        <w:t xml:space="preserve"> </w:t>
      </w:r>
      <w:r>
        <w:rPr>
          <w:rFonts w:ascii="Arial" w:cs="Arial" w:eastAsia="Arial" w:hAnsi="Arial"/>
          <w:sz w:val="19"/>
          <w:szCs w:val="19"/>
          <w:b w:val="1"/>
          <w:bCs w:val="1"/>
          <w:color w:val="auto"/>
        </w:rPr>
        <w:t xml:space="preserve">termination of the Executive’s employment under this Agreement, including but not limited to each Severance Benefit, the Executive or the Estate, as applicable, shall be required to execute one or more release of any claims against the Company, Affiliates, and their employee, officers, directors, and shareholders arising out of the Executive’s employment or termination in a form attached hereto as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w:t>
      </w:r>
    </w:p>
    <w:p>
      <w:pPr>
        <w:spacing w:after="0" w:line="192" w:lineRule="exact"/>
        <w:rPr>
          <w:sz w:val="20"/>
          <w:szCs w:val="20"/>
          <w:color w:val="auto"/>
        </w:rPr>
      </w:pPr>
    </w:p>
    <w:p>
      <w:pPr>
        <w:jc w:val="both"/>
        <w:ind w:left="332" w:hanging="332"/>
        <w:spacing w:after="0" w:line="282" w:lineRule="auto"/>
        <w:tabs>
          <w:tab w:leader="none" w:pos="332" w:val="left"/>
        </w:tabs>
        <w:numPr>
          <w:ilvl w:val="0"/>
          <w:numId w:val="52"/>
        </w:numPr>
        <w:rPr>
          <w:rFonts w:ascii="Arial" w:cs="Arial" w:eastAsia="Arial" w:hAnsi="Arial"/>
          <w:sz w:val="21"/>
          <w:szCs w:val="21"/>
          <w:color w:val="auto"/>
        </w:rPr>
      </w:pPr>
      <w:r>
        <w:rPr>
          <w:rFonts w:ascii="Arial" w:cs="Arial" w:eastAsia="Arial" w:hAnsi="Arial"/>
          <w:sz w:val="19"/>
          <w:szCs w:val="19"/>
          <w:b w:val="1"/>
          <w:bCs w:val="1"/>
          <w:color w:val="auto"/>
        </w:rPr>
        <w:t xml:space="preserve">Intellectual Property. </w:t>
      </w:r>
      <w:r>
        <w:rPr>
          <w:rFonts w:ascii="Arial" w:cs="Arial" w:eastAsia="Arial" w:hAnsi="Arial"/>
          <w:sz w:val="19"/>
          <w:szCs w:val="19"/>
          <w:color w:val="auto"/>
        </w:rPr>
        <w:t>All inventions, technology, processes, innovations, ideas, improvements, developments, methods, designs,</w:t>
      </w:r>
      <w:r>
        <w:rPr>
          <w:rFonts w:ascii="Arial" w:cs="Arial" w:eastAsia="Arial" w:hAnsi="Arial"/>
          <w:sz w:val="19"/>
          <w:szCs w:val="19"/>
          <w:b w:val="1"/>
          <w:bCs w:val="1"/>
          <w:color w:val="auto"/>
        </w:rPr>
        <w:t xml:space="preserve"> </w:t>
      </w:r>
      <w:r>
        <w:rPr>
          <w:rFonts w:ascii="Arial" w:cs="Arial" w:eastAsia="Arial" w:hAnsi="Arial"/>
          <w:sz w:val="19"/>
          <w:szCs w:val="19"/>
          <w:color w:val="auto"/>
        </w:rPr>
        <w:t>analyses, trademarks, service marks, and other indicia of origin, writings, audiovisual works, concepts, drawings, reports and all similar, related, or derivative information or works (whether or not patentable or subject to copyright), including but not limited to all patents, copyrights, copyright registrations, trademarks, and trademark registrations in and to any of the foregoing, along with the right to practice, employ, exploit, use, develop, reproduce, copy, distribute copies, publish, license, or create works derivative of any of the foregoing, and the right to choose not to do or permit any of the aforementioned actions, which relate to the Company’s actual or anticipated business, research and development or existing or future products or services and which are conceived, developed or made by the Executive while employed by the Company or any of their predecessors (collectively, the “</w:t>
      </w:r>
      <w:r>
        <w:rPr>
          <w:rFonts w:ascii="Arial" w:cs="Arial" w:eastAsia="Arial" w:hAnsi="Arial"/>
          <w:sz w:val="19"/>
          <w:szCs w:val="19"/>
          <w:u w:val="single" w:color="auto"/>
          <w:color w:val="auto"/>
        </w:rPr>
        <w:t>Work Product</w:t>
      </w:r>
      <w:r>
        <w:rPr>
          <w:rFonts w:ascii="Arial" w:cs="Arial" w:eastAsia="Arial" w:hAnsi="Arial"/>
          <w:sz w:val="19"/>
          <w:szCs w:val="19"/>
          <w:color w:val="auto"/>
        </w:rPr>
        <w:t>”) belong to the Company. All Work Product created by the Executive while employed by the Company or any of its predecessors will be considered “work made for hire,” and as such, the Company is the sole owner of all rights, title, and interests therein. All other rights to any new Work Product and all rights to any existing Work Product, including but not limited to all of the Executive’s rights to any copyrights or copyright registrations related thereto, are conveyed, assigned and transferred to the Company pursuant to this Agreement. The Executive will promptly disclose and deliver such Work Product to the Company and, at the Company’s expense, perform all actions reasonably requested by the Company (whether during or after the Executive’s employment with the Company) to establish, confirm and protect such ownership (including, without limitation, the execution of assignments, copyright registrations, consents, licenses, powers of attorney and other instruments).</w:t>
      </w:r>
    </w:p>
    <w:p>
      <w:pPr>
        <w:spacing w:after="0" w:line="177" w:lineRule="exact"/>
        <w:rPr>
          <w:rFonts w:ascii="Arial" w:cs="Arial" w:eastAsia="Arial" w:hAnsi="Arial"/>
          <w:sz w:val="21"/>
          <w:szCs w:val="21"/>
          <w:color w:val="auto"/>
        </w:rPr>
      </w:pPr>
    </w:p>
    <w:p>
      <w:pPr>
        <w:jc w:val="both"/>
        <w:ind w:left="332"/>
        <w:spacing w:after="0" w:line="244" w:lineRule="auto"/>
        <w:rPr>
          <w:rFonts w:ascii="Arial" w:cs="Arial" w:eastAsia="Arial" w:hAnsi="Arial"/>
          <w:sz w:val="21"/>
          <w:szCs w:val="21"/>
          <w:color w:val="auto"/>
        </w:rPr>
      </w:pPr>
      <w:r>
        <w:rPr>
          <w:rFonts w:ascii="Arial" w:cs="Arial" w:eastAsia="Arial" w:hAnsi="Arial"/>
          <w:sz w:val="20"/>
          <w:szCs w:val="20"/>
          <w:color w:val="auto"/>
        </w:rPr>
        <w:t xml:space="preserve">Notwithstanding the foregoing, to the extent required under California Labor Code Sections 2870-2872, nothing in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shall apply to any invention that the Executive developed entirely on the Executive’s own time, without using the Company’s equipment, supplies, facilities, or trade secret information except for those inventions that either: (i) relate to the Company business at the time of conception or reduction to practice, or to actual or demonstrably anticipated research or development of the Company; or (ii) result from any work performed by the Executive for the Company.</w:t>
      </w:r>
    </w:p>
    <w:p>
      <w:pPr>
        <w:spacing w:after="0" w:line="201" w:lineRule="exact"/>
        <w:rPr>
          <w:rFonts w:ascii="Arial" w:cs="Arial" w:eastAsia="Arial" w:hAnsi="Arial"/>
          <w:sz w:val="21"/>
          <w:szCs w:val="21"/>
          <w:color w:val="auto"/>
        </w:rPr>
      </w:pPr>
    </w:p>
    <w:p>
      <w:pPr>
        <w:jc w:val="both"/>
        <w:ind w:left="332" w:hanging="332"/>
        <w:spacing w:after="0" w:line="287" w:lineRule="auto"/>
        <w:tabs>
          <w:tab w:leader="none" w:pos="332" w:val="left"/>
        </w:tabs>
        <w:numPr>
          <w:ilvl w:val="0"/>
          <w:numId w:val="52"/>
        </w:numPr>
        <w:rPr>
          <w:rFonts w:ascii="Arial" w:cs="Arial" w:eastAsia="Arial" w:hAnsi="Arial"/>
          <w:sz w:val="21"/>
          <w:szCs w:val="21"/>
          <w:color w:val="auto"/>
        </w:rPr>
      </w:pPr>
      <w:r>
        <w:rPr>
          <w:rFonts w:ascii="Arial" w:cs="Arial" w:eastAsia="Arial" w:hAnsi="Arial"/>
          <w:sz w:val="19"/>
          <w:szCs w:val="19"/>
          <w:b w:val="1"/>
          <w:bCs w:val="1"/>
          <w:color w:val="auto"/>
        </w:rPr>
        <w:t xml:space="preserve">Confidential Information. </w:t>
      </w:r>
      <w:r>
        <w:rPr>
          <w:rFonts w:ascii="Arial" w:cs="Arial" w:eastAsia="Arial" w:hAnsi="Arial"/>
          <w:sz w:val="19"/>
          <w:szCs w:val="19"/>
          <w:color w:val="auto"/>
        </w:rPr>
        <w:t>The Executive agrees that, during the Executive’s employment with the Company or its Affiliates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termination of the Executive’s employment, except as required by law, the Executive will not, directly or indirectly, at any time, disclose to any third person or use in any way any non-public information or Confidential Information.</w:t>
      </w:r>
    </w:p>
    <w:p>
      <w:pPr>
        <w:spacing w:after="0" w:line="391" w:lineRule="exact"/>
        <w:rPr>
          <w:rFonts w:ascii="Arial" w:cs="Arial" w:eastAsia="Arial" w:hAnsi="Arial"/>
          <w:sz w:val="21"/>
          <w:szCs w:val="21"/>
          <w:color w:val="auto"/>
        </w:rPr>
      </w:pPr>
    </w:p>
    <w:p>
      <w:pPr>
        <w:ind w:left="4332" w:hanging="120"/>
        <w:spacing w:after="0"/>
        <w:tabs>
          <w:tab w:leader="none" w:pos="4332" w:val="left"/>
        </w:tabs>
        <w:numPr>
          <w:ilvl w:val="1"/>
          <w:numId w:val="52"/>
        </w:numPr>
        <w:rPr>
          <w:rFonts w:ascii="Arial" w:cs="Arial" w:eastAsia="Arial" w:hAnsi="Arial"/>
          <w:sz w:val="22"/>
          <w:szCs w:val="22"/>
          <w:color w:val="auto"/>
        </w:rPr>
      </w:pPr>
      <w:r>
        <w:rPr>
          <w:rFonts w:ascii="Arial" w:cs="Arial" w:eastAsia="Arial" w:hAnsi="Arial"/>
          <w:sz w:val="22"/>
          <w:szCs w:val="22"/>
          <w:color w:val="auto"/>
        </w:rPr>
        <w:t>7 -</w:t>
      </w:r>
    </w:p>
    <w:p>
      <w:pPr>
        <w:sectPr>
          <w:pgSz w:w="11900" w:h="16838" w:orient="portrait"/>
          <w:cols w:equalWidth="0" w:num="1">
            <w:col w:w="11232"/>
          </w:cols>
          <w:pgMar w:left="328" w:top="861" w:right="339" w:bottom="1440" w:gutter="0" w:footer="0" w:header="0"/>
        </w:sectPr>
      </w:pPr>
    </w:p>
    <w:bookmarkStart w:id="79" w:name="page80"/>
    <w:bookmarkEnd w:id="79"/>
    <w:p>
      <w:pPr>
        <w:jc w:val="both"/>
        <w:ind w:left="652" w:hanging="409"/>
        <w:spacing w:after="0" w:line="282" w:lineRule="auto"/>
        <w:tabs>
          <w:tab w:leader="none" w:pos="652" w:val="left"/>
        </w:tabs>
        <w:numPr>
          <w:ilvl w:val="0"/>
          <w:numId w:val="53"/>
        </w:numPr>
        <w:rPr>
          <w:rFonts w:ascii="Arial" w:cs="Arial" w:eastAsia="Arial" w:hAnsi="Arial"/>
          <w:sz w:val="21"/>
          <w:szCs w:val="21"/>
          <w:color w:val="auto"/>
        </w:rPr>
      </w:pPr>
      <w:r>
        <w:rPr>
          <w:rFonts w:ascii="Arial" w:cs="Arial" w:eastAsia="Arial" w:hAnsi="Arial"/>
          <w:sz w:val="19"/>
          <w:szCs w:val="19"/>
          <w:u w:val="single" w:color="auto"/>
          <w:color w:val="auto"/>
        </w:rPr>
        <w:t>Definition</w:t>
      </w:r>
      <w:r>
        <w:rPr>
          <w:rFonts w:ascii="Arial" w:cs="Arial" w:eastAsia="Arial" w:hAnsi="Arial"/>
          <w:sz w:val="19"/>
          <w:szCs w:val="19"/>
          <w:color w:val="auto"/>
        </w:rPr>
        <w:t>. For purposes of this Agreement, “Confidential Information” shall mean any confidential or proprietary information, including but not limited to: (a) technical, operational and financial information, data, Trade Secrets, formulae, processes, techniques, formats, specifications, manufacturing methods, treatment methods, designs, sketches, photographs, plans, drawings, specifications, samples, reports, pricing information, studies, findings, marketing plans or proposals, inventions, ideas, customer and client lists, information related to business opportunities and business development, and confidential programs or procedures; (b) any intellectual property owned or licensed by the Company or its Affiliates; (c) any information maintained by the Company or its Affiliates as confidential or proprietary information, whether or not it is marked as confidential; and (d) information received by the Company or its Affiliates from third parties under confidential conditions.</w:t>
      </w:r>
    </w:p>
    <w:p>
      <w:pPr>
        <w:spacing w:after="0" w:line="200" w:lineRule="exact"/>
        <w:rPr>
          <w:rFonts w:ascii="Arial" w:cs="Arial" w:eastAsia="Arial" w:hAnsi="Arial"/>
          <w:sz w:val="21"/>
          <w:szCs w:val="21"/>
          <w:color w:val="auto"/>
        </w:rPr>
      </w:pPr>
    </w:p>
    <w:p>
      <w:pPr>
        <w:jc w:val="both"/>
        <w:ind w:left="652" w:hanging="409"/>
        <w:spacing w:after="0" w:line="282" w:lineRule="auto"/>
        <w:tabs>
          <w:tab w:leader="none" w:pos="652" w:val="left"/>
        </w:tabs>
        <w:numPr>
          <w:ilvl w:val="0"/>
          <w:numId w:val="53"/>
        </w:numPr>
        <w:rPr>
          <w:rFonts w:ascii="Arial" w:cs="Arial" w:eastAsia="Arial" w:hAnsi="Arial"/>
          <w:sz w:val="21"/>
          <w:szCs w:val="21"/>
          <w:color w:val="auto"/>
        </w:rPr>
      </w:pPr>
      <w:r>
        <w:rPr>
          <w:rFonts w:ascii="Arial" w:cs="Arial" w:eastAsia="Arial" w:hAnsi="Arial"/>
          <w:sz w:val="19"/>
          <w:szCs w:val="19"/>
          <w:color w:val="auto"/>
        </w:rPr>
        <w:t>Notwithstanding the foregoing, Confidential Information shall not include information: (i) that at the date hereof is in the public domain; (ii) that has come within the public domain through no fault or action of the Executive that has the obligation of confidentiality (provided, however, that the fact that general information may be in or become part of the public domain, in and of itself, does not exclude any specific information from the obligations of this Agreement); (iii) that after the date hereof has been obtained lawfully from any third party which was entitled to disclose such information; and/or (iv) that the Executive is compelled to disclose by any judicial or administrative order after having given prompt notice of such order to the Company.</w:t>
      </w:r>
    </w:p>
    <w:p>
      <w:pPr>
        <w:spacing w:after="0" w:line="201" w:lineRule="exact"/>
        <w:rPr>
          <w:rFonts w:ascii="Arial" w:cs="Arial" w:eastAsia="Arial" w:hAnsi="Arial"/>
          <w:sz w:val="21"/>
          <w:szCs w:val="21"/>
          <w:color w:val="auto"/>
        </w:rPr>
      </w:pPr>
    </w:p>
    <w:p>
      <w:pPr>
        <w:ind w:left="652" w:hanging="409"/>
        <w:spacing w:after="0"/>
        <w:tabs>
          <w:tab w:leader="none" w:pos="652" w:val="left"/>
        </w:tabs>
        <w:numPr>
          <w:ilvl w:val="0"/>
          <w:numId w:val="53"/>
        </w:numPr>
        <w:rPr>
          <w:rFonts w:ascii="Arial" w:cs="Arial" w:eastAsia="Arial" w:hAnsi="Arial"/>
          <w:sz w:val="19"/>
          <w:szCs w:val="19"/>
          <w:color w:val="auto"/>
        </w:rPr>
      </w:pPr>
      <w:r>
        <w:rPr>
          <w:rFonts w:ascii="Arial" w:cs="Arial" w:eastAsia="Arial" w:hAnsi="Arial"/>
          <w:sz w:val="18"/>
          <w:szCs w:val="18"/>
          <w:u w:val="single" w:color="auto"/>
          <w:color w:val="auto"/>
        </w:rPr>
        <w:t>Obligations with respect to Confidential Information</w:t>
      </w:r>
      <w:r>
        <w:rPr>
          <w:rFonts w:ascii="Arial" w:cs="Arial" w:eastAsia="Arial" w:hAnsi="Arial"/>
          <w:sz w:val="18"/>
          <w:szCs w:val="18"/>
          <w:color w:val="auto"/>
        </w:rPr>
        <w:t>. The Executive agrees that, during the Term and thereafter, the Executive will:</w:t>
      </w:r>
    </w:p>
    <w:p>
      <w:pPr>
        <w:spacing w:after="0" w:line="264" w:lineRule="exact"/>
        <w:rPr>
          <w:rFonts w:ascii="Arial" w:cs="Arial" w:eastAsia="Arial" w:hAnsi="Arial"/>
          <w:sz w:val="19"/>
          <w:szCs w:val="19"/>
          <w:color w:val="auto"/>
        </w:rPr>
      </w:pPr>
    </w:p>
    <w:p>
      <w:pPr>
        <w:ind w:left="712" w:hanging="213"/>
        <w:spacing w:after="0"/>
        <w:tabs>
          <w:tab w:leader="none" w:pos="712" w:val="left"/>
        </w:tabs>
        <w:numPr>
          <w:ilvl w:val="1"/>
          <w:numId w:val="53"/>
        </w:numPr>
        <w:rPr>
          <w:rFonts w:ascii="Arial" w:cs="Arial" w:eastAsia="Arial" w:hAnsi="Arial"/>
          <w:sz w:val="22"/>
          <w:szCs w:val="22"/>
          <w:color w:val="auto"/>
        </w:rPr>
      </w:pPr>
      <w:r>
        <w:rPr>
          <w:rFonts w:ascii="Arial" w:cs="Arial" w:eastAsia="Arial" w:hAnsi="Arial"/>
          <w:sz w:val="20"/>
          <w:szCs w:val="20"/>
          <w:color w:val="auto"/>
        </w:rPr>
        <w:t>hold the Confidential Information in strict confidence; and</w:t>
      </w:r>
    </w:p>
    <w:p>
      <w:pPr>
        <w:spacing w:after="0" w:line="231" w:lineRule="exact"/>
        <w:rPr>
          <w:sz w:val="20"/>
          <w:szCs w:val="20"/>
          <w:color w:val="auto"/>
        </w:rPr>
      </w:pPr>
    </w:p>
    <w:p>
      <w:pPr>
        <w:ind w:left="1012" w:hanging="521"/>
        <w:spacing w:after="0" w:line="245" w:lineRule="auto"/>
        <w:rPr>
          <w:sz w:val="20"/>
          <w:szCs w:val="20"/>
          <w:color w:val="auto"/>
        </w:rPr>
      </w:pPr>
      <w:r>
        <w:rPr>
          <w:rFonts w:ascii="Arial" w:cs="Arial" w:eastAsia="Arial" w:hAnsi="Arial"/>
          <w:sz w:val="22"/>
          <w:szCs w:val="22"/>
          <w:color w:val="auto"/>
        </w:rPr>
        <w:t>(ii)</w:t>
      </w:r>
      <w:r>
        <w:rPr>
          <w:rFonts w:ascii="Arial" w:cs="Arial" w:eastAsia="Arial" w:hAnsi="Arial"/>
          <w:sz w:val="19"/>
          <w:szCs w:val="19"/>
          <w:color w:val="auto"/>
        </w:rPr>
        <w:t>not give, sell or disclose Confidential Information to any other third party, unless such party is an auditor or contractor hired by the</w:t>
      </w:r>
      <w:r>
        <w:rPr>
          <w:rFonts w:ascii="Arial" w:cs="Arial" w:eastAsia="Arial" w:hAnsi="Arial"/>
          <w:sz w:val="22"/>
          <w:szCs w:val="22"/>
          <w:color w:val="auto"/>
        </w:rPr>
        <w:t xml:space="preserve"> </w:t>
      </w:r>
      <w:r>
        <w:rPr>
          <w:rFonts w:ascii="Arial" w:cs="Arial" w:eastAsia="Arial" w:hAnsi="Arial"/>
          <w:sz w:val="19"/>
          <w:szCs w:val="19"/>
          <w:color w:val="auto"/>
        </w:rPr>
        <w:t>Company and then only upon written approval of the Board.</w:t>
      </w:r>
    </w:p>
    <w:p>
      <w:pPr>
        <w:spacing w:after="0" w:line="217" w:lineRule="exact"/>
        <w:rPr>
          <w:sz w:val="20"/>
          <w:szCs w:val="20"/>
          <w:color w:val="auto"/>
        </w:rPr>
      </w:pPr>
    </w:p>
    <w:p>
      <w:pPr>
        <w:jc w:val="both"/>
        <w:ind w:left="652"/>
        <w:spacing w:after="0" w:line="282" w:lineRule="auto"/>
        <w:rPr>
          <w:sz w:val="20"/>
          <w:szCs w:val="20"/>
          <w:color w:val="auto"/>
        </w:rPr>
      </w:pPr>
      <w:r>
        <w:rPr>
          <w:rFonts w:ascii="Arial" w:cs="Arial" w:eastAsia="Arial" w:hAnsi="Arial"/>
          <w:sz w:val="18"/>
          <w:szCs w:val="18"/>
          <w:color w:val="auto"/>
        </w:rPr>
        <w:t>For avoidance of doubt, nothing in this Agreement shall prevent the Executive from sharing any Confidential Information or other information with regulators or appropriate governmental agencies without notice to the Company, whether in response to subpoena or otherwise, under the whistleblower provisions of federal law or regulation, and no prior authorization or notification is required prior to the Executive making any such reports or disclosures, provided, that no attorney client privilege shall be waived.</w:t>
      </w:r>
    </w:p>
    <w:p>
      <w:pPr>
        <w:spacing w:after="0" w:line="182" w:lineRule="exact"/>
        <w:rPr>
          <w:sz w:val="20"/>
          <w:szCs w:val="20"/>
          <w:color w:val="auto"/>
        </w:rPr>
      </w:pPr>
    </w:p>
    <w:p>
      <w:pPr>
        <w:jc w:val="both"/>
        <w:ind w:left="332" w:hanging="332"/>
        <w:spacing w:after="0" w:line="267" w:lineRule="auto"/>
        <w:tabs>
          <w:tab w:leader="none" w:pos="332" w:val="left"/>
        </w:tabs>
        <w:numPr>
          <w:ilvl w:val="0"/>
          <w:numId w:val="54"/>
        </w:numPr>
        <w:rPr>
          <w:rFonts w:ascii="Arial" w:cs="Arial" w:eastAsia="Arial" w:hAnsi="Arial"/>
          <w:sz w:val="22"/>
          <w:szCs w:val="22"/>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The Executive acknowledges that the Executive’s obligations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w:t>
      </w:r>
      <w:r>
        <w:rPr>
          <w:rFonts w:ascii="Arial" w:cs="Arial" w:eastAsia="Arial" w:hAnsi="Arial"/>
          <w:sz w:val="20"/>
          <w:szCs w:val="20"/>
          <w:b w:val="1"/>
          <w:bCs w:val="1"/>
          <w:color w:val="auto"/>
        </w:rPr>
        <w:t xml:space="preserve"> </w:t>
      </w:r>
      <w:r>
        <w:rPr>
          <w:rFonts w:ascii="Arial" w:cs="Arial" w:eastAsia="Arial" w:hAnsi="Arial"/>
          <w:sz w:val="20"/>
          <w:szCs w:val="20"/>
          <w:color w:val="auto"/>
        </w:rPr>
        <w:t>are separate and distinct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Executive’s promise and obligation, affirmed by this Agreement, not to disclose or use the Company’s or its Affiliates’ “Trade Secrets,” as defined by the applicable federal and state laws. During and at all times after the Term, Trade Secrets of the Company shall be subject to the maximum protections available under applicable law and no less protection than that provided by this Agreement applicable to “Confidential Information,” as described in </w:t>
      </w:r>
      <w:r>
        <w:rPr>
          <w:rFonts w:ascii="Arial" w:cs="Arial" w:eastAsia="Arial" w:hAnsi="Arial"/>
          <w:sz w:val="20"/>
          <w:szCs w:val="20"/>
          <w:u w:val="single" w:color="auto"/>
          <w:color w:val="auto"/>
        </w:rPr>
        <w:t>Section 10</w:t>
      </w:r>
      <w:r>
        <w:rPr>
          <w:rFonts w:ascii="Arial" w:cs="Arial" w:eastAsia="Arial" w:hAnsi="Arial"/>
          <w:sz w:val="20"/>
          <w:szCs w:val="20"/>
          <w:color w:val="auto"/>
        </w:rPr>
        <w:t>.</w:t>
      </w:r>
    </w:p>
    <w:p>
      <w:pPr>
        <w:spacing w:after="0" w:line="193" w:lineRule="exact"/>
        <w:rPr>
          <w:rFonts w:ascii="Arial" w:cs="Arial" w:eastAsia="Arial" w:hAnsi="Arial"/>
          <w:sz w:val="22"/>
          <w:szCs w:val="22"/>
          <w:color w:val="auto"/>
        </w:rPr>
      </w:pPr>
    </w:p>
    <w:p>
      <w:pPr>
        <w:jc w:val="both"/>
        <w:ind w:left="332" w:hanging="332"/>
        <w:spacing w:after="0" w:line="310" w:lineRule="auto"/>
        <w:tabs>
          <w:tab w:leader="none" w:pos="332" w:val="left"/>
        </w:tabs>
        <w:numPr>
          <w:ilvl w:val="0"/>
          <w:numId w:val="54"/>
        </w:numPr>
        <w:rPr>
          <w:rFonts w:ascii="Arial" w:cs="Arial" w:eastAsia="Arial" w:hAnsi="Arial"/>
          <w:sz w:val="19"/>
          <w:szCs w:val="19"/>
          <w:color w:val="auto"/>
        </w:rPr>
      </w:pPr>
      <w:r>
        <w:rPr>
          <w:rFonts w:ascii="Arial" w:cs="Arial" w:eastAsia="Arial" w:hAnsi="Arial"/>
          <w:sz w:val="18"/>
          <w:szCs w:val="18"/>
          <w:b w:val="1"/>
          <w:bCs w:val="1"/>
          <w:color w:val="auto"/>
        </w:rPr>
        <w:t xml:space="preserve">Protected Rights. </w:t>
      </w:r>
      <w:r>
        <w:rPr>
          <w:rFonts w:ascii="Arial" w:cs="Arial" w:eastAsia="Arial" w:hAnsi="Arial"/>
          <w:sz w:val="18"/>
          <w:szCs w:val="18"/>
          <w:color w:val="auto"/>
        </w:rPr>
        <w:t>Nothing in this Agreement prohibits the Executive from reporting to any governmental authority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concerning possible violations of law or regulation. Provided the Executive does so consistent with 18 U.S.C. § 1833, the Executive may disclose Trade Secret information to a government official or to an attorney for the purposes of obtaining legal advice or use it in certain court proceedings without fear of prosecution or liability if the Trade Secret information is filed under seal.</w:t>
      </w:r>
    </w:p>
    <w:p>
      <w:pPr>
        <w:spacing w:after="0" w:line="375" w:lineRule="exact"/>
        <w:rPr>
          <w:rFonts w:ascii="Arial" w:cs="Arial" w:eastAsia="Arial" w:hAnsi="Arial"/>
          <w:sz w:val="19"/>
          <w:szCs w:val="19"/>
          <w:color w:val="auto"/>
        </w:rPr>
      </w:pPr>
    </w:p>
    <w:p>
      <w:pPr>
        <w:ind w:left="4332" w:hanging="120"/>
        <w:spacing w:after="0"/>
        <w:tabs>
          <w:tab w:leader="none" w:pos="4332" w:val="left"/>
        </w:tabs>
        <w:numPr>
          <w:ilvl w:val="1"/>
          <w:numId w:val="54"/>
        </w:numPr>
        <w:rPr>
          <w:rFonts w:ascii="Arial" w:cs="Arial" w:eastAsia="Arial" w:hAnsi="Arial"/>
          <w:sz w:val="22"/>
          <w:szCs w:val="22"/>
          <w:color w:val="auto"/>
        </w:rPr>
      </w:pPr>
      <w:r>
        <w:rPr>
          <w:rFonts w:ascii="Arial" w:cs="Arial" w:eastAsia="Arial" w:hAnsi="Arial"/>
          <w:sz w:val="22"/>
          <w:szCs w:val="22"/>
          <w:color w:val="auto"/>
        </w:rPr>
        <w:t>8 -</w:t>
      </w:r>
    </w:p>
    <w:p>
      <w:pPr>
        <w:sectPr>
          <w:pgSz w:w="11900" w:h="16838" w:orient="portrait"/>
          <w:cols w:equalWidth="0" w:num="1">
            <w:col w:w="11232"/>
          </w:cols>
          <w:pgMar w:left="328" w:top="865" w:right="339" w:bottom="1440" w:gutter="0" w:footer="0" w:header="0"/>
        </w:sectPr>
      </w:pPr>
    </w:p>
    <w:bookmarkStart w:id="80" w:name="page81"/>
    <w:bookmarkEnd w:id="80"/>
    <w:p>
      <w:pPr>
        <w:jc w:val="both"/>
        <w:ind w:left="332" w:hanging="332"/>
        <w:spacing w:after="0" w:line="284" w:lineRule="auto"/>
        <w:tabs>
          <w:tab w:leader="none" w:pos="332" w:val="left"/>
        </w:tabs>
        <w:numPr>
          <w:ilvl w:val="0"/>
          <w:numId w:val="55"/>
        </w:numPr>
        <w:rPr>
          <w:rFonts w:ascii="Arial" w:cs="Arial" w:eastAsia="Arial" w:hAnsi="Arial"/>
          <w:sz w:val="21"/>
          <w:szCs w:val="21"/>
          <w:color w:val="auto"/>
        </w:rPr>
      </w:pPr>
      <w:r>
        <w:rPr>
          <w:rFonts w:ascii="Arial" w:cs="Arial" w:eastAsia="Arial" w:hAnsi="Arial"/>
          <w:sz w:val="19"/>
          <w:szCs w:val="19"/>
          <w:b w:val="1"/>
          <w:bCs w:val="1"/>
          <w:color w:val="auto"/>
        </w:rPr>
        <w:t xml:space="preserve">Non-Disparagement. </w:t>
      </w:r>
      <w:r>
        <w:rPr>
          <w:rFonts w:ascii="Arial" w:cs="Arial" w:eastAsia="Arial" w:hAnsi="Arial"/>
          <w:sz w:val="19"/>
          <w:szCs w:val="19"/>
          <w:color w:val="auto"/>
        </w:rPr>
        <w:t>The Executive and the Company each agrees that during the Term and thereafter, neither party will disparage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including any products, services or practices, any affiliates, directors, officers, agents, representatives, stockholders or affiliates of the Company, either orally or in writing at any time. For the avoidance of doubt, nothing in this Agreement shall prohibit the either the Company or the Executive from making truthful statements (a) in the course of sworn testimony in administrative, judicial or arbitral proceedings (including, without limitation, depositions in connection with such proceedings), or (b) to regulators or appropriate government agencies in fulfillment of their statutory or regulatory obligations.</w:t>
      </w:r>
    </w:p>
    <w:p>
      <w:pPr>
        <w:spacing w:after="0" w:line="176" w:lineRule="exact"/>
        <w:rPr>
          <w:rFonts w:ascii="Arial" w:cs="Arial" w:eastAsia="Arial" w:hAnsi="Arial"/>
          <w:sz w:val="21"/>
          <w:szCs w:val="21"/>
          <w:color w:val="auto"/>
        </w:rPr>
      </w:pPr>
    </w:p>
    <w:p>
      <w:pPr>
        <w:jc w:val="both"/>
        <w:ind w:left="332" w:hanging="332"/>
        <w:spacing w:after="0" w:line="284" w:lineRule="auto"/>
        <w:tabs>
          <w:tab w:leader="none" w:pos="332" w:val="left"/>
        </w:tabs>
        <w:numPr>
          <w:ilvl w:val="0"/>
          <w:numId w:val="55"/>
        </w:numPr>
        <w:rPr>
          <w:rFonts w:ascii="Arial" w:cs="Arial" w:eastAsia="Arial" w:hAnsi="Arial"/>
          <w:sz w:val="21"/>
          <w:szCs w:val="21"/>
          <w:color w:val="auto"/>
        </w:rPr>
      </w:pPr>
      <w:r>
        <w:rPr>
          <w:rFonts w:ascii="Arial" w:cs="Arial" w:eastAsia="Arial" w:hAnsi="Arial"/>
          <w:sz w:val="19"/>
          <w:szCs w:val="19"/>
          <w:b w:val="1"/>
          <w:bCs w:val="1"/>
          <w:color w:val="auto"/>
        </w:rPr>
        <w:t xml:space="preserve">Company Property. </w:t>
      </w:r>
      <w:r>
        <w:rPr>
          <w:rFonts w:ascii="Arial" w:cs="Arial" w:eastAsia="Arial" w:hAnsi="Arial"/>
          <w:sz w:val="19"/>
          <w:szCs w:val="19"/>
          <w:color w:val="auto"/>
        </w:rPr>
        <w:t>All information, materials, documents, supplies, equipment, and other property furnished to the Executive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in connection with performance of services under this Agreement will be and remain the sole property of the Company. On the date of the termination of the Executive’s employment under this Agreement for any reason, or at any other time at the Company’s request, the Executive must return to the Company all tangible and intellectual property in whatever form belonging to the Company (including, but not limited to, Confidential Information, Company vehicles, laptops, computers, cell phones, wireless electronic mail devices, code, and other equipment, information, documents, and property).</w:t>
      </w:r>
    </w:p>
    <w:p>
      <w:pPr>
        <w:spacing w:after="0" w:line="176" w:lineRule="exact"/>
        <w:rPr>
          <w:rFonts w:ascii="Arial" w:cs="Arial" w:eastAsia="Arial" w:hAnsi="Arial"/>
          <w:sz w:val="21"/>
          <w:szCs w:val="21"/>
          <w:color w:val="auto"/>
        </w:rPr>
      </w:pPr>
    </w:p>
    <w:p>
      <w:pPr>
        <w:jc w:val="both"/>
        <w:ind w:left="332" w:hanging="332"/>
        <w:spacing w:after="0" w:line="267" w:lineRule="auto"/>
        <w:tabs>
          <w:tab w:leader="none" w:pos="332" w:val="left"/>
        </w:tabs>
        <w:numPr>
          <w:ilvl w:val="0"/>
          <w:numId w:val="55"/>
        </w:numPr>
        <w:rPr>
          <w:rFonts w:ascii="Arial" w:cs="Arial" w:eastAsia="Arial" w:hAnsi="Arial"/>
          <w:sz w:val="22"/>
          <w:szCs w:val="22"/>
          <w:color w:val="auto"/>
        </w:rPr>
      </w:pPr>
      <w:r>
        <w:rPr>
          <w:rFonts w:ascii="Arial" w:cs="Arial" w:eastAsia="Arial" w:hAnsi="Arial"/>
          <w:sz w:val="20"/>
          <w:szCs w:val="20"/>
          <w:b w:val="1"/>
          <w:bCs w:val="1"/>
          <w:color w:val="auto"/>
        </w:rPr>
        <w:t xml:space="preserve">Non-Disclosure. </w:t>
      </w:r>
      <w:r>
        <w:rPr>
          <w:rFonts w:ascii="Arial" w:cs="Arial" w:eastAsia="Arial" w:hAnsi="Arial"/>
          <w:sz w:val="20"/>
          <w:szCs w:val="20"/>
          <w:color w:val="auto"/>
        </w:rPr>
        <w:t>Except as otherwise required by law (including, without limitation, in all required filings with the Securities and</w:t>
      </w:r>
      <w:r>
        <w:rPr>
          <w:rFonts w:ascii="Arial" w:cs="Arial" w:eastAsia="Arial" w:hAnsi="Arial"/>
          <w:sz w:val="20"/>
          <w:szCs w:val="20"/>
          <w:b w:val="1"/>
          <w:bCs w:val="1"/>
          <w:color w:val="auto"/>
        </w:rPr>
        <w:t xml:space="preserve"> </w:t>
      </w:r>
      <w:r>
        <w:rPr>
          <w:rFonts w:ascii="Arial" w:cs="Arial" w:eastAsia="Arial" w:hAnsi="Arial"/>
          <w:sz w:val="20"/>
          <w:szCs w:val="20"/>
          <w:color w:val="auto"/>
        </w:rPr>
        <w:t>Exchange Commission), the Executive shall not disclose the financial terms of this Agreement to any person or entity, except that the financial terms of this Agreement may be disclosed to: (a) the Executive’s attorneys, accountants, or financial or tax advisors, and (b) members of the Executive’s immediate family; provided, in the case of each of (a) and (b), that such persons agree not to reveal the financial terms of this Agreement any further.</w:t>
      </w:r>
    </w:p>
    <w:p>
      <w:pPr>
        <w:spacing w:after="0" w:line="193" w:lineRule="exact"/>
        <w:rPr>
          <w:rFonts w:ascii="Arial" w:cs="Arial" w:eastAsia="Arial" w:hAnsi="Arial"/>
          <w:sz w:val="22"/>
          <w:szCs w:val="22"/>
          <w:color w:val="auto"/>
        </w:rPr>
      </w:pPr>
    </w:p>
    <w:p>
      <w:pPr>
        <w:jc w:val="both"/>
        <w:ind w:left="332" w:hanging="332"/>
        <w:spacing w:after="0" w:line="284" w:lineRule="auto"/>
        <w:tabs>
          <w:tab w:leader="none" w:pos="332" w:val="left"/>
        </w:tabs>
        <w:numPr>
          <w:ilvl w:val="0"/>
          <w:numId w:val="55"/>
        </w:numPr>
        <w:rPr>
          <w:rFonts w:ascii="Arial" w:cs="Arial" w:eastAsia="Arial" w:hAnsi="Arial"/>
          <w:sz w:val="21"/>
          <w:szCs w:val="21"/>
          <w:color w:val="auto"/>
        </w:rPr>
      </w:pPr>
      <w:r>
        <w:rPr>
          <w:rFonts w:ascii="Arial" w:cs="Arial" w:eastAsia="Arial" w:hAnsi="Arial"/>
          <w:sz w:val="19"/>
          <w:szCs w:val="19"/>
          <w:b w:val="1"/>
          <w:bCs w:val="1"/>
          <w:color w:val="auto"/>
        </w:rPr>
        <w:t xml:space="preserve">Successors and Assigns, No Third Party Beneficiaries. </w:t>
      </w:r>
      <w:r>
        <w:rPr>
          <w:rFonts w:ascii="Arial" w:cs="Arial" w:eastAsia="Arial" w:hAnsi="Arial"/>
          <w:sz w:val="19"/>
          <w:szCs w:val="19"/>
          <w:color w:val="auto"/>
        </w:rPr>
        <w:t>The rights and obligations of the Company under this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binding on and inure to the benefit of the Company, its successors and permitted assigns. The rights and obligations of the Executive under this Agreement shall be binding on and inure to the benefit of the heirs and legal representatives of the Executive. Neither party may assign this Agreement without the prior written consent of the other, except that the Company may assign the Agreement to any entity acquiring all or substantially all of the assets or the business of the Company.</w:t>
      </w:r>
    </w:p>
    <w:p>
      <w:pPr>
        <w:spacing w:after="0" w:line="178" w:lineRule="exact"/>
        <w:rPr>
          <w:rFonts w:ascii="Arial" w:cs="Arial" w:eastAsia="Arial" w:hAnsi="Arial"/>
          <w:sz w:val="21"/>
          <w:szCs w:val="21"/>
          <w:color w:val="auto"/>
        </w:rPr>
      </w:pPr>
    </w:p>
    <w:p>
      <w:pPr>
        <w:jc w:val="both"/>
        <w:ind w:left="332" w:hanging="332"/>
        <w:spacing w:after="0" w:line="267" w:lineRule="auto"/>
        <w:tabs>
          <w:tab w:leader="none" w:pos="332" w:val="left"/>
        </w:tabs>
        <w:numPr>
          <w:ilvl w:val="0"/>
          <w:numId w:val="55"/>
        </w:numPr>
        <w:rPr>
          <w:rFonts w:ascii="Arial" w:cs="Arial" w:eastAsia="Arial" w:hAnsi="Arial"/>
          <w:sz w:val="22"/>
          <w:szCs w:val="22"/>
          <w:color w:val="auto"/>
        </w:rPr>
      </w:pPr>
      <w:r>
        <w:rPr>
          <w:rFonts w:ascii="Arial" w:cs="Arial" w:eastAsia="Arial" w:hAnsi="Arial"/>
          <w:sz w:val="20"/>
          <w:szCs w:val="20"/>
          <w:b w:val="1"/>
          <w:bCs w:val="1"/>
          <w:color w:val="auto"/>
        </w:rPr>
        <w:t xml:space="preserve">Waiver or Modification. </w:t>
      </w:r>
      <w:r>
        <w:rPr>
          <w:rFonts w:ascii="Arial" w:cs="Arial" w:eastAsia="Arial" w:hAnsi="Arial"/>
          <w:sz w:val="20"/>
          <w:szCs w:val="20"/>
          <w:color w:val="auto"/>
        </w:rPr>
        <w:t>Any waiver by the Company of a breach of any provision of this Agreement shall not operate as, or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to be, a waiver of any other breach of such provision of this Agreement. The failure of the Company to insist on strict adherence to any term of this Agreement on one or more occasions shall not be considered a waiver or deprive the Company of the right thereafter to insist on strict adherence to that term or any other term of this Agreement. Neither this Agreement nor any part of it may be waived, changed or terminated orally, and any waiver, amendment or modification must be in writing signed by the Executive and the Company.</w:t>
      </w:r>
    </w:p>
    <w:p>
      <w:pPr>
        <w:spacing w:after="0" w:line="194" w:lineRule="exact"/>
        <w:rPr>
          <w:rFonts w:ascii="Arial" w:cs="Arial" w:eastAsia="Arial" w:hAnsi="Arial"/>
          <w:sz w:val="22"/>
          <w:szCs w:val="22"/>
          <w:color w:val="auto"/>
        </w:rPr>
      </w:pPr>
    </w:p>
    <w:p>
      <w:pPr>
        <w:jc w:val="both"/>
        <w:ind w:left="332" w:hanging="332"/>
        <w:spacing w:after="0" w:line="283" w:lineRule="auto"/>
        <w:tabs>
          <w:tab w:leader="none" w:pos="332" w:val="left"/>
        </w:tabs>
        <w:numPr>
          <w:ilvl w:val="0"/>
          <w:numId w:val="55"/>
        </w:numPr>
        <w:rPr>
          <w:rFonts w:ascii="Arial" w:cs="Arial" w:eastAsia="Arial" w:hAnsi="Arial"/>
          <w:sz w:val="21"/>
          <w:szCs w:val="21"/>
          <w:color w:val="auto"/>
        </w:rPr>
      </w:pPr>
      <w:r>
        <w:rPr>
          <w:rFonts w:ascii="Arial" w:cs="Arial" w:eastAsia="Arial" w:hAnsi="Arial"/>
          <w:sz w:val="19"/>
          <w:szCs w:val="19"/>
          <w:b w:val="1"/>
          <w:bCs w:val="1"/>
          <w:color w:val="auto"/>
        </w:rPr>
        <w:t xml:space="preserve">Choice of Law; Arbitration; Choice of Forum. </w:t>
      </w:r>
      <w:r>
        <w:rPr>
          <w:rFonts w:ascii="Arial" w:cs="Arial" w:eastAsia="Arial" w:hAnsi="Arial"/>
          <w:sz w:val="19"/>
          <w:szCs w:val="19"/>
          <w:color w:val="auto"/>
        </w:rPr>
        <w:t>This Agreement will be governed and construed and enforced in accordance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laws of the State of California without regard to its conflicts of law rules. Any controversy, dispute or claim arising out of this Agreement or relating to the Executive’s employment with Company shall first be settled through good faith negotiation. If the parties are unsuccessful at resolving the dispute through negotiation, except for injunctive or other equitable relief or as otherwise provided in this Agreement, any and all legal proceedings arising out of or relating to this Agreement or relating to the Executive’s employment with Company, whether sounding in contract, tort or statute, shall be resolved through a confidential arbitration administered by Judicial Arbitration &amp; Mediation Services, Inc. (“</w:t>
      </w:r>
      <w:r>
        <w:rPr>
          <w:rFonts w:ascii="Arial" w:cs="Arial" w:eastAsia="Arial" w:hAnsi="Arial"/>
          <w:sz w:val="19"/>
          <w:szCs w:val="19"/>
          <w:u w:val="single" w:color="auto"/>
          <w:color w:val="auto"/>
        </w:rPr>
        <w:t>JAMS</w:t>
      </w:r>
      <w:r>
        <w:rPr>
          <w:rFonts w:ascii="Arial" w:cs="Arial" w:eastAsia="Arial" w:hAnsi="Arial"/>
          <w:sz w:val="19"/>
          <w:szCs w:val="19"/>
          <w:color w:val="auto"/>
        </w:rPr>
        <w:t>”) pursuant to the JAMS Employment Arbitration Rules and</w:t>
      </w:r>
    </w:p>
    <w:p>
      <w:pPr>
        <w:spacing w:after="0" w:line="398" w:lineRule="exact"/>
        <w:rPr>
          <w:rFonts w:ascii="Arial" w:cs="Arial" w:eastAsia="Arial" w:hAnsi="Arial"/>
          <w:sz w:val="21"/>
          <w:szCs w:val="21"/>
          <w:color w:val="auto"/>
        </w:rPr>
      </w:pPr>
    </w:p>
    <w:p>
      <w:pPr>
        <w:ind w:left="4332" w:hanging="120"/>
        <w:spacing w:after="0"/>
        <w:tabs>
          <w:tab w:leader="none" w:pos="4332" w:val="left"/>
        </w:tabs>
        <w:numPr>
          <w:ilvl w:val="1"/>
          <w:numId w:val="55"/>
        </w:numPr>
        <w:rPr>
          <w:rFonts w:ascii="Arial" w:cs="Arial" w:eastAsia="Arial" w:hAnsi="Arial"/>
          <w:sz w:val="22"/>
          <w:szCs w:val="22"/>
          <w:color w:val="auto"/>
        </w:rPr>
      </w:pPr>
      <w:r>
        <w:rPr>
          <w:rFonts w:ascii="Arial" w:cs="Arial" w:eastAsia="Arial" w:hAnsi="Arial"/>
          <w:sz w:val="22"/>
          <w:szCs w:val="22"/>
          <w:color w:val="auto"/>
        </w:rPr>
        <w:t>9 -</w:t>
      </w:r>
    </w:p>
    <w:p>
      <w:pPr>
        <w:sectPr>
          <w:pgSz w:w="11900" w:h="16838" w:orient="portrait"/>
          <w:cols w:equalWidth="0" w:num="1">
            <w:col w:w="11232"/>
          </w:cols>
          <w:pgMar w:left="328" w:top="859" w:right="339" w:bottom="1440" w:gutter="0" w:footer="0" w:header="0"/>
        </w:sectPr>
      </w:pPr>
    </w:p>
    <w:bookmarkStart w:id="81" w:name="page82"/>
    <w:bookmarkEnd w:id="81"/>
    <w:p>
      <w:pPr>
        <w:jc w:val="both"/>
        <w:ind w:left="340"/>
        <w:spacing w:after="0" w:line="241" w:lineRule="auto"/>
        <w:rPr>
          <w:sz w:val="20"/>
          <w:szCs w:val="20"/>
          <w:color w:val="auto"/>
        </w:rPr>
      </w:pPr>
      <w:r>
        <w:rPr>
          <w:rFonts w:ascii="Arial" w:cs="Arial" w:eastAsia="Arial" w:hAnsi="Arial"/>
          <w:sz w:val="19"/>
          <w:szCs w:val="19"/>
          <w:color w:val="auto"/>
        </w:rPr>
        <w:t>Procedures, or successor rules then in effect and to the extent permitted by law. The rules and further information are available at www.jamsadr.com. The Federal Arbitration Act, as then in effect, shall govern the interpretation and enforcement of such arbitration proceeding. The arbitrator shall apply California State law to the merits of any dispute or claim, without reference to rules of conflict of law. Any determination or decision by the arbitrator will be final and binding upon the parties and may be enforced in any court of law. The parties agree that any arbitration will take place on an individual, and not on a class, basis. Subject to the provisions of this Section regarding arbitration, the Executive and the Company hereby submit to the exclusive jurisdiction and venue of the federal and state courts located in California for the resolution of any and all claims, causes of action or disputes arising out of, related to the enforcement, if necessary, of any arbitral award made pursuant to the provisions of this Section, and the Executive agrees to waive any claim relating to forum non conveniens.</w:t>
      </w:r>
    </w:p>
    <w:p>
      <w:pPr>
        <w:spacing w:after="0" w:line="179" w:lineRule="exact"/>
        <w:rPr>
          <w:sz w:val="20"/>
          <w:szCs w:val="20"/>
          <w:color w:val="auto"/>
        </w:rPr>
      </w:pPr>
    </w:p>
    <w:p>
      <w:pPr>
        <w:spacing w:after="0"/>
        <w:tabs>
          <w:tab w:leader="none" w:pos="1900" w:val="left"/>
        </w:tabs>
        <w:rPr>
          <w:sz w:val="20"/>
          <w:szCs w:val="20"/>
          <w:color w:val="auto"/>
        </w:rPr>
      </w:pPr>
      <w:r>
        <w:rPr>
          <w:rFonts w:ascii="Arial" w:cs="Arial" w:eastAsia="Arial" w:hAnsi="Arial"/>
          <w:sz w:val="20"/>
          <w:szCs w:val="20"/>
          <w:b w:val="1"/>
          <w:bCs w:val="1"/>
          <w:color w:val="auto"/>
        </w:rPr>
        <w:t>Executive Initials</w:t>
      </w:r>
      <w:r>
        <w:rPr>
          <w:sz w:val="20"/>
          <w:szCs w:val="20"/>
          <w:color w:val="auto"/>
        </w:rPr>
        <w:tab/>
      </w:r>
      <w:r>
        <w:rPr>
          <w:rFonts w:ascii="Arial" w:cs="Arial" w:eastAsia="Arial" w:hAnsi="Arial"/>
          <w:sz w:val="16"/>
          <w:szCs w:val="16"/>
          <w:b w:val="1"/>
          <w:bCs w:val="1"/>
          <w:color w:val="auto"/>
        </w:rPr>
        <w:t>Company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-10795</wp:posOffset>
            </wp:positionV>
            <wp:extent cx="1257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-10795</wp:posOffset>
            </wp:positionV>
            <wp:extent cx="1257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77" w:lineRule="exact"/>
        <w:rPr>
          <w:sz w:val="20"/>
          <w:szCs w:val="20"/>
          <w:color w:val="auto"/>
        </w:rPr>
      </w:pPr>
    </w:p>
    <w:p>
      <w:pPr>
        <w:jc w:val="both"/>
        <w:ind w:left="340" w:hanging="332"/>
        <w:spacing w:after="0" w:line="283" w:lineRule="auto"/>
        <w:tabs>
          <w:tab w:leader="none" w:pos="340" w:val="left"/>
        </w:tabs>
        <w:numPr>
          <w:ilvl w:val="0"/>
          <w:numId w:val="56"/>
        </w:numPr>
        <w:rPr>
          <w:rFonts w:ascii="Arial" w:cs="Arial" w:eastAsia="Arial" w:hAnsi="Arial"/>
          <w:sz w:val="21"/>
          <w:szCs w:val="21"/>
          <w:color w:val="auto"/>
        </w:rPr>
      </w:pPr>
      <w:r>
        <w:rPr>
          <w:rFonts w:ascii="Arial" w:cs="Arial" w:eastAsia="Arial" w:hAnsi="Arial"/>
          <w:sz w:val="19"/>
          <w:szCs w:val="19"/>
          <w:b w:val="1"/>
          <w:bCs w:val="1"/>
          <w:color w:val="auto"/>
        </w:rPr>
        <w:t xml:space="preserve">Entire Agreement; Construction. </w:t>
      </w:r>
      <w:r>
        <w:rPr>
          <w:rFonts w:ascii="Arial" w:cs="Arial" w:eastAsia="Arial" w:hAnsi="Arial"/>
          <w:sz w:val="19"/>
          <w:szCs w:val="19"/>
          <w:color w:val="auto"/>
        </w:rPr>
        <w:t>This Agreement contains the entire understanding of the parties relating to the subject matter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supersedes all other prior written or oral agreements, understandings or arrangements between the parties relating to the subject matter hereof, including, without limitation, the Prior Employment Agreement. The Executive acknowledges and agrees that the compensation paid under the terms of this Agreement shall be in full satisfaction of any amounts due in connection with the Executive’s employment with the Company except as otherwise expressly agreed to in writing. The Executive acknowledges that, in entering into this Agreement, the Executive did not rely and has not relied on any statements or representations not contained in this Agreement. The parties acknowledge and agree that they have been represented by counsel and that each of the parties has participated in the drafting of this Agreement. Accordingly, it is the intention and agreement of the parties that the language, terms and conditions of this Agreement are not to be construed in any way against or in favor of any party hereto by reason of the responsibilities in connection with the preparation of this Agreement.</w:t>
      </w:r>
    </w:p>
    <w:p>
      <w:pPr>
        <w:spacing w:after="0" w:line="177" w:lineRule="exact"/>
        <w:rPr>
          <w:rFonts w:ascii="Arial" w:cs="Arial" w:eastAsia="Arial" w:hAnsi="Arial"/>
          <w:sz w:val="21"/>
          <w:szCs w:val="21"/>
          <w:color w:val="auto"/>
        </w:rPr>
      </w:pPr>
    </w:p>
    <w:p>
      <w:pPr>
        <w:jc w:val="both"/>
        <w:ind w:left="340" w:hanging="332"/>
        <w:spacing w:after="0" w:line="284" w:lineRule="auto"/>
        <w:tabs>
          <w:tab w:leader="none" w:pos="340" w:val="left"/>
        </w:tabs>
        <w:numPr>
          <w:ilvl w:val="0"/>
          <w:numId w:val="56"/>
        </w:numPr>
        <w:rPr>
          <w:rFonts w:ascii="Arial" w:cs="Arial" w:eastAsia="Arial" w:hAnsi="Arial"/>
          <w:sz w:val="21"/>
          <w:szCs w:val="21"/>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Any term or provision of this Agreement that is determined to be invalid or unenforceable by any court of competent</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in any jurisdiction shall,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such invalid or unenforceable provision shall be modified by such court so that it is enforceable to the extent permitted by applicable law.</w:t>
      </w:r>
    </w:p>
    <w:p>
      <w:pPr>
        <w:spacing w:after="0" w:line="178" w:lineRule="exact"/>
        <w:rPr>
          <w:rFonts w:ascii="Arial" w:cs="Arial" w:eastAsia="Arial" w:hAnsi="Arial"/>
          <w:sz w:val="21"/>
          <w:szCs w:val="21"/>
          <w:color w:val="auto"/>
        </w:rPr>
      </w:pPr>
    </w:p>
    <w:p>
      <w:pPr>
        <w:jc w:val="both"/>
        <w:ind w:left="340" w:hanging="332"/>
        <w:spacing w:after="0" w:line="267" w:lineRule="auto"/>
        <w:tabs>
          <w:tab w:leader="none" w:pos="340" w:val="left"/>
        </w:tabs>
        <w:numPr>
          <w:ilvl w:val="0"/>
          <w:numId w:val="56"/>
        </w:numPr>
        <w:rPr>
          <w:rFonts w:ascii="Arial" w:cs="Arial" w:eastAsia="Arial" w:hAnsi="Arial"/>
          <w:sz w:val="22"/>
          <w:szCs w:val="22"/>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requests, claims, demands and other communications hereunder shall be in writing and shall be given or made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have been duly given or made upon receipt) by delivery in person, by an internationally recognized overnight courier service, by facsimile or registered or certified mail (postage prepaid, return receipt requested) to the respective parties hereto at the latest addresses provided to the other party.</w:t>
      </w:r>
    </w:p>
    <w:p>
      <w:pPr>
        <w:spacing w:after="0" w:line="193" w:lineRule="exact"/>
        <w:rPr>
          <w:rFonts w:ascii="Arial" w:cs="Arial" w:eastAsia="Arial" w:hAnsi="Arial"/>
          <w:sz w:val="22"/>
          <w:szCs w:val="22"/>
          <w:color w:val="auto"/>
        </w:rPr>
      </w:pPr>
    </w:p>
    <w:p>
      <w:pPr>
        <w:jc w:val="both"/>
        <w:ind w:left="340" w:hanging="332"/>
        <w:spacing w:after="0" w:line="268" w:lineRule="auto"/>
        <w:tabs>
          <w:tab w:leader="none" w:pos="340" w:val="left"/>
        </w:tabs>
        <w:numPr>
          <w:ilvl w:val="0"/>
          <w:numId w:val="56"/>
        </w:numPr>
        <w:rPr>
          <w:rFonts w:ascii="Arial" w:cs="Arial" w:eastAsia="Arial" w:hAnsi="Arial"/>
          <w:sz w:val="22"/>
          <w:szCs w:val="22"/>
          <w:color w:val="auto"/>
        </w:rPr>
      </w:pPr>
      <w:r>
        <w:rPr>
          <w:rFonts w:ascii="Arial" w:cs="Arial" w:eastAsia="Arial" w:hAnsi="Arial"/>
          <w:sz w:val="20"/>
          <w:szCs w:val="20"/>
          <w:b w:val="1"/>
          <w:bCs w:val="1"/>
          <w:color w:val="auto"/>
        </w:rPr>
        <w:t xml:space="preserve">Affiliates. </w:t>
      </w:r>
      <w:r>
        <w:rPr>
          <w:rFonts w:ascii="Arial" w:cs="Arial" w:eastAsia="Arial" w:hAnsi="Arial"/>
          <w:sz w:val="20"/>
          <w:szCs w:val="20"/>
          <w:color w:val="auto"/>
        </w:rPr>
        <w:t>Whenever used in the Agreement, the term “Affiliates” shall refer to any parent, subsidiary, or other entity (including but not</w:t>
      </w:r>
      <w:r>
        <w:rPr>
          <w:rFonts w:ascii="Arial" w:cs="Arial" w:eastAsia="Arial" w:hAnsi="Arial"/>
          <w:sz w:val="20"/>
          <w:szCs w:val="20"/>
          <w:b w:val="1"/>
          <w:bCs w:val="1"/>
          <w:color w:val="auto"/>
        </w:rPr>
        <w:t xml:space="preserve"> </w:t>
      </w:r>
      <w:r>
        <w:rPr>
          <w:rFonts w:ascii="Arial" w:cs="Arial" w:eastAsia="Arial" w:hAnsi="Arial"/>
          <w:sz w:val="20"/>
          <w:szCs w:val="20"/>
          <w:color w:val="auto"/>
        </w:rPr>
        <w:t>limited to any parent or subsidiary of any such parent, subsidiary or other entity) connected to the Company by common ownership and control, regardless of corporate form.</w:t>
      </w:r>
    </w:p>
    <w:p>
      <w:pPr>
        <w:spacing w:after="0" w:line="202" w:lineRule="exact"/>
        <w:rPr>
          <w:rFonts w:ascii="Arial" w:cs="Arial" w:eastAsia="Arial" w:hAnsi="Arial"/>
          <w:sz w:val="22"/>
          <w:szCs w:val="22"/>
          <w:color w:val="auto"/>
        </w:rPr>
      </w:pPr>
    </w:p>
    <w:p>
      <w:pPr>
        <w:jc w:val="both"/>
        <w:ind w:left="340" w:hanging="332"/>
        <w:spacing w:after="0" w:line="267" w:lineRule="auto"/>
        <w:tabs>
          <w:tab w:leader="none" w:pos="340" w:val="left"/>
        </w:tabs>
        <w:numPr>
          <w:ilvl w:val="0"/>
          <w:numId w:val="56"/>
        </w:numPr>
        <w:rPr>
          <w:rFonts w:ascii="Arial" w:cs="Arial" w:eastAsia="Arial" w:hAnsi="Arial"/>
          <w:sz w:val="22"/>
          <w:szCs w:val="22"/>
          <w:color w:val="auto"/>
        </w:rPr>
      </w:pPr>
      <w:r>
        <w:rPr>
          <w:rFonts w:ascii="Arial" w:cs="Arial" w:eastAsia="Arial" w:hAnsi="Arial"/>
          <w:sz w:val="20"/>
          <w:szCs w:val="20"/>
          <w:b w:val="1"/>
          <w:bCs w:val="1"/>
          <w:color w:val="auto"/>
        </w:rPr>
        <w:t xml:space="preserve">Section 409A Compliance. </w:t>
      </w:r>
      <w:r>
        <w:rPr>
          <w:rFonts w:ascii="Arial" w:cs="Arial" w:eastAsia="Arial" w:hAnsi="Arial"/>
          <w:sz w:val="20"/>
          <w:szCs w:val="20"/>
          <w:color w:val="auto"/>
        </w:rPr>
        <w:t>Except as otherwise expressly provided in this Agreement, any payment that would otherwise constitute</w:t>
      </w:r>
      <w:r>
        <w:rPr>
          <w:rFonts w:ascii="Arial" w:cs="Arial" w:eastAsia="Arial" w:hAnsi="Arial"/>
          <w:sz w:val="20"/>
          <w:szCs w:val="20"/>
          <w:b w:val="1"/>
          <w:bCs w:val="1"/>
          <w:color w:val="auto"/>
        </w:rPr>
        <w:t xml:space="preserve"> </w:t>
      </w:r>
      <w:r>
        <w:rPr>
          <w:rFonts w:ascii="Arial" w:cs="Arial" w:eastAsia="Arial" w:hAnsi="Arial"/>
          <w:sz w:val="20"/>
          <w:szCs w:val="20"/>
          <w:color w:val="auto"/>
        </w:rPr>
        <w:t>deferred compensation within the meaning of Section 409A of the Internal Revenue Code of 1986 (the “Code”), as amended (“Section 409A”), shall be paid within 2 ½ months following the end of the year in which such amount has been earned, but in no case later than the December</w:t>
      </w:r>
    </w:p>
    <w:p>
      <w:pPr>
        <w:spacing w:after="0" w:line="194" w:lineRule="exact"/>
        <w:rPr>
          <w:rFonts w:ascii="Arial" w:cs="Arial" w:eastAsia="Arial" w:hAnsi="Arial"/>
          <w:sz w:val="22"/>
          <w:szCs w:val="22"/>
          <w:color w:val="auto"/>
        </w:rPr>
      </w:pPr>
    </w:p>
    <w:p>
      <w:pPr>
        <w:ind w:left="4340" w:hanging="120"/>
        <w:spacing w:after="0"/>
        <w:tabs>
          <w:tab w:leader="none" w:pos="4340" w:val="left"/>
        </w:tabs>
        <w:numPr>
          <w:ilvl w:val="1"/>
          <w:numId w:val="56"/>
        </w:numPr>
        <w:rPr>
          <w:rFonts w:ascii="Arial" w:cs="Arial" w:eastAsia="Arial" w:hAnsi="Arial"/>
          <w:sz w:val="22"/>
          <w:szCs w:val="22"/>
          <w:color w:val="auto"/>
        </w:rPr>
      </w:pPr>
      <w:r>
        <w:rPr>
          <w:rFonts w:ascii="Arial" w:cs="Arial" w:eastAsia="Arial" w:hAnsi="Arial"/>
          <w:sz w:val="22"/>
          <w:szCs w:val="22"/>
          <w:color w:val="auto"/>
        </w:rPr>
        <w:t>10 -</w:t>
      </w:r>
    </w:p>
    <w:p>
      <w:pPr>
        <w:sectPr>
          <w:pgSz w:w="11900" w:h="16838" w:orient="portrait"/>
          <w:cols w:equalWidth="0" w:num="1">
            <w:col w:w="11240"/>
          </w:cols>
          <w:pgMar w:left="320" w:top="852" w:right="339" w:bottom="1440" w:gutter="0" w:footer="0" w:header="0"/>
        </w:sectPr>
      </w:pPr>
    </w:p>
    <w:bookmarkStart w:id="82" w:name="page83"/>
    <w:bookmarkEnd w:id="82"/>
    <w:p>
      <w:pPr>
        <w:jc w:val="both"/>
        <w:ind w:left="332"/>
        <w:spacing w:after="0" w:line="232" w:lineRule="auto"/>
        <w:rPr>
          <w:sz w:val="20"/>
          <w:szCs w:val="20"/>
          <w:color w:val="auto"/>
        </w:rPr>
      </w:pPr>
      <w:r>
        <w:rPr>
          <w:rFonts w:ascii="Arial" w:cs="Arial" w:eastAsia="Arial" w:hAnsi="Arial"/>
          <w:sz w:val="20"/>
          <w:szCs w:val="20"/>
          <w:color w:val="auto"/>
        </w:rPr>
        <w:t>31st following the calendar year in which such compensation is otherwise earned. Although the Company makes no guarantee with respect to the tax or other treatment of payments or benefits under this Agreement and shall not be responsible in any event with regard to this Agreement’s compliance with Section 409A, payments under this Agreement are intended to be exempt from or comply with the applicable requirements of Section 409A and will be limited, construed and interpreted in a manner so as to comply therewith. In furtherance of the foregoing:</w:t>
      </w:r>
    </w:p>
    <w:p>
      <w:pPr>
        <w:spacing w:after="0" w:line="211" w:lineRule="exact"/>
        <w:rPr>
          <w:sz w:val="20"/>
          <w:szCs w:val="20"/>
          <w:color w:val="auto"/>
        </w:rPr>
      </w:pPr>
    </w:p>
    <w:p>
      <w:pPr>
        <w:jc w:val="both"/>
        <w:ind w:left="652" w:hanging="409"/>
        <w:spacing w:after="0" w:line="265" w:lineRule="auto"/>
        <w:tabs>
          <w:tab w:leader="none" w:pos="652" w:val="left"/>
        </w:tabs>
        <w:numPr>
          <w:ilvl w:val="1"/>
          <w:numId w:val="57"/>
        </w:numPr>
        <w:rPr>
          <w:rFonts w:ascii="Arial" w:cs="Arial" w:eastAsia="Arial" w:hAnsi="Arial"/>
          <w:sz w:val="22"/>
          <w:szCs w:val="22"/>
          <w:color w:val="auto"/>
        </w:rPr>
      </w:pPr>
      <w:r>
        <w:rPr>
          <w:rFonts w:ascii="Arial" w:cs="Arial" w:eastAsia="Arial" w:hAnsi="Arial"/>
          <w:sz w:val="20"/>
          <w:szCs w:val="20"/>
          <w:color w:val="auto"/>
        </w:rPr>
        <w:t>notwithstanding any provision of this Agreement to the contrary, if the Executive is a “specified employee” as defined for purposes of Section 409A, then all payments to be made to the Executive hereunder due to the termination of employment will be paid, or commence to be paid, on the earlier of the date which is six (6) months after (x) the date that the Executive’s employment with the Company is terminated; or (y) the date of death;</w:t>
      </w:r>
    </w:p>
    <w:p>
      <w:pPr>
        <w:spacing w:after="0" w:line="200" w:lineRule="exact"/>
        <w:rPr>
          <w:rFonts w:ascii="Arial" w:cs="Arial" w:eastAsia="Arial" w:hAnsi="Arial"/>
          <w:sz w:val="22"/>
          <w:szCs w:val="22"/>
          <w:color w:val="auto"/>
        </w:rPr>
      </w:pPr>
    </w:p>
    <w:p>
      <w:pPr>
        <w:ind w:left="652" w:hanging="409"/>
        <w:spacing w:after="0" w:line="334" w:lineRule="auto"/>
        <w:tabs>
          <w:tab w:leader="none" w:pos="652" w:val="left"/>
        </w:tabs>
        <w:numPr>
          <w:ilvl w:val="1"/>
          <w:numId w:val="57"/>
        </w:numPr>
        <w:rPr>
          <w:rFonts w:ascii="Arial" w:cs="Arial" w:eastAsia="Arial" w:hAnsi="Arial"/>
          <w:sz w:val="19"/>
          <w:szCs w:val="19"/>
          <w:color w:val="auto"/>
        </w:rPr>
      </w:pPr>
      <w:r>
        <w:rPr>
          <w:rFonts w:ascii="Arial" w:cs="Arial" w:eastAsia="Arial" w:hAnsi="Arial"/>
          <w:sz w:val="18"/>
          <w:szCs w:val="18"/>
          <w:color w:val="auto"/>
        </w:rPr>
        <w:t>notwithstanding any provision of this Agreement to the contrary, the Executive’s employment with the Company will not be deemed to have been terminated unless and until the Executive has had a “separation from service,” as determined under Section 409A; and</w:t>
      </w:r>
    </w:p>
    <w:p>
      <w:pPr>
        <w:spacing w:after="0" w:line="134" w:lineRule="exact"/>
        <w:rPr>
          <w:rFonts w:ascii="Arial" w:cs="Arial" w:eastAsia="Arial" w:hAnsi="Arial"/>
          <w:sz w:val="19"/>
          <w:szCs w:val="19"/>
          <w:color w:val="auto"/>
        </w:rPr>
      </w:pPr>
    </w:p>
    <w:p>
      <w:pPr>
        <w:ind w:left="652" w:hanging="409"/>
        <w:spacing w:after="0"/>
        <w:tabs>
          <w:tab w:leader="none" w:pos="652" w:val="left"/>
        </w:tabs>
        <w:numPr>
          <w:ilvl w:val="1"/>
          <w:numId w:val="57"/>
        </w:numPr>
        <w:rPr>
          <w:rFonts w:ascii="Arial" w:cs="Arial" w:eastAsia="Arial" w:hAnsi="Arial"/>
          <w:sz w:val="22"/>
          <w:szCs w:val="22"/>
          <w:color w:val="auto"/>
        </w:rPr>
      </w:pPr>
      <w:r>
        <w:rPr>
          <w:rFonts w:ascii="Arial" w:cs="Arial" w:eastAsia="Arial" w:hAnsi="Arial"/>
          <w:sz w:val="20"/>
          <w:szCs w:val="20"/>
          <w:color w:val="auto"/>
        </w:rPr>
        <w:t>each payment that is part of a series of payment will be a single payment for purposes of Section 409A.</w:t>
      </w:r>
    </w:p>
    <w:p>
      <w:pPr>
        <w:spacing w:after="0" w:line="216" w:lineRule="exact"/>
        <w:rPr>
          <w:rFonts w:ascii="Arial" w:cs="Arial" w:eastAsia="Arial" w:hAnsi="Arial"/>
          <w:sz w:val="22"/>
          <w:szCs w:val="22"/>
          <w:color w:val="auto"/>
        </w:rPr>
      </w:pPr>
    </w:p>
    <w:p>
      <w:pPr>
        <w:jc w:val="both"/>
        <w:ind w:left="332" w:hanging="332"/>
        <w:spacing w:after="0" w:line="313" w:lineRule="auto"/>
        <w:tabs>
          <w:tab w:leader="none" w:pos="332" w:val="left"/>
        </w:tabs>
        <w:numPr>
          <w:ilvl w:val="0"/>
          <w:numId w:val="58"/>
        </w:numPr>
        <w:rPr>
          <w:rFonts w:ascii="Arial" w:cs="Arial" w:eastAsia="Arial" w:hAnsi="Arial"/>
          <w:sz w:val="18"/>
          <w:szCs w:val="18"/>
          <w:color w:val="auto"/>
        </w:rPr>
      </w:pPr>
      <w:r>
        <w:rPr>
          <w:rFonts w:ascii="Arial" w:cs="Arial" w:eastAsia="Arial" w:hAnsi="Arial"/>
          <w:sz w:val="17"/>
          <w:szCs w:val="17"/>
          <w:b w:val="1"/>
          <w:bCs w:val="1"/>
          <w:color w:val="auto"/>
        </w:rPr>
        <w:t xml:space="preserve">Section 280G. </w:t>
      </w:r>
      <w:r>
        <w:rPr>
          <w:rFonts w:ascii="Arial" w:cs="Arial" w:eastAsia="Arial" w:hAnsi="Arial"/>
          <w:sz w:val="17"/>
          <w:szCs w:val="17"/>
          <w:color w:val="auto"/>
        </w:rPr>
        <w:t>If any payment(s) or benefit(s) the Executive would receive pursuant to this Agreement and/or pursuant to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arrangement would (a) constitute a “parachute payment” within the meaning of Section 280G of the Code, (b) but for this Section, be subject to the excise tax imposed by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and (c) if the net-after tax amount (taking into account all applicable taxes payable by the Executive, including any Excise Tax) that the Executive would receive with respect to such payments or benefits does not exceed the Reduced Amount, then such payment(s) or benefit(s) (collectively, “</w:t>
      </w:r>
      <w:r>
        <w:rPr>
          <w:rFonts w:ascii="Arial" w:cs="Arial" w:eastAsia="Arial" w:hAnsi="Arial"/>
          <w:sz w:val="17"/>
          <w:szCs w:val="17"/>
          <w:u w:val="single" w:color="auto"/>
          <w:color w:val="auto"/>
        </w:rPr>
        <w:t>Payments</w:t>
      </w:r>
      <w:r>
        <w:rPr>
          <w:rFonts w:ascii="Arial" w:cs="Arial" w:eastAsia="Arial" w:hAnsi="Arial"/>
          <w:sz w:val="17"/>
          <w:szCs w:val="17"/>
          <w:color w:val="auto"/>
        </w:rPr>
        <w:t>”) shall be reduced to the Reduced Amount. The “</w:t>
      </w:r>
      <w:r>
        <w:rPr>
          <w:rFonts w:ascii="Arial" w:cs="Arial" w:eastAsia="Arial" w:hAnsi="Arial"/>
          <w:sz w:val="17"/>
          <w:szCs w:val="17"/>
          <w:u w:val="single" w:color="auto"/>
          <w:color w:val="auto"/>
        </w:rPr>
        <w:t>Reduced Amount</w:t>
      </w:r>
      <w:r>
        <w:rPr>
          <w:rFonts w:ascii="Arial" w:cs="Arial" w:eastAsia="Arial" w:hAnsi="Arial"/>
          <w:sz w:val="17"/>
          <w:szCs w:val="17"/>
          <w:color w:val="auto"/>
        </w:rPr>
        <w:t>” shall be the largest portion of the Payments that can be paid or provided without causing any portion of the Payments being subject to the Excise Tax. If a reduction in payments or benefits constituting “parachute payments” is necessary so that the Payments equal the Reduced Amount, reduction shall occur in the following order: (i) first, any severance payments; (ii) second, any other cash payments due under any other agreement between the Company and the Executive;</w:t>
      </w:r>
    </w:p>
    <w:p>
      <w:pPr>
        <w:spacing w:after="0" w:line="5" w:lineRule="exact"/>
        <w:rPr>
          <w:rFonts w:ascii="Arial" w:cs="Arial" w:eastAsia="Arial" w:hAnsi="Arial"/>
          <w:sz w:val="18"/>
          <w:szCs w:val="18"/>
          <w:color w:val="auto"/>
        </w:rPr>
      </w:pPr>
    </w:p>
    <w:p>
      <w:pPr>
        <w:jc w:val="both"/>
        <w:ind w:left="332" w:hanging="8"/>
        <w:spacing w:after="0" w:line="274" w:lineRule="auto"/>
        <w:tabs>
          <w:tab w:leader="none" w:pos="690" w:val="left"/>
        </w:tabs>
        <w:numPr>
          <w:ilvl w:val="2"/>
          <w:numId w:val="58"/>
        </w:numPr>
        <w:rPr>
          <w:rFonts w:ascii="Arial" w:cs="Arial" w:eastAsia="Arial" w:hAnsi="Arial"/>
          <w:sz w:val="20"/>
          <w:szCs w:val="20"/>
          <w:color w:val="auto"/>
        </w:rPr>
      </w:pPr>
      <w:r>
        <w:rPr>
          <w:rFonts w:ascii="Arial" w:cs="Arial" w:eastAsia="Arial" w:hAnsi="Arial"/>
          <w:sz w:val="20"/>
          <w:szCs w:val="20"/>
          <w:color w:val="auto"/>
        </w:rPr>
        <w:t>third, cancellation of the acceleration of vesting of any stock options; (iv) fourth, cancellation of the acceleration of vesting of any restricted stock and restricted stock units; and (v) lastly, other non-cash forms of benefits. Calculations of the foregoing will be performed at the expense of the Company by an accounting firm selected by the Company. The determinations of such accounting firm shall be final, binding and conclusive upon the Company and the Executive.</w:t>
      </w:r>
    </w:p>
    <w:p>
      <w:pPr>
        <w:spacing w:after="0" w:line="185" w:lineRule="exact"/>
        <w:rPr>
          <w:rFonts w:ascii="Arial" w:cs="Arial" w:eastAsia="Arial" w:hAnsi="Arial"/>
          <w:sz w:val="20"/>
          <w:szCs w:val="20"/>
          <w:color w:val="auto"/>
        </w:rPr>
      </w:pPr>
    </w:p>
    <w:p>
      <w:pPr>
        <w:jc w:val="both"/>
        <w:ind w:left="332" w:hanging="332"/>
        <w:spacing w:after="0" w:line="283" w:lineRule="auto"/>
        <w:tabs>
          <w:tab w:leader="none" w:pos="332" w:val="left"/>
        </w:tabs>
        <w:numPr>
          <w:ilvl w:val="0"/>
          <w:numId w:val="58"/>
        </w:numPr>
        <w:rPr>
          <w:rFonts w:ascii="Arial" w:cs="Arial" w:eastAsia="Arial" w:hAnsi="Arial"/>
          <w:sz w:val="21"/>
          <w:szCs w:val="21"/>
          <w:color w:val="auto"/>
        </w:rPr>
      </w:pPr>
      <w:r>
        <w:rPr>
          <w:rFonts w:ascii="Arial" w:cs="Arial" w:eastAsia="Arial" w:hAnsi="Arial"/>
          <w:sz w:val="19"/>
          <w:szCs w:val="19"/>
          <w:b w:val="1"/>
          <w:bCs w:val="1"/>
          <w:color w:val="auto"/>
        </w:rPr>
        <w:t xml:space="preserve">Indemnification. </w:t>
      </w:r>
      <w:r>
        <w:rPr>
          <w:rFonts w:ascii="Arial" w:cs="Arial" w:eastAsia="Arial" w:hAnsi="Arial"/>
          <w:sz w:val="19"/>
          <w:szCs w:val="19"/>
          <w:color w:val="auto"/>
        </w:rPr>
        <w:t>The Executive shall not be liable to the Company for any loss, damage or claim incurred by reason of any act or</w:t>
      </w:r>
      <w:r>
        <w:rPr>
          <w:rFonts w:ascii="Arial" w:cs="Arial" w:eastAsia="Arial" w:hAnsi="Arial"/>
          <w:sz w:val="19"/>
          <w:szCs w:val="19"/>
          <w:b w:val="1"/>
          <w:bCs w:val="1"/>
          <w:color w:val="auto"/>
        </w:rPr>
        <w:t xml:space="preserve"> </w:t>
      </w:r>
      <w:r>
        <w:rPr>
          <w:rFonts w:ascii="Arial" w:cs="Arial" w:eastAsia="Arial" w:hAnsi="Arial"/>
          <w:sz w:val="19"/>
          <w:szCs w:val="19"/>
          <w:color w:val="auto"/>
        </w:rPr>
        <w:t>omission performed or omitted by the Executive in good faith on behalf of the Company and in a manner reasonably believed by the Executive to be within the scope of the authority conferred on the Executive by this Agreement, except that the Executive shall be liable for any such loss, damage or claim incurred by reason of the Executive’s fraud or intentional malfeasance. To the fullest extent permitted by applicable law, the Company shall indemnify the Executive for any loss, damage or claim incurred by the Executive by reason of any act or omission performed or omitted by the Executive in good faith on behalf of the Company and in a manner reasonably believed by the Executive to be within the scope of the authority conferred on the Executive by this Agreement, except that the Executive shall not be entitled to be indemnified in respect of any loss, damage or claim incurred by the Executive by reason of the Executive’s gross negligence or willful misconduct with respect to</w:t>
      </w:r>
    </w:p>
    <w:p>
      <w:pPr>
        <w:spacing w:after="0" w:line="396" w:lineRule="exact"/>
        <w:rPr>
          <w:rFonts w:ascii="Arial" w:cs="Arial" w:eastAsia="Arial" w:hAnsi="Arial"/>
          <w:sz w:val="21"/>
          <w:szCs w:val="21"/>
          <w:color w:val="auto"/>
        </w:rPr>
      </w:pPr>
    </w:p>
    <w:p>
      <w:pPr>
        <w:ind w:left="4332" w:hanging="120"/>
        <w:spacing w:after="0"/>
        <w:tabs>
          <w:tab w:leader="none" w:pos="4332" w:val="left"/>
        </w:tabs>
        <w:numPr>
          <w:ilvl w:val="3"/>
          <w:numId w:val="58"/>
        </w:numPr>
        <w:rPr>
          <w:rFonts w:ascii="Arial" w:cs="Arial" w:eastAsia="Arial" w:hAnsi="Arial"/>
          <w:sz w:val="22"/>
          <w:szCs w:val="22"/>
          <w:color w:val="auto"/>
        </w:rPr>
      </w:pPr>
      <w:r>
        <w:rPr>
          <w:rFonts w:ascii="Arial" w:cs="Arial" w:eastAsia="Arial" w:hAnsi="Arial"/>
          <w:sz w:val="22"/>
          <w:szCs w:val="22"/>
          <w:color w:val="auto"/>
        </w:rPr>
        <w:t>11 -</w:t>
      </w:r>
    </w:p>
    <w:p>
      <w:pPr>
        <w:sectPr>
          <w:pgSz w:w="11900" w:h="16838" w:orient="portrait"/>
          <w:cols w:equalWidth="0" w:num="1">
            <w:col w:w="11232"/>
          </w:cols>
          <w:pgMar w:left="328" w:top="852" w:right="339" w:bottom="1440" w:gutter="0" w:footer="0" w:header="0"/>
        </w:sectPr>
      </w:pPr>
    </w:p>
    <w:bookmarkStart w:id="83" w:name="page84"/>
    <w:bookmarkEnd w:id="83"/>
    <w:p>
      <w:pPr>
        <w:jc w:val="both"/>
        <w:ind w:left="340"/>
        <w:spacing w:after="0" w:line="242" w:lineRule="auto"/>
        <w:rPr>
          <w:sz w:val="20"/>
          <w:szCs w:val="20"/>
          <w:color w:val="auto"/>
        </w:rPr>
      </w:pPr>
      <w:r>
        <w:rPr>
          <w:rFonts w:ascii="Arial" w:cs="Arial" w:eastAsia="Arial" w:hAnsi="Arial"/>
          <w:sz w:val="19"/>
          <w:szCs w:val="19"/>
          <w:color w:val="auto"/>
        </w:rPr>
        <w:t xml:space="preserve">such acts or omissions, as determined by a final and non-appealable arbitration adjudication pursuant to the provisions of </w:t>
      </w:r>
      <w:r>
        <w:rPr>
          <w:rFonts w:ascii="Arial" w:cs="Arial" w:eastAsia="Arial" w:hAnsi="Arial"/>
          <w:sz w:val="19"/>
          <w:szCs w:val="19"/>
          <w:u w:val="single" w:color="auto"/>
          <w:color w:val="auto"/>
        </w:rPr>
        <w:t>Section 18</w:t>
      </w:r>
      <w:r>
        <w:rPr>
          <w:rFonts w:ascii="Arial" w:cs="Arial" w:eastAsia="Arial" w:hAnsi="Arial"/>
          <w:sz w:val="19"/>
          <w:szCs w:val="19"/>
          <w:color w:val="auto"/>
        </w:rPr>
        <w:t>; provided, however, that, for the avoidance of doubt, any indemnity under this Section shall be provided out of and to the extent of Company assets only, and the members of the Company shall have no personal liability on account thereof. To the fullest extent permitted by applicable law, expenses (including reasonable and documented legal fees) incurred by the Executive in defending any claim, demand, action, suit or proceeding brought by any person or entity other than Company or any Affiliate shall, from time to time, be advanced by the Company prior to the final disposition of such claim, demand, action, suit or proceeding upon receipt by the Company of an undertaking by or on behalf of the Executive to repay such amount if it shall ultimately be determined that the Executive is not entitled to be indemnified as authorized in this Section.</w:t>
      </w:r>
    </w:p>
    <w:p>
      <w:pPr>
        <w:spacing w:after="0" w:line="189" w:lineRule="exact"/>
        <w:rPr>
          <w:sz w:val="20"/>
          <w:szCs w:val="20"/>
          <w:color w:val="auto"/>
        </w:rPr>
      </w:pPr>
    </w:p>
    <w:p>
      <w:pPr>
        <w:ind w:left="340" w:hanging="332"/>
        <w:spacing w:after="0" w:line="341" w:lineRule="auto"/>
        <w:tabs>
          <w:tab w:leader="none" w:pos="340" w:val="left"/>
        </w:tabs>
        <w:numPr>
          <w:ilvl w:val="0"/>
          <w:numId w:val="59"/>
        </w:numPr>
        <w:rPr>
          <w:rFonts w:ascii="Arial" w:cs="Arial" w:eastAsia="Arial" w:hAnsi="Arial"/>
          <w:sz w:val="19"/>
          <w:szCs w:val="19"/>
          <w:color w:val="auto"/>
        </w:rPr>
      </w:pPr>
      <w:r>
        <w:rPr>
          <w:rFonts w:ascii="Arial" w:cs="Arial" w:eastAsia="Arial" w:hAnsi="Arial"/>
          <w:sz w:val="18"/>
          <w:szCs w:val="18"/>
          <w:b w:val="1"/>
          <w:bCs w:val="1"/>
          <w:color w:val="auto"/>
        </w:rPr>
        <w:t xml:space="preserve">Legal Fees of the Executive. </w:t>
      </w:r>
      <w:r>
        <w:rPr>
          <w:rFonts w:ascii="Arial" w:cs="Arial" w:eastAsia="Arial" w:hAnsi="Arial"/>
          <w:sz w:val="18"/>
          <w:szCs w:val="18"/>
          <w:color w:val="auto"/>
        </w:rPr>
        <w:t>The Company will pay, or reimburse the Executive, for the reasonable legal fees and expenses incurred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Executive’s legal counsel in connection with entering into this Agreement up to twenty-five thousand dollars ($25,000).</w:t>
      </w:r>
    </w:p>
    <w:p>
      <w:pPr>
        <w:spacing w:after="0" w:line="124" w:lineRule="exact"/>
        <w:rPr>
          <w:rFonts w:ascii="Arial" w:cs="Arial" w:eastAsia="Arial" w:hAnsi="Arial"/>
          <w:sz w:val="19"/>
          <w:szCs w:val="19"/>
          <w:color w:val="auto"/>
        </w:rPr>
      </w:pPr>
    </w:p>
    <w:p>
      <w:pPr>
        <w:ind w:left="340" w:hanging="332"/>
        <w:spacing w:after="0" w:line="298" w:lineRule="auto"/>
        <w:tabs>
          <w:tab w:leader="none" w:pos="340" w:val="left"/>
        </w:tabs>
        <w:numPr>
          <w:ilvl w:val="0"/>
          <w:numId w:val="59"/>
        </w:numPr>
        <w:rPr>
          <w:rFonts w:ascii="Arial" w:cs="Arial" w:eastAsia="Arial" w:hAnsi="Arial"/>
          <w:sz w:val="21"/>
          <w:szCs w:val="21"/>
          <w:color w:val="auto"/>
        </w:rPr>
      </w:pPr>
      <w:r>
        <w:rPr>
          <w:rFonts w:ascii="Arial" w:cs="Arial" w:eastAsia="Arial" w:hAnsi="Arial"/>
          <w:sz w:val="19"/>
          <w:szCs w:val="19"/>
          <w:b w:val="1"/>
          <w:bCs w:val="1"/>
          <w:color w:val="auto"/>
        </w:rPr>
        <w:t xml:space="preserve">Survival. </w:t>
      </w:r>
      <w:r>
        <w:rPr>
          <w:rFonts w:ascii="Arial" w:cs="Arial" w:eastAsia="Arial" w:hAnsi="Arial"/>
          <w:sz w:val="19"/>
          <w:szCs w:val="19"/>
          <w:color w:val="auto"/>
        </w:rPr>
        <w:t>The covenants, agreements, representations and warranties contained in this Agreement shall survive the termination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 and the Executive’s termination of employment with the Company or its Affiliates at any time and for any reason.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852" w:right="339" w:bottom="1440" w:gutter="0" w:footer="0" w:header="0"/>
        </w:sectPr>
      </w:pPr>
    </w:p>
    <w:bookmarkStart w:id="84" w:name="page85"/>
    <w:bookmarkEnd w:id="84"/>
    <w:p>
      <w:pPr>
        <w:ind w:left="660"/>
        <w:spacing w:after="0"/>
        <w:rPr>
          <w:sz w:val="20"/>
          <w:szCs w:val="20"/>
          <w:color w:val="auto"/>
        </w:rPr>
      </w:pPr>
      <w:r>
        <w:rPr>
          <w:rFonts w:ascii="Arial" w:cs="Arial" w:eastAsia="Arial" w:hAnsi="Arial"/>
          <w:sz w:val="19"/>
          <w:szCs w:val="19"/>
          <w:color w:val="auto"/>
        </w:rPr>
        <w:t>IN WITNESS WHEREOF, this Agreement has been executed and delivered by the parties as of the first date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60" w:type="dxa"/>
            <w:vAlign w:val="bottom"/>
          </w:tcPr>
          <w:p>
            <w:pPr>
              <w:ind w:left="40"/>
              <w:spacing w:after="0"/>
              <w:rPr>
                <w:sz w:val="20"/>
                <w:szCs w:val="20"/>
                <w:color w:val="auto"/>
              </w:rPr>
            </w:pPr>
            <w:r>
              <w:rPr>
                <w:rFonts w:ascii="Arial" w:cs="Arial" w:eastAsia="Arial" w:hAnsi="Arial"/>
                <w:sz w:val="20"/>
                <w:szCs w:val="20"/>
                <w:b w:val="1"/>
                <w:bCs w:val="1"/>
                <w:color w:val="auto"/>
              </w:rPr>
              <w:t>EXECUTIVE:</w:t>
            </w:r>
          </w:p>
        </w:tc>
        <w:tc>
          <w:tcPr>
            <w:tcW w:w="7080" w:type="dxa"/>
            <w:vAlign w:val="bottom"/>
            <w:gridSpan w:val="2"/>
          </w:tcPr>
          <w:p>
            <w:pPr>
              <w:ind w:left="1840"/>
              <w:spacing w:after="0"/>
              <w:rPr>
                <w:sz w:val="20"/>
                <w:szCs w:val="20"/>
                <w:color w:val="auto"/>
              </w:rPr>
            </w:pPr>
            <w:r>
              <w:rPr>
                <w:rFonts w:ascii="Arial" w:cs="Arial" w:eastAsia="Arial" w:hAnsi="Arial"/>
                <w:sz w:val="20"/>
                <w:szCs w:val="20"/>
                <w:b w:val="1"/>
                <w:bCs w:val="1"/>
                <w:color w:val="auto"/>
              </w:rPr>
              <w:t>SUTTER ROCK CAPITAL CORP.</w:t>
            </w:r>
          </w:p>
        </w:tc>
      </w:tr>
      <w:tr>
        <w:trPr>
          <w:trHeight w:val="608"/>
        </w:trPr>
        <w:tc>
          <w:tcPr>
            <w:tcW w:w="4160" w:type="dxa"/>
            <w:vAlign w:val="bottom"/>
          </w:tcPr>
          <w:p>
            <w:pPr>
              <w:ind w:left="40"/>
              <w:spacing w:after="0"/>
              <w:rPr>
                <w:sz w:val="20"/>
                <w:szCs w:val="20"/>
                <w:color w:val="auto"/>
              </w:rPr>
            </w:pPr>
            <w:r>
              <w:rPr>
                <w:rFonts w:ascii="Arial" w:cs="Arial" w:eastAsia="Arial" w:hAnsi="Arial"/>
                <w:sz w:val="20"/>
                <w:szCs w:val="20"/>
                <w:color w:val="auto"/>
              </w:rPr>
              <w:t>/s/ Mark D. Klein</w:t>
            </w:r>
          </w:p>
        </w:tc>
        <w:tc>
          <w:tcPr>
            <w:tcW w:w="2700" w:type="dxa"/>
            <w:vAlign w:val="bottom"/>
          </w:tcPr>
          <w:p>
            <w:pPr>
              <w:ind w:left="1840"/>
              <w:spacing w:after="0"/>
              <w:rPr>
                <w:sz w:val="20"/>
                <w:szCs w:val="20"/>
                <w:color w:val="auto"/>
              </w:rPr>
            </w:pPr>
            <w:r>
              <w:rPr>
                <w:rFonts w:ascii="Arial" w:cs="Arial" w:eastAsia="Arial" w:hAnsi="Arial"/>
                <w:sz w:val="20"/>
                <w:szCs w:val="20"/>
                <w:color w:val="auto"/>
              </w:rPr>
              <w:t>By:</w:t>
            </w:r>
          </w:p>
        </w:tc>
        <w:tc>
          <w:tcPr>
            <w:tcW w:w="4380" w:type="dxa"/>
            <w:vAlign w:val="bottom"/>
          </w:tcPr>
          <w:p>
            <w:pPr>
              <w:ind w:left="40"/>
              <w:spacing w:after="0"/>
              <w:rPr>
                <w:sz w:val="20"/>
                <w:szCs w:val="20"/>
                <w:color w:val="auto"/>
              </w:rPr>
            </w:pPr>
            <w:r>
              <w:rPr>
                <w:rFonts w:ascii="Arial" w:cs="Arial" w:eastAsia="Arial" w:hAnsi="Arial"/>
                <w:sz w:val="20"/>
                <w:szCs w:val="20"/>
                <w:color w:val="auto"/>
              </w:rPr>
              <w:t>/s/ Allison Green</w:t>
            </w:r>
          </w:p>
        </w:tc>
      </w:tr>
      <w:tr>
        <w:trPr>
          <w:trHeight w:val="23"/>
        </w:trPr>
        <w:tc>
          <w:tcPr>
            <w:tcW w:w="4160" w:type="dxa"/>
            <w:vAlign w:val="bottom"/>
            <w:tcBorders>
              <w:bottom w:val="single" w:sz="8" w:color="auto"/>
            </w:tcBorders>
          </w:tcPr>
          <w:p>
            <w:pPr>
              <w:spacing w:after="0"/>
              <w:rPr>
                <w:sz w:val="2"/>
                <w:szCs w:val="2"/>
                <w:color w:val="auto"/>
              </w:rPr>
            </w:pPr>
          </w:p>
        </w:tc>
        <w:tc>
          <w:tcPr>
            <w:tcW w:w="270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54"/>
        </w:trPr>
        <w:tc>
          <w:tcPr>
            <w:tcW w:w="4160" w:type="dxa"/>
            <w:vAlign w:val="bottom"/>
          </w:tcPr>
          <w:p>
            <w:pPr>
              <w:ind w:left="40"/>
              <w:spacing w:after="0"/>
              <w:rPr>
                <w:sz w:val="20"/>
                <w:szCs w:val="20"/>
                <w:color w:val="auto"/>
              </w:rPr>
            </w:pPr>
            <w:r>
              <w:rPr>
                <w:rFonts w:ascii="Arial" w:cs="Arial" w:eastAsia="Arial" w:hAnsi="Arial"/>
                <w:sz w:val="20"/>
                <w:szCs w:val="20"/>
                <w:color w:val="auto"/>
              </w:rPr>
              <w:t>Mark D. Klein</w:t>
            </w:r>
          </w:p>
        </w:tc>
        <w:tc>
          <w:tcPr>
            <w:tcW w:w="2700" w:type="dxa"/>
            <w:vAlign w:val="bottom"/>
          </w:tcPr>
          <w:p>
            <w:pPr>
              <w:ind w:left="1840"/>
              <w:spacing w:after="0"/>
              <w:rPr>
                <w:sz w:val="20"/>
                <w:szCs w:val="20"/>
                <w:color w:val="auto"/>
              </w:rPr>
            </w:pPr>
            <w:r>
              <w:rPr>
                <w:rFonts w:ascii="Arial" w:cs="Arial" w:eastAsia="Arial" w:hAnsi="Arial"/>
                <w:sz w:val="20"/>
                <w:szCs w:val="20"/>
                <w:color w:val="auto"/>
              </w:rPr>
              <w:t>Name:</w:t>
            </w:r>
          </w:p>
        </w:tc>
        <w:tc>
          <w:tcPr>
            <w:tcW w:w="4380" w:type="dxa"/>
            <w:vAlign w:val="bottom"/>
          </w:tcPr>
          <w:p>
            <w:pPr>
              <w:ind w:left="40"/>
              <w:spacing w:after="0"/>
              <w:rPr>
                <w:sz w:val="20"/>
                <w:szCs w:val="20"/>
                <w:color w:val="auto"/>
              </w:rPr>
            </w:pPr>
            <w:r>
              <w:rPr>
                <w:rFonts w:ascii="Arial" w:cs="Arial" w:eastAsia="Arial" w:hAnsi="Arial"/>
                <w:sz w:val="20"/>
                <w:szCs w:val="20"/>
                <w:color w:val="auto"/>
              </w:rPr>
              <w:t>Allison Green</w:t>
            </w:r>
          </w:p>
        </w:tc>
      </w:tr>
      <w:tr>
        <w:trPr>
          <w:trHeight w:val="263"/>
        </w:trPr>
        <w:tc>
          <w:tcPr>
            <w:tcW w:w="416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380" w:type="dxa"/>
            <w:vAlign w:val="bottom"/>
          </w:tcPr>
          <w:p>
            <w:pPr>
              <w:ind w:left="40"/>
              <w:spacing w:after="0"/>
              <w:rPr>
                <w:sz w:val="20"/>
                <w:szCs w:val="20"/>
                <w:color w:val="auto"/>
              </w:rPr>
            </w:pPr>
            <w:r>
              <w:rPr>
                <w:rFonts w:ascii="Arial" w:cs="Arial" w:eastAsia="Arial" w:hAnsi="Arial"/>
                <w:sz w:val="20"/>
                <w:szCs w:val="20"/>
                <w:color w:val="auto"/>
                <w:w w:val="99"/>
              </w:rPr>
              <w:t>Chief Financial Officer, Chief Compliance Officer,</w:t>
            </w:r>
          </w:p>
        </w:tc>
      </w:tr>
      <w:tr>
        <w:trPr>
          <w:trHeight w:val="250"/>
        </w:trPr>
        <w:tc>
          <w:tcPr>
            <w:tcW w:w="4160" w:type="dxa"/>
            <w:vAlign w:val="bottom"/>
          </w:tcPr>
          <w:p>
            <w:pPr>
              <w:spacing w:after="0"/>
              <w:rPr>
                <w:sz w:val="21"/>
                <w:szCs w:val="21"/>
                <w:color w:val="auto"/>
              </w:rPr>
            </w:pPr>
          </w:p>
        </w:tc>
        <w:tc>
          <w:tcPr>
            <w:tcW w:w="2700" w:type="dxa"/>
            <w:vAlign w:val="bottom"/>
          </w:tcPr>
          <w:p>
            <w:pPr>
              <w:ind w:left="1840"/>
              <w:spacing w:after="0"/>
              <w:rPr>
                <w:sz w:val="20"/>
                <w:szCs w:val="20"/>
                <w:color w:val="auto"/>
              </w:rPr>
            </w:pPr>
            <w:r>
              <w:rPr>
                <w:rFonts w:ascii="Arial" w:cs="Arial" w:eastAsia="Arial" w:hAnsi="Arial"/>
                <w:sz w:val="20"/>
                <w:szCs w:val="20"/>
                <w:color w:val="auto"/>
              </w:rPr>
              <w:t>Title:</w:t>
            </w:r>
          </w:p>
        </w:tc>
        <w:tc>
          <w:tcPr>
            <w:tcW w:w="4380" w:type="dxa"/>
            <w:vAlign w:val="bottom"/>
          </w:tcPr>
          <w:p>
            <w:pPr>
              <w:ind w:left="40"/>
              <w:spacing w:after="0"/>
              <w:rPr>
                <w:sz w:val="20"/>
                <w:szCs w:val="20"/>
                <w:color w:val="auto"/>
              </w:rPr>
            </w:pPr>
            <w:r>
              <w:rPr>
                <w:rFonts w:ascii="Arial" w:cs="Arial" w:eastAsia="Arial" w:hAnsi="Arial"/>
                <w:sz w:val="20"/>
                <w:szCs w:val="20"/>
                <w:color w:val="auto"/>
              </w:rPr>
              <w:t>Treasurer, and Corporate Secretary</w:t>
            </w:r>
          </w:p>
        </w:tc>
      </w:tr>
    </w:tbl>
    <w:p>
      <w:pPr>
        <w:sectPr>
          <w:pgSz w:w="11900" w:h="16838" w:orient="portrait"/>
          <w:cols w:equalWidth="0" w:num="1">
            <w:col w:w="11240"/>
          </w:cols>
          <w:pgMar w:left="320" w:top="595" w:right="3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Permitted Activities</w:t>
      </w:r>
    </w:p>
    <w:p>
      <w:pPr>
        <w:spacing w:after="0" w:line="25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Provided that such involvement will not adversely impact in any material respect Executive’s performance of his duties and obligations to the Company under this Agreement, the Executive may engage in all activities of the Executive described in the biography of the Executive as it appears on the Company’s most recent Proxy Statement filed with the Securities and Exchange Commission.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598" w:right="3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FORM RELEASE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This Release Agreement (“</w:t>
      </w:r>
      <w:r>
        <w:rPr>
          <w:rFonts w:ascii="Arial" w:cs="Arial" w:eastAsia="Arial" w:hAnsi="Arial"/>
          <w:sz w:val="20"/>
          <w:szCs w:val="20"/>
          <w:b w:val="1"/>
          <w:bCs w:val="1"/>
          <w:color w:val="auto"/>
        </w:rPr>
        <w:t>Release</w:t>
      </w:r>
      <w:r>
        <w:rPr>
          <w:rFonts w:ascii="Arial" w:cs="Arial" w:eastAsia="Arial" w:hAnsi="Arial"/>
          <w:sz w:val="20"/>
          <w:szCs w:val="20"/>
          <w:color w:val="auto"/>
        </w:rPr>
        <w:t>”) is entered into by and between Sutter Rock Capital Corp., together with its parents, subsidiaries, predecessors, successors and affiliates (the “</w:t>
      </w:r>
      <w:r>
        <w:rPr>
          <w:rFonts w:ascii="Arial" w:cs="Arial" w:eastAsia="Arial" w:hAnsi="Arial"/>
          <w:sz w:val="20"/>
          <w:szCs w:val="20"/>
          <w:b w:val="1"/>
          <w:bCs w:val="1"/>
          <w:color w:val="auto"/>
        </w:rPr>
        <w:t>Company</w:t>
      </w:r>
      <w:r>
        <w:rPr>
          <w:rFonts w:ascii="Arial" w:cs="Arial" w:eastAsia="Arial" w:hAnsi="Arial"/>
          <w:sz w:val="20"/>
          <w:szCs w:val="20"/>
          <w:color w:val="auto"/>
        </w:rPr>
        <w:t>”) and Mark D. Klein (the “</w:t>
      </w:r>
      <w:r>
        <w:rPr>
          <w:rFonts w:ascii="Arial" w:cs="Arial" w:eastAsia="Arial" w:hAnsi="Arial"/>
          <w:sz w:val="20"/>
          <w:szCs w:val="20"/>
          <w:b w:val="1"/>
          <w:bCs w:val="1"/>
          <w:color w:val="auto"/>
        </w:rPr>
        <w:t>Executive</w:t>
      </w:r>
      <w:r>
        <w:rPr>
          <w:rFonts w:ascii="Arial" w:cs="Arial" w:eastAsia="Arial" w:hAnsi="Arial"/>
          <w:sz w:val="20"/>
          <w:szCs w:val="20"/>
          <w:color w:val="auto"/>
        </w:rPr>
        <w:t>”) (each a “</w:t>
      </w:r>
      <w:r>
        <w:rPr>
          <w:rFonts w:ascii="Arial" w:cs="Arial" w:eastAsia="Arial" w:hAnsi="Arial"/>
          <w:sz w:val="20"/>
          <w:szCs w:val="20"/>
          <w:b w:val="1"/>
          <w:bCs w:val="1"/>
          <w:color w:val="auto"/>
        </w:rPr>
        <w:t>Party</w:t>
      </w:r>
      <w:r>
        <w:rPr>
          <w:rFonts w:ascii="Arial" w:cs="Arial" w:eastAsia="Arial" w:hAnsi="Arial"/>
          <w:sz w:val="20"/>
          <w:szCs w:val="20"/>
          <w:color w:val="auto"/>
        </w:rPr>
        <w:t>,” collectively,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WHEREAS, the Executive is currently employed by the Company as the ______________ of the Company;</w:t>
      </w:r>
    </w:p>
    <w:p>
      <w:pPr>
        <w:spacing w:after="0" w:line="22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20"/>
          <w:szCs w:val="20"/>
          <w:color w:val="auto"/>
        </w:rPr>
        <w:t>WHEREAS, the Parties have entered into that certain employment agreement effective as of April 28th, 2020 (the “</w:t>
      </w:r>
      <w:r>
        <w:rPr>
          <w:rFonts w:ascii="Arial" w:cs="Arial" w:eastAsia="Arial" w:hAnsi="Arial"/>
          <w:sz w:val="20"/>
          <w:szCs w:val="20"/>
          <w:b w:val="1"/>
          <w:bCs w:val="1"/>
          <w:color w:val="auto"/>
        </w:rPr>
        <w:t>Employment</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77"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0"/>
          <w:szCs w:val="20"/>
          <w:color w:val="auto"/>
        </w:rPr>
        <w:t xml:space="preserve">WHEREAS, [the Company wishes to terminate the Executive’s employment without Cause </w:t>
      </w:r>
      <w:r>
        <w:rPr>
          <w:rFonts w:ascii="Arial" w:cs="Arial" w:eastAsia="Arial" w:hAnsi="Arial"/>
          <w:sz w:val="20"/>
          <w:szCs w:val="20"/>
          <w:b w:val="1"/>
          <w:bCs w:val="1"/>
          <w:color w:val="auto"/>
        </w:rPr>
        <w:t>OR</w:t>
      </w:r>
      <w:r>
        <w:rPr>
          <w:rFonts w:ascii="Arial" w:cs="Arial" w:eastAsia="Arial" w:hAnsi="Arial"/>
          <w:sz w:val="20"/>
          <w:szCs w:val="20"/>
          <w:color w:val="auto"/>
        </w:rPr>
        <w:t xml:space="preserve"> the Executive wishes to terminate employment for Good Reason (each as defined in the Employment Agreement) </w:t>
      </w:r>
      <w:r>
        <w:rPr>
          <w:rFonts w:ascii="Arial" w:cs="Arial" w:eastAsia="Arial" w:hAnsi="Arial"/>
          <w:sz w:val="20"/>
          <w:szCs w:val="20"/>
          <w:b w:val="1"/>
          <w:bCs w:val="1"/>
          <w:color w:val="auto"/>
        </w:rPr>
        <w:t>OR</w:t>
      </w:r>
      <w:r>
        <w:rPr>
          <w:rFonts w:ascii="Arial" w:cs="Arial" w:eastAsia="Arial" w:hAnsi="Arial"/>
          <w:sz w:val="20"/>
          <w:szCs w:val="20"/>
          <w:color w:val="auto"/>
        </w:rPr>
        <w:t xml:space="preserve"> the Executive’s employment has been terminated due to Disability (as defined in the Employment Agreement) </w:t>
      </w:r>
      <w:r>
        <w:rPr>
          <w:rFonts w:ascii="Arial" w:cs="Arial" w:eastAsia="Arial" w:hAnsi="Arial"/>
          <w:sz w:val="20"/>
          <w:szCs w:val="20"/>
          <w:b w:val="1"/>
          <w:bCs w:val="1"/>
          <w:color w:val="auto"/>
        </w:rPr>
        <w:t>OR</w:t>
      </w:r>
      <w:r>
        <w:rPr>
          <w:rFonts w:ascii="Arial" w:cs="Arial" w:eastAsia="Arial" w:hAnsi="Arial"/>
          <w:sz w:val="20"/>
          <w:szCs w:val="20"/>
          <w:color w:val="auto"/>
        </w:rPr>
        <w:t xml:space="preserve"> the Executive’s employment has been terminated due to the Executive’s death]; and</w:t>
      </w:r>
    </w:p>
    <w:p>
      <w:pPr>
        <w:spacing w:after="0" w:line="20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WHEREAS, the Executive’s right to receive certain severance benefits as set forth in the Employment Agreement is conditioned on the Executive executing this Release.</w:t>
      </w:r>
    </w:p>
    <w:p>
      <w:pPr>
        <w:spacing w:after="0" w:line="1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 consideration of the mutual covenants and promises each Party has made to the other as set forth in this Release and the Employment Agreement, the Parties agree as follows:</w:t>
      </w:r>
    </w:p>
    <w:p>
      <w:pPr>
        <w:spacing w:after="0" w:line="190" w:lineRule="exact"/>
        <w:rPr>
          <w:sz w:val="20"/>
          <w:szCs w:val="20"/>
          <w:color w:val="auto"/>
        </w:rPr>
      </w:pPr>
    </w:p>
    <w:p>
      <w:pPr>
        <w:jc w:val="both"/>
        <w:ind w:left="340" w:hanging="332"/>
        <w:spacing w:after="0" w:line="260" w:lineRule="auto"/>
        <w:tabs>
          <w:tab w:leader="none" w:pos="34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Separation Date</w:t>
      </w:r>
      <w:r>
        <w:rPr>
          <w:rFonts w:ascii="Arial" w:cs="Arial" w:eastAsia="Arial" w:hAnsi="Arial"/>
          <w:sz w:val="19"/>
          <w:szCs w:val="19"/>
          <w:color w:val="auto"/>
        </w:rPr>
        <w:t>. The Executive agrees that the Executive’s employment with the Company shall end as of [_____________________] (the “</w:t>
      </w:r>
      <w:r>
        <w:rPr>
          <w:rFonts w:ascii="Arial" w:cs="Arial" w:eastAsia="Arial" w:hAnsi="Arial"/>
          <w:sz w:val="19"/>
          <w:szCs w:val="19"/>
          <w:b w:val="1"/>
          <w:bCs w:val="1"/>
          <w:color w:val="auto"/>
        </w:rPr>
        <w:t>Separation Date</w:t>
      </w:r>
      <w:r>
        <w:rPr>
          <w:rFonts w:ascii="Arial" w:cs="Arial" w:eastAsia="Arial" w:hAnsi="Arial"/>
          <w:sz w:val="19"/>
          <w:szCs w:val="19"/>
          <w:color w:val="auto"/>
        </w:rPr>
        <w:t>”). As of the Separation Date, the Executive (a) shall cease to be an employee of the Company, and (b) shall no longer be authorized to bind the Company or to hold himself or herself out as an employee or agent of the Company. [During the Executive’s employment through the Separation Date, the Executive agrees that the Executive will reasonably assist in the transition of his or her duties and responsibilities as reasonably directed by the Company.]</w:t>
      </w:r>
    </w:p>
    <w:p>
      <w:pPr>
        <w:spacing w:after="0" w:line="193" w:lineRule="exact"/>
        <w:rPr>
          <w:rFonts w:ascii="Arial" w:cs="Arial" w:eastAsia="Arial" w:hAnsi="Arial"/>
          <w:sz w:val="19"/>
          <w:szCs w:val="19"/>
          <w:color w:val="auto"/>
        </w:rPr>
      </w:pPr>
    </w:p>
    <w:p>
      <w:pPr>
        <w:ind w:left="340" w:hanging="332"/>
        <w:spacing w:after="0"/>
        <w:tabs>
          <w:tab w:leader="none" w:pos="34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Accrued Compensation and Benefits</w:t>
      </w:r>
      <w:r>
        <w:rPr>
          <w:rFonts w:ascii="Arial" w:cs="Arial" w:eastAsia="Arial" w:hAnsi="Arial"/>
          <w:sz w:val="20"/>
          <w:szCs w:val="20"/>
          <w:color w:val="auto"/>
        </w:rPr>
        <w:t>.</w:t>
      </w:r>
    </w:p>
    <w:p>
      <w:pPr>
        <w:spacing w:after="0" w:line="237" w:lineRule="exact"/>
        <w:rPr>
          <w:rFonts w:ascii="Arial" w:cs="Arial" w:eastAsia="Arial" w:hAnsi="Arial"/>
          <w:sz w:val="20"/>
          <w:szCs w:val="20"/>
          <w:color w:val="auto"/>
        </w:rPr>
      </w:pPr>
    </w:p>
    <w:p>
      <w:pPr>
        <w:jc w:val="both"/>
        <w:ind w:left="660" w:hanging="409"/>
        <w:spacing w:after="0" w:line="309" w:lineRule="auto"/>
        <w:tabs>
          <w:tab w:leader="none" w:pos="660" w:val="left"/>
        </w:tabs>
        <w:numPr>
          <w:ilvl w:val="1"/>
          <w:numId w:val="60"/>
        </w:numPr>
        <w:rPr>
          <w:rFonts w:ascii="Arial" w:cs="Arial" w:eastAsia="Arial" w:hAnsi="Arial"/>
          <w:sz w:val="20"/>
          <w:szCs w:val="20"/>
          <w:color w:val="auto"/>
        </w:rPr>
      </w:pPr>
      <w:r>
        <w:rPr>
          <w:rFonts w:ascii="Arial" w:cs="Arial" w:eastAsia="Arial" w:hAnsi="Arial"/>
          <w:sz w:val="18"/>
          <w:szCs w:val="18"/>
          <w:color w:val="auto"/>
        </w:rPr>
        <w:t xml:space="preserve">Even if the Executive does not sign this Agreement, (A) the Company shall pay the Executive, through the Separation Date, </w:t>
      </w:r>
      <w:r>
        <w:rPr>
          <w:rFonts w:ascii="Arial" w:cs="Arial" w:eastAsia="Arial" w:hAnsi="Arial"/>
          <w:sz w:val="19"/>
          <w:szCs w:val="19"/>
          <w:color w:val="auto"/>
        </w:rPr>
        <w:t>the</w:t>
      </w:r>
      <w:r>
        <w:rPr>
          <w:rFonts w:ascii="Arial" w:cs="Arial" w:eastAsia="Arial" w:hAnsi="Arial"/>
          <w:sz w:val="18"/>
          <w:szCs w:val="18"/>
          <w:color w:val="auto"/>
        </w:rPr>
        <w:t xml:space="preserve"> Executive’s Accrued Benefits (as defined in the Employment Agreement), and (B) (a) the Company shall offer the Executive benefits to which the Executive is entitled under the Consolidated Omnibus Budget Reconciliation Act of 1985 ("COBRA"), and (b) the Executive shall retain all benefits under the Company's 401(k) plan in accordance with terms of such plan.</w:t>
      </w:r>
    </w:p>
    <w:p>
      <w:pPr>
        <w:spacing w:after="0" w:line="178" w:lineRule="exact"/>
        <w:rPr>
          <w:rFonts w:ascii="Arial" w:cs="Arial" w:eastAsia="Arial" w:hAnsi="Arial"/>
          <w:sz w:val="20"/>
          <w:szCs w:val="20"/>
          <w:color w:val="auto"/>
        </w:rPr>
      </w:pPr>
    </w:p>
    <w:p>
      <w:pPr>
        <w:jc w:val="both"/>
        <w:ind w:left="660" w:hanging="409"/>
        <w:spacing w:after="0" w:line="265" w:lineRule="auto"/>
        <w:tabs>
          <w:tab w:leader="none" w:pos="660" w:val="left"/>
        </w:tabs>
        <w:numPr>
          <w:ilvl w:val="1"/>
          <w:numId w:val="60"/>
        </w:numPr>
        <w:rPr>
          <w:rFonts w:ascii="Arial" w:cs="Arial" w:eastAsia="Arial" w:hAnsi="Arial"/>
          <w:sz w:val="22"/>
          <w:szCs w:val="22"/>
          <w:color w:val="auto"/>
        </w:rPr>
      </w:pPr>
      <w:r>
        <w:rPr>
          <w:rFonts w:ascii="Arial" w:cs="Arial" w:eastAsia="Arial" w:hAnsi="Arial"/>
          <w:sz w:val="20"/>
          <w:szCs w:val="20"/>
          <w:color w:val="auto"/>
        </w:rPr>
        <w:t>As of the Separation Date, the Executive shall cease to be entitled to any further compensation, monies or other benefits from the Company, including coverage under any benefits plans or programs sponsored by the Company as of the Separation Date, except as otherwise expressly provided in this Release or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589" w:right="339" w:bottom="1440" w:gutter="0" w:footer="0" w:header="0"/>
        </w:sectPr>
      </w:pPr>
    </w:p>
    <w:bookmarkStart w:id="87" w:name="page88"/>
    <w:bookmarkEnd w:id="87"/>
    <w:p>
      <w:pPr>
        <w:ind w:left="332" w:hanging="332"/>
        <w:spacing w:after="0"/>
        <w:tabs>
          <w:tab w:leader="none" w:pos="332"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Severance Benefits.</w:t>
      </w:r>
    </w:p>
    <w:p>
      <w:pPr>
        <w:spacing w:after="0" w:line="242" w:lineRule="exact"/>
        <w:rPr>
          <w:rFonts w:ascii="Arial" w:cs="Arial" w:eastAsia="Arial" w:hAnsi="Arial"/>
          <w:sz w:val="20"/>
          <w:szCs w:val="20"/>
          <w:color w:val="auto"/>
        </w:rPr>
      </w:pPr>
    </w:p>
    <w:p>
      <w:pPr>
        <w:jc w:val="both"/>
        <w:ind w:left="652" w:hanging="409"/>
        <w:spacing w:after="0" w:line="265" w:lineRule="auto"/>
        <w:tabs>
          <w:tab w:leader="none" w:pos="652" w:val="left"/>
        </w:tabs>
        <w:numPr>
          <w:ilvl w:val="1"/>
          <w:numId w:val="61"/>
        </w:numPr>
        <w:rPr>
          <w:rFonts w:ascii="Arial" w:cs="Arial" w:eastAsia="Arial" w:hAnsi="Arial"/>
          <w:sz w:val="22"/>
          <w:szCs w:val="22"/>
          <w:color w:val="auto"/>
        </w:rPr>
      </w:pPr>
      <w:r>
        <w:rPr>
          <w:rFonts w:ascii="Arial" w:cs="Arial" w:eastAsia="Arial" w:hAnsi="Arial"/>
          <w:sz w:val="20"/>
          <w:szCs w:val="20"/>
          <w:color w:val="auto"/>
        </w:rPr>
        <w:t xml:space="preserve">Subject to the execution [and non-revocation] of this Release, and following the Effective Date of this Release (as defined below), the Company will pay the Executive the [(Severance Benefits as defined in, and in the accordance with the terms set forth in, the Employment Agreement) </w:t>
      </w:r>
      <w:r>
        <w:rPr>
          <w:rFonts w:ascii="Arial" w:cs="Arial" w:eastAsia="Arial" w:hAnsi="Arial"/>
          <w:sz w:val="20"/>
          <w:szCs w:val="20"/>
          <w:b w:val="1"/>
          <w:bCs w:val="1"/>
          <w:color w:val="auto"/>
        </w:rPr>
        <w:t>OR</w:t>
      </w:r>
      <w:r>
        <w:rPr>
          <w:rFonts w:ascii="Arial" w:cs="Arial" w:eastAsia="Arial" w:hAnsi="Arial"/>
          <w:sz w:val="20"/>
          <w:szCs w:val="20"/>
          <w:color w:val="auto"/>
        </w:rPr>
        <w:t xml:space="preserve"> (the Annual Bonus, Pro-Rated Bonus, and accelerated vesting of equity as set forth in Section 8(a) OR Section 8(b) of the Employment Agreement (“Severance Payment”)].</w:t>
      </w:r>
    </w:p>
    <w:p>
      <w:pPr>
        <w:spacing w:after="0" w:line="208" w:lineRule="exact"/>
        <w:rPr>
          <w:rFonts w:ascii="Arial" w:cs="Arial" w:eastAsia="Arial" w:hAnsi="Arial"/>
          <w:sz w:val="22"/>
          <w:szCs w:val="22"/>
          <w:color w:val="auto"/>
        </w:rPr>
      </w:pPr>
    </w:p>
    <w:p>
      <w:pPr>
        <w:jc w:val="both"/>
        <w:ind w:left="652" w:hanging="409"/>
        <w:spacing w:after="0" w:line="283" w:lineRule="auto"/>
        <w:tabs>
          <w:tab w:leader="none" w:pos="652" w:val="left"/>
        </w:tabs>
        <w:numPr>
          <w:ilvl w:val="1"/>
          <w:numId w:val="61"/>
        </w:numPr>
        <w:rPr>
          <w:rFonts w:ascii="Arial" w:cs="Arial" w:eastAsia="Arial" w:hAnsi="Arial"/>
          <w:sz w:val="21"/>
          <w:szCs w:val="21"/>
          <w:color w:val="auto"/>
        </w:rPr>
      </w:pPr>
      <w:r>
        <w:rPr>
          <w:rFonts w:ascii="Arial" w:cs="Arial" w:eastAsia="Arial" w:hAnsi="Arial"/>
          <w:sz w:val="19"/>
          <w:szCs w:val="19"/>
          <w:color w:val="auto"/>
        </w:rPr>
        <w:t xml:space="preserve">The Executive acknowledges and agrees that the [Severance Benefits </w:t>
      </w:r>
      <w:r>
        <w:rPr>
          <w:rFonts w:ascii="Arial" w:cs="Arial" w:eastAsia="Arial" w:hAnsi="Arial"/>
          <w:sz w:val="19"/>
          <w:szCs w:val="19"/>
          <w:b w:val="1"/>
          <w:bCs w:val="1"/>
          <w:color w:val="auto"/>
        </w:rPr>
        <w:t>OR</w:t>
      </w:r>
      <w:r>
        <w:rPr>
          <w:rFonts w:ascii="Arial" w:cs="Arial" w:eastAsia="Arial" w:hAnsi="Arial"/>
          <w:sz w:val="19"/>
          <w:szCs w:val="19"/>
          <w:color w:val="auto"/>
        </w:rPr>
        <w:t xml:space="preserve"> Severance Payment] (except the payments set forth in Section 2(a) hereof) are in lieu of any other compensation due or payable to the Executive in connection with his or her termination of employment, including, without limitation, any severance, bonus, pay in lieu of notice, short or long-term incentive or any other compensation or remuneration of any type. The Executive further acknowledges and agrees that the compensation set forth in this Section is sufficient consideration for the releases set forth herein, and that the Executive is not otherwise entitled to this consideration. In the event that the Executive does not sign[, or revokes,] this Release, the Executive shall not be entitled to any portion of the [Severance Benefits </w:t>
      </w:r>
      <w:r>
        <w:rPr>
          <w:rFonts w:ascii="Arial" w:cs="Arial" w:eastAsia="Arial" w:hAnsi="Arial"/>
          <w:sz w:val="19"/>
          <w:szCs w:val="19"/>
          <w:b w:val="1"/>
          <w:bCs w:val="1"/>
          <w:color w:val="auto"/>
        </w:rPr>
        <w:t>OR</w:t>
      </w:r>
      <w:r>
        <w:rPr>
          <w:rFonts w:ascii="Arial" w:cs="Arial" w:eastAsia="Arial" w:hAnsi="Arial"/>
          <w:sz w:val="19"/>
          <w:szCs w:val="19"/>
          <w:color w:val="auto"/>
        </w:rPr>
        <w:t xml:space="preserve"> Severance Payment].</w:t>
      </w:r>
    </w:p>
    <w:p>
      <w:pPr>
        <w:spacing w:after="0" w:line="186" w:lineRule="exact"/>
        <w:rPr>
          <w:rFonts w:ascii="Arial" w:cs="Arial" w:eastAsia="Arial" w:hAnsi="Arial"/>
          <w:sz w:val="21"/>
          <w:szCs w:val="21"/>
          <w:color w:val="auto"/>
        </w:rPr>
      </w:pPr>
    </w:p>
    <w:p>
      <w:pPr>
        <w:jc w:val="both"/>
        <w:ind w:left="332" w:hanging="332"/>
        <w:spacing w:after="0" w:line="268" w:lineRule="auto"/>
        <w:tabs>
          <w:tab w:leader="none" w:pos="33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In exchange for the consideration provided in this Release, the Executive, on behalf of the Executive and the Executive’s heirs, executors, representatives, agents, insurers, administrators, successors and assigns, irrevocably and unconditionally fully and forever waives, releases and discharges the Company and its current and former parent companies, subsidiaries and any affiliated companies as well as any of their respective current and former insurers, directors, officers, agents, shareholders, and employees, or any of their predecessors, successors or assigns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from any and all claims, demands, actions, causes of actions, obligations, judgments, rights, fees, damages, debts, obligations, liabilities and expenses (inclusive of attorneys’ fees) of any kind whatsoever (collectively, “</w:t>
      </w:r>
      <w:r>
        <w:rPr>
          <w:rFonts w:ascii="Arial" w:cs="Arial" w:eastAsia="Arial" w:hAnsi="Arial"/>
          <w:sz w:val="18"/>
          <w:szCs w:val="18"/>
          <w:b w:val="1"/>
          <w:bCs w:val="1"/>
          <w:color w:val="auto"/>
        </w:rPr>
        <w:t>Claims</w:t>
      </w:r>
      <w:r>
        <w:rPr>
          <w:rFonts w:ascii="Arial" w:cs="Arial" w:eastAsia="Arial" w:hAnsi="Arial"/>
          <w:sz w:val="18"/>
          <w:szCs w:val="18"/>
          <w:color w:val="auto"/>
        </w:rPr>
        <w:t>”), whether known or unknown, from the beginning of time to the date of the Executive’s execution of this Release, including, without limitation, any claims under any federal, state, local or foreign law, that the Executive may have, have ever had or may in the future have arising out of, or in any way related to, including but not limited to, (i) the Executive’s hire, benefits, employment, termination or separation from employment with the Company and any actual or alleged act, omission, transaction, practice, conduct, occurrence or other matter; (ii) any and all claims for compensation of any type whatsoever, including but not limited to claims for salary, wages, bonuses, commissions, incentive compensation, vacation and/or severance (excluding claims under any tax-qualified retirement plan or fully-insured welfare benefit plan); and (iii) any and all claims arising under tort, contract and/or quasi-contract law, including but not limited to claims of breach of an expressed or implied contract, tortious interference with contract or prospective business advantage, breach of the covenant of good faith and fair dealing, promissory estoppel, detrimental reliance, invasion of privacy, nonphysical injury, personal injury or sickness or any other harm, wrongful or retaliatory discharge, fraud, defamation, slander, libel, false imprisonment, negligent or intentional infliction of emotional distress. The Executive acknowledges and agrees that the Executive is releasing the Released Parties from all claims relating to or arising from the Executive’s employment with the Company to the fullest extent permitted by law. The Executive further acknowledges and agrees that this release provision includes, but is not limited to, rights and claims arising under Title VII of the Civil Rights Act, the Age Discrimination in Employment Act, the Older Workers Benefit Protection Act, the Americans with Disabilities Act, the Genetic Information Nondiscrimination Act, the Family and Medical Leave Act, and any state, municipal, or local statute, law, regulation or ordinance relating to employment, disputed wages, discrimination, retaliation, or leave.</w:t>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4332" w:hanging="120"/>
        <w:spacing w:after="0"/>
        <w:tabs>
          <w:tab w:leader="none" w:pos="4332" w:val="left"/>
        </w:tabs>
        <w:numPr>
          <w:ilvl w:val="2"/>
          <w:numId w:val="61"/>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232"/>
          </w:cols>
          <w:pgMar w:left="328" w:top="852" w:right="339" w:bottom="1440" w:gutter="0" w:footer="0" w:header="0"/>
        </w:sectPr>
      </w:pPr>
    </w:p>
    <w:bookmarkStart w:id="88" w:name="page89"/>
    <w:bookmarkEnd w:id="88"/>
    <w:p>
      <w:pPr>
        <w:jc w:val="both"/>
        <w:ind w:left="332" w:hanging="332"/>
        <w:spacing w:after="0" w:line="273" w:lineRule="auto"/>
        <w:tabs>
          <w:tab w:leader="none" w:pos="33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Release of Unknown Claims</w:t>
      </w:r>
      <w:r>
        <w:rPr>
          <w:rFonts w:ascii="Arial" w:cs="Arial" w:eastAsia="Arial" w:hAnsi="Arial"/>
          <w:sz w:val="18"/>
          <w:szCs w:val="18"/>
          <w:color w:val="auto"/>
        </w:rPr>
        <w:t>. For the purpose of implementing a full and complete release, the Executive expressly acknowledges that the release in this Release is intended to include in its effect, without limitation, claims that the Executive did not know or suspect to exist in his or her favor at the time of the execution of this Release, regardless of whether the knowledge of such claims, or the facts upon which they might be based, would materially have affected this Release, and that the consideration given under this Release was also for the release of those claims and contemplates the extinguishment of any such unknown claims. The Executive does hereby specifically assume such risk and agrees that this Release and, except as otherwise set forth in the Release, the releases contained herein shall and do apply to all unknown or unanticipated results of any and all matters caused by or connected with his or her employment with and separation from the Company, as well as those currently known or anticipated.</w:t>
      </w:r>
    </w:p>
    <w:p>
      <w:pPr>
        <w:spacing w:after="0" w:line="181" w:lineRule="exact"/>
        <w:rPr>
          <w:rFonts w:ascii="Arial" w:cs="Arial" w:eastAsia="Arial" w:hAnsi="Arial"/>
          <w:sz w:val="18"/>
          <w:szCs w:val="18"/>
          <w:color w:val="auto"/>
        </w:rPr>
      </w:pPr>
    </w:p>
    <w:p>
      <w:pPr>
        <w:ind w:left="332" w:hanging="332"/>
        <w:spacing w:after="0"/>
        <w:tabs>
          <w:tab w:leader="none" w:pos="332"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Waiver of Rights and Excluded Claims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52" w:hanging="409"/>
        <w:spacing w:after="0" w:line="266" w:lineRule="auto"/>
        <w:tabs>
          <w:tab w:leader="none" w:pos="652" w:val="left"/>
        </w:tabs>
        <w:numPr>
          <w:ilvl w:val="1"/>
          <w:numId w:val="62"/>
        </w:numPr>
        <w:rPr>
          <w:rFonts w:ascii="Arial" w:cs="Arial" w:eastAsia="Arial" w:hAnsi="Arial"/>
          <w:sz w:val="22"/>
          <w:szCs w:val="22"/>
          <w:color w:val="auto"/>
        </w:rPr>
      </w:pPr>
      <w:r>
        <w:rPr>
          <w:rFonts w:ascii="Arial" w:cs="Arial" w:eastAsia="Arial" w:hAnsi="Arial"/>
          <w:sz w:val="20"/>
          <w:szCs w:val="20"/>
          <w:color w:val="auto"/>
        </w:rPr>
        <w:t>The Executive waives any right to recover in a civil suit or proceeding brought by any governmental agency or other individual on the Executive’s behalf against the Company based on any act or omission arising or occurring prior to the date of the execution of this Release, whether known or unknown at the time of execution, or to participate in any such action brought by another individual. The Executive acknowledges and agrees that under no circumstances will the Executive be entitled to recover money damages or any other monies from the Company other than those described in this Release. The Executive waives all rights to monetary damages or individual relief resulting from any such charge or complaint brought before the EEOC or equivalent state or local employment rights agency.</w:t>
      </w:r>
    </w:p>
    <w:p>
      <w:pPr>
        <w:spacing w:after="0" w:line="215" w:lineRule="exact"/>
        <w:rPr>
          <w:rFonts w:ascii="Arial" w:cs="Arial" w:eastAsia="Arial" w:hAnsi="Arial"/>
          <w:sz w:val="22"/>
          <w:szCs w:val="22"/>
          <w:color w:val="auto"/>
        </w:rPr>
      </w:pPr>
    </w:p>
    <w:p>
      <w:pPr>
        <w:jc w:val="both"/>
        <w:ind w:left="652" w:hanging="409"/>
        <w:spacing w:after="0" w:line="265" w:lineRule="auto"/>
        <w:tabs>
          <w:tab w:leader="none" w:pos="652" w:val="left"/>
        </w:tabs>
        <w:numPr>
          <w:ilvl w:val="1"/>
          <w:numId w:val="62"/>
        </w:numPr>
        <w:rPr>
          <w:rFonts w:ascii="Arial" w:cs="Arial" w:eastAsia="Arial" w:hAnsi="Arial"/>
          <w:sz w:val="22"/>
          <w:szCs w:val="22"/>
          <w:color w:val="auto"/>
        </w:rPr>
      </w:pPr>
      <w:r>
        <w:rPr>
          <w:rFonts w:ascii="Arial" w:cs="Arial" w:eastAsia="Arial" w:hAnsi="Arial"/>
          <w:sz w:val="20"/>
          <w:szCs w:val="20"/>
          <w:color w:val="auto"/>
        </w:rPr>
        <w:t>Notwithstanding the foregoing or anything to the contrary in this Release, nothing contained in this Release (A) waives or releases the Executive’s right to (i) file a charge or complaint, participate in proceedings conducted by, or communicate with a government agency, (ii) to bring future claims arising after the Separation Date, and/or (B) limits the Executive’s right to enforce the terms of this Release.</w:t>
      </w:r>
    </w:p>
    <w:p>
      <w:pPr>
        <w:spacing w:after="0" w:line="200" w:lineRule="exact"/>
        <w:rPr>
          <w:rFonts w:ascii="Arial" w:cs="Arial" w:eastAsia="Arial" w:hAnsi="Arial"/>
          <w:sz w:val="22"/>
          <w:szCs w:val="22"/>
          <w:color w:val="auto"/>
        </w:rPr>
      </w:pPr>
    </w:p>
    <w:p>
      <w:pPr>
        <w:jc w:val="both"/>
        <w:ind w:left="332" w:hanging="332"/>
        <w:spacing w:after="0" w:line="246" w:lineRule="auto"/>
        <w:tabs>
          <w:tab w:leader="none" w:pos="332"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Return of Property</w:t>
      </w:r>
      <w:r>
        <w:rPr>
          <w:rFonts w:ascii="Arial" w:cs="Arial" w:eastAsia="Arial" w:hAnsi="Arial"/>
          <w:sz w:val="20"/>
          <w:szCs w:val="20"/>
          <w:color w:val="auto"/>
        </w:rPr>
        <w:t>. By signing this Release, the Executive represents that the Executive has returned all Company property, including car, identification cards or badges, access codes or devices, keys, laptops, computers, telephones, mobile phones, hand-held electronic devices, credit cards, electronically stored documents or files, physical files and any other Company property previously in the Executive’s possession.</w:t>
      </w:r>
    </w:p>
    <w:p>
      <w:pPr>
        <w:spacing w:after="0" w:line="204" w:lineRule="exact"/>
        <w:rPr>
          <w:rFonts w:ascii="Arial" w:cs="Arial" w:eastAsia="Arial" w:hAnsi="Arial"/>
          <w:sz w:val="20"/>
          <w:szCs w:val="20"/>
          <w:color w:val="auto"/>
        </w:rPr>
      </w:pPr>
    </w:p>
    <w:p>
      <w:pPr>
        <w:jc w:val="both"/>
        <w:ind w:left="332" w:hanging="332"/>
        <w:spacing w:after="0" w:line="272" w:lineRule="auto"/>
        <w:tabs>
          <w:tab w:leader="none" w:pos="33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The Executive represents that the Executive is the only person able to assert any right or claim arising out of the Executive’s employment with or separation from the Company. The Executive represents that the Executive has not: (i) brought a charge or suit against the Company in connection with any of the Claims, including, but not limited to, any claim or charge before the EEOC, or</w:t>
      </w:r>
    </w:p>
    <w:p>
      <w:pPr>
        <w:ind w:left="332" w:hanging="8"/>
        <w:spacing w:after="0" w:line="244" w:lineRule="auto"/>
        <w:tabs>
          <w:tab w:leader="none" w:pos="630" w:val="left"/>
        </w:tabs>
        <w:numPr>
          <w:ilvl w:val="2"/>
          <w:numId w:val="62"/>
        </w:numPr>
        <w:rPr>
          <w:rFonts w:ascii="Arial" w:cs="Arial" w:eastAsia="Arial" w:hAnsi="Arial"/>
          <w:sz w:val="20"/>
          <w:szCs w:val="20"/>
          <w:color w:val="auto"/>
        </w:rPr>
      </w:pPr>
      <w:r>
        <w:rPr>
          <w:rFonts w:ascii="Arial" w:cs="Arial" w:eastAsia="Arial" w:hAnsi="Arial"/>
          <w:sz w:val="20"/>
          <w:szCs w:val="20"/>
          <w:color w:val="auto"/>
        </w:rPr>
        <w:t>assigned or transferred or purported to assign or transfer, to any person or entity, any Claim or any portion thereof or interest therein which the Executive may have against the Company.</w:t>
      </w:r>
    </w:p>
    <w:p>
      <w:pPr>
        <w:spacing w:after="0" w:line="204" w:lineRule="exact"/>
        <w:rPr>
          <w:rFonts w:ascii="Arial" w:cs="Arial" w:eastAsia="Arial" w:hAnsi="Arial"/>
          <w:sz w:val="20"/>
          <w:szCs w:val="20"/>
          <w:color w:val="auto"/>
        </w:rPr>
      </w:pPr>
    </w:p>
    <w:p>
      <w:pPr>
        <w:ind w:left="332" w:hanging="332"/>
        <w:spacing w:after="0"/>
        <w:tabs>
          <w:tab w:leader="none" w:pos="332"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Notice and Revocation</w:t>
      </w:r>
      <w:r>
        <w:rPr>
          <w:rFonts w:ascii="Arial" w:cs="Arial" w:eastAsia="Arial" w:hAnsi="Arial"/>
          <w:sz w:val="20"/>
          <w:szCs w:val="20"/>
          <w:color w:val="auto"/>
        </w:rPr>
        <w:t>.</w:t>
      </w:r>
    </w:p>
    <w:p>
      <w:pPr>
        <w:spacing w:after="0" w:line="223" w:lineRule="exact"/>
        <w:rPr>
          <w:rFonts w:ascii="Arial" w:cs="Arial" w:eastAsia="Arial" w:hAnsi="Arial"/>
          <w:sz w:val="20"/>
          <w:szCs w:val="20"/>
          <w:color w:val="auto"/>
        </w:rPr>
      </w:pPr>
    </w:p>
    <w:p>
      <w:pPr>
        <w:jc w:val="both"/>
        <w:ind w:left="652" w:hanging="409"/>
        <w:spacing w:after="0" w:line="265" w:lineRule="auto"/>
        <w:tabs>
          <w:tab w:leader="none" w:pos="652"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The Executive acknowledges that the Executive was given at least [twenty-one (21) </w:t>
      </w:r>
      <w:r>
        <w:rPr>
          <w:rFonts w:ascii="Arial" w:cs="Arial" w:eastAsia="Arial" w:hAnsi="Arial"/>
          <w:sz w:val="19"/>
          <w:szCs w:val="19"/>
          <w:b w:val="1"/>
          <w:bCs w:val="1"/>
          <w:color w:val="auto"/>
        </w:rPr>
        <w:t>OR</w:t>
      </w:r>
      <w:r>
        <w:rPr>
          <w:rFonts w:ascii="Arial" w:cs="Arial" w:eastAsia="Arial" w:hAnsi="Arial"/>
          <w:sz w:val="19"/>
          <w:szCs w:val="19"/>
          <w:color w:val="auto"/>
        </w:rPr>
        <w:t xml:space="preserve"> forty-five (45)] days to consider the terms of this Release and consult with an attorney of the Executive’s choice. To the extent that the Executive elects to enter into this Release prior to the expiration of such period, the Executive acknowledges that the Executive has done so voluntarily and has knowingly waived the balance of such consideration period. </w:t>
      </w:r>
      <w:r>
        <w:rPr>
          <w:rFonts w:ascii="Arial" w:cs="Arial" w:eastAsia="Arial" w:hAnsi="Arial"/>
          <w:sz w:val="19"/>
          <w:szCs w:val="19"/>
          <w:b w:val="1"/>
          <w:bCs w:val="1"/>
          <w:color w:val="auto"/>
        </w:rPr>
        <w:t>The Executive understands that, to</w:t>
      </w:r>
    </w:p>
    <w:p>
      <w:pPr>
        <w:spacing w:after="0" w:line="183" w:lineRule="exact"/>
        <w:rPr>
          <w:rFonts w:ascii="Arial" w:cs="Arial" w:eastAsia="Arial" w:hAnsi="Arial"/>
          <w:sz w:val="19"/>
          <w:szCs w:val="19"/>
          <w:color w:val="auto"/>
        </w:rPr>
      </w:pPr>
    </w:p>
    <w:p>
      <w:pPr>
        <w:ind w:left="4332" w:hanging="120"/>
        <w:spacing w:after="0"/>
        <w:tabs>
          <w:tab w:leader="none" w:pos="4332" w:val="left"/>
        </w:tabs>
        <w:numPr>
          <w:ilvl w:val="3"/>
          <w:numId w:val="62"/>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32"/>
          </w:cols>
          <w:pgMar w:left="328" w:top="852" w:right="339" w:bottom="1440" w:gutter="0" w:footer="0" w:header="0"/>
        </w:sectPr>
      </w:pPr>
    </w:p>
    <w:bookmarkStart w:id="89" w:name="page90"/>
    <w:bookmarkEnd w:id="89"/>
    <w:p>
      <w:pPr>
        <w:jc w:val="both"/>
        <w:ind w:left="652"/>
        <w:spacing w:after="0" w:line="221" w:lineRule="auto"/>
        <w:rPr>
          <w:sz w:val="20"/>
          <w:szCs w:val="20"/>
          <w:color w:val="auto"/>
        </w:rPr>
      </w:pPr>
      <w:r>
        <w:rPr>
          <w:rFonts w:ascii="Arial" w:cs="Arial" w:eastAsia="Arial" w:hAnsi="Arial"/>
          <w:sz w:val="20"/>
          <w:szCs w:val="20"/>
          <w:b w:val="1"/>
          <w:bCs w:val="1"/>
          <w:color w:val="auto"/>
        </w:rPr>
        <w:t>be eligible for the [Severance Benefits OR Severance Payment</w:t>
      </w:r>
      <w:r>
        <w:rPr>
          <w:rFonts w:ascii="Arial" w:cs="Arial" w:eastAsia="Arial" w:hAnsi="Arial"/>
          <w:sz w:val="20"/>
          <w:szCs w:val="20"/>
          <w:color w:val="auto"/>
        </w:rPr>
        <w:t>]</w:t>
      </w:r>
      <w:r>
        <w:rPr>
          <w:rFonts w:ascii="Arial" w:cs="Arial" w:eastAsia="Arial" w:hAnsi="Arial"/>
          <w:sz w:val="20"/>
          <w:szCs w:val="20"/>
          <w:b w:val="1"/>
          <w:bCs w:val="1"/>
          <w:color w:val="auto"/>
        </w:rPr>
        <w:t>, the Executive must return this Release, signed and dated, no later than 11:59pm ET on the [twenty-first (21</w:t>
      </w:r>
      <w:r>
        <w:rPr>
          <w:rFonts w:ascii="Arial" w:cs="Arial" w:eastAsia="Arial" w:hAnsi="Arial"/>
          <w:sz w:val="25"/>
          <w:szCs w:val="25"/>
          <w:b w:val="1"/>
          <w:bCs w:val="1"/>
          <w:color w:val="auto"/>
          <w:vertAlign w:val="superscript"/>
        </w:rPr>
        <w:t>st</w:t>
      </w:r>
      <w:r>
        <w:rPr>
          <w:rFonts w:ascii="Arial" w:cs="Arial" w:eastAsia="Arial" w:hAnsi="Arial"/>
          <w:sz w:val="20"/>
          <w:szCs w:val="20"/>
          <w:b w:val="1"/>
          <w:bCs w:val="1"/>
          <w:color w:val="auto"/>
        </w:rPr>
        <w:t>) OR forty-fifth (45</w:t>
      </w:r>
      <w:r>
        <w:rPr>
          <w:rFonts w:ascii="Arial" w:cs="Arial" w:eastAsia="Arial" w:hAnsi="Arial"/>
          <w:sz w:val="25"/>
          <w:szCs w:val="25"/>
          <w:b w:val="1"/>
          <w:bCs w:val="1"/>
          <w:color w:val="auto"/>
          <w:vertAlign w:val="superscript"/>
        </w:rPr>
        <w:t>th</w:t>
      </w:r>
      <w:r>
        <w:rPr>
          <w:rFonts w:ascii="Arial" w:cs="Arial" w:eastAsia="Arial" w:hAnsi="Arial"/>
          <w:sz w:val="20"/>
          <w:szCs w:val="20"/>
          <w:b w:val="1"/>
          <w:bCs w:val="1"/>
          <w:color w:val="auto"/>
        </w:rPr>
        <w:t>)] day after Executive receives this Release, to the Company at: [ADDRESS].</w:t>
      </w:r>
    </w:p>
    <w:p>
      <w:pPr>
        <w:spacing w:after="0" w:line="189" w:lineRule="exact"/>
        <w:rPr>
          <w:sz w:val="20"/>
          <w:szCs w:val="20"/>
          <w:color w:val="auto"/>
        </w:rPr>
      </w:pPr>
    </w:p>
    <w:p>
      <w:pPr>
        <w:jc w:val="both"/>
        <w:ind w:left="652" w:hanging="409"/>
        <w:spacing w:after="0" w:line="232" w:lineRule="auto"/>
        <w:tabs>
          <w:tab w:leader="none" w:pos="652" w:val="left"/>
        </w:tabs>
        <w:numPr>
          <w:ilvl w:val="1"/>
          <w:numId w:val="63"/>
        </w:numPr>
        <w:rPr>
          <w:rFonts w:ascii="Arial" w:cs="Arial" w:eastAsia="Arial" w:hAnsi="Arial"/>
          <w:sz w:val="20"/>
          <w:szCs w:val="20"/>
          <w:color w:val="auto"/>
        </w:rPr>
      </w:pPr>
      <w:r>
        <w:rPr>
          <w:rFonts w:ascii="Arial" w:cs="Arial" w:eastAsia="Arial" w:hAnsi="Arial"/>
          <w:sz w:val="20"/>
          <w:szCs w:val="20"/>
          <w:b w:val="1"/>
          <w:bCs w:val="1"/>
          <w:color w:val="auto"/>
        </w:rPr>
        <w:t xml:space="preserve">The Executive understands that Executive has seven (7) days from the date the Executive signs this Release to revoke the Release by delivering notice of revocation by 11:59pm ET to [ADDRESS] before the end of such seven-day period, </w:t>
      </w:r>
      <w:r>
        <w:rPr>
          <w:rFonts w:ascii="Arial" w:cs="Arial" w:eastAsia="Arial" w:hAnsi="Arial"/>
          <w:sz w:val="20"/>
          <w:szCs w:val="20"/>
          <w:color w:val="auto"/>
        </w:rPr>
        <w:t>and that</w:t>
      </w:r>
      <w:r>
        <w:rPr>
          <w:rFonts w:ascii="Arial" w:cs="Arial" w:eastAsia="Arial" w:hAnsi="Arial"/>
          <w:sz w:val="20"/>
          <w:szCs w:val="20"/>
          <w:b w:val="1"/>
          <w:bCs w:val="1"/>
          <w:color w:val="auto"/>
        </w:rPr>
        <w:t xml:space="preserve"> </w:t>
      </w:r>
      <w:r>
        <w:rPr>
          <w:rFonts w:ascii="Arial" w:cs="Arial" w:eastAsia="Arial" w:hAnsi="Arial"/>
          <w:sz w:val="20"/>
          <w:szCs w:val="20"/>
          <w:color w:val="auto"/>
        </w:rPr>
        <w:t>this Release will not become effective until the eighth (8</w:t>
      </w:r>
      <w:r>
        <w:rPr>
          <w:rFonts w:ascii="Arial" w:cs="Arial" w:eastAsia="Arial" w:hAnsi="Arial"/>
          <w:sz w:val="25"/>
          <w:szCs w:val="25"/>
          <w:color w:val="auto"/>
          <w:vertAlign w:val="superscript"/>
        </w:rPr>
        <w:t>th</w:t>
      </w:r>
      <w:r>
        <w:rPr>
          <w:rFonts w:ascii="Arial" w:cs="Arial" w:eastAsia="Arial" w:hAnsi="Arial"/>
          <w:sz w:val="20"/>
          <w:szCs w:val="20"/>
          <w:color w:val="auto"/>
        </w:rPr>
        <w:t>) day after the Executive has delivered this Release, signed and dated, to the Company without revoking the Release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332" w:hanging="332"/>
        <w:spacing w:after="0" w:line="272" w:lineRule="auto"/>
        <w:tabs>
          <w:tab w:leader="none" w:pos="332"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xml:space="preserve">. The Executive acknowledges that, as a condition of receipt of the [Severance Benefits </w:t>
      </w:r>
      <w:r>
        <w:rPr>
          <w:rFonts w:ascii="Arial" w:cs="Arial" w:eastAsia="Arial" w:hAnsi="Arial"/>
          <w:sz w:val="19"/>
          <w:szCs w:val="19"/>
          <w:b w:val="1"/>
          <w:bCs w:val="1"/>
          <w:color w:val="auto"/>
        </w:rPr>
        <w:t>OR</w:t>
      </w:r>
      <w:r>
        <w:rPr>
          <w:rFonts w:ascii="Arial" w:cs="Arial" w:eastAsia="Arial" w:hAnsi="Arial"/>
          <w:sz w:val="19"/>
          <w:szCs w:val="19"/>
          <w:color w:val="auto"/>
        </w:rPr>
        <w:t xml:space="preserve"> Severance Payment], the Executive shall continue to be bound by the covenants and obligations in the Employment Agreement, to the extent that such covenants and obligations are meant to survive the termination of the Executive’s employment.</w:t>
      </w:r>
    </w:p>
    <w:p>
      <w:pPr>
        <w:spacing w:after="0" w:line="181" w:lineRule="exact"/>
        <w:rPr>
          <w:rFonts w:ascii="Arial" w:cs="Arial" w:eastAsia="Arial" w:hAnsi="Arial"/>
          <w:sz w:val="19"/>
          <w:szCs w:val="19"/>
          <w:color w:val="auto"/>
        </w:rPr>
      </w:pPr>
    </w:p>
    <w:p>
      <w:pPr>
        <w:jc w:val="both"/>
        <w:ind w:left="332" w:hanging="332"/>
        <w:spacing w:after="0" w:line="250" w:lineRule="auto"/>
        <w:tabs>
          <w:tab w:leader="none" w:pos="33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Confidentiality of Release</w:t>
      </w:r>
      <w:r>
        <w:rPr>
          <w:rFonts w:ascii="Arial" w:cs="Arial" w:eastAsia="Arial" w:hAnsi="Arial"/>
          <w:sz w:val="20"/>
          <w:szCs w:val="20"/>
          <w:color w:val="auto"/>
        </w:rPr>
        <w:t>. The Executive understands and agrees that the terms of this Release are strictly confidential and shall not be disclosed to any third party (other than the Executive’s immediate family, the Company, or legal advisors or as required by law) without the prior written consent of the Company.</w:t>
      </w:r>
    </w:p>
    <w:p>
      <w:pPr>
        <w:spacing w:after="0" w:line="199" w:lineRule="exact"/>
        <w:rPr>
          <w:rFonts w:ascii="Arial" w:cs="Arial" w:eastAsia="Arial" w:hAnsi="Arial"/>
          <w:sz w:val="20"/>
          <w:szCs w:val="20"/>
          <w:color w:val="auto"/>
        </w:rPr>
      </w:pPr>
    </w:p>
    <w:p>
      <w:pPr>
        <w:jc w:val="both"/>
        <w:ind w:left="332" w:hanging="332"/>
        <w:spacing w:after="0" w:line="246" w:lineRule="auto"/>
        <w:tabs>
          <w:tab w:leader="none" w:pos="332" w:val="left"/>
        </w:tabs>
        <w:numPr>
          <w:ilvl w:val="0"/>
          <w:numId w:val="64"/>
        </w:numPr>
        <w:rPr>
          <w:rFonts w:ascii="Arial" w:cs="Arial" w:eastAsia="Arial" w:hAnsi="Arial"/>
          <w:sz w:val="20"/>
          <w:szCs w:val="20"/>
          <w:color w:val="auto"/>
        </w:rPr>
      </w:pPr>
      <w:r>
        <w:rPr>
          <w:rFonts w:ascii="Arial" w:cs="Arial" w:eastAsia="Arial" w:hAnsi="Arial"/>
          <w:sz w:val="20"/>
          <w:szCs w:val="20"/>
          <w:u w:val="single" w:color="auto"/>
          <w:color w:val="auto"/>
        </w:rPr>
        <w:t>No Admission of Liability.</w:t>
      </w:r>
      <w:r>
        <w:rPr>
          <w:rFonts w:ascii="Arial" w:cs="Arial" w:eastAsia="Arial" w:hAnsi="Arial"/>
          <w:sz w:val="20"/>
          <w:szCs w:val="20"/>
          <w:color w:val="auto"/>
        </w:rPr>
        <w:t xml:space="preserve"> The Executive agrees that the Company does not admit any allegations made against it in any claims, charges, complaints, actions, causes of action, suits, grievances, controversies, disputes, or demands. Nothing contained in this Release, nor any of the acts taken thereunder, will be deemed or construed as an admission of liability of any violation of any applicable law, statute, ordinance, order, regulation, or constitution of any kind.</w:t>
      </w:r>
    </w:p>
    <w:p>
      <w:pPr>
        <w:spacing w:after="0" w:line="204" w:lineRule="exact"/>
        <w:rPr>
          <w:rFonts w:ascii="Arial" w:cs="Arial" w:eastAsia="Arial" w:hAnsi="Arial"/>
          <w:sz w:val="20"/>
          <w:szCs w:val="20"/>
          <w:color w:val="auto"/>
        </w:rPr>
      </w:pPr>
    </w:p>
    <w:p>
      <w:pPr>
        <w:jc w:val="both"/>
        <w:ind w:left="332" w:hanging="332"/>
        <w:spacing w:after="0" w:line="291" w:lineRule="auto"/>
        <w:tabs>
          <w:tab w:leader="none" w:pos="33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Reimbursement of Costs</w:t>
      </w:r>
      <w:r>
        <w:rPr>
          <w:rFonts w:ascii="Arial" w:cs="Arial" w:eastAsia="Arial" w:hAnsi="Arial"/>
          <w:sz w:val="18"/>
          <w:szCs w:val="18"/>
          <w:color w:val="auto"/>
        </w:rPr>
        <w:t>. The Executive agrees that, if the Executive violates the terms of this release or brings suit against the Company based on events occurring prior to the Executive signing this Release (other than to enforce the terms of this Release), the Executive will reimburse the Company for any attorney fees, costs, or other damages arising from the Executive’s breach of the release.</w:t>
      </w:r>
    </w:p>
    <w:p>
      <w:pPr>
        <w:spacing w:after="0" w:line="165" w:lineRule="exact"/>
        <w:rPr>
          <w:rFonts w:ascii="Arial" w:cs="Arial" w:eastAsia="Arial" w:hAnsi="Arial"/>
          <w:sz w:val="18"/>
          <w:szCs w:val="18"/>
          <w:color w:val="auto"/>
        </w:rPr>
      </w:pPr>
    </w:p>
    <w:p>
      <w:pPr>
        <w:jc w:val="both"/>
        <w:ind w:left="332" w:hanging="332"/>
        <w:spacing w:after="0" w:line="269" w:lineRule="auto"/>
        <w:tabs>
          <w:tab w:leader="none" w:pos="33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 and Forum</w:t>
      </w:r>
      <w:r>
        <w:rPr>
          <w:rFonts w:ascii="Arial" w:cs="Arial" w:eastAsia="Arial" w:hAnsi="Arial"/>
          <w:sz w:val="18"/>
          <w:szCs w:val="18"/>
          <w:color w:val="auto"/>
        </w:rPr>
        <w:t>. This Release will be governed and construed and enforced in accordance with the laws of the State of California without regard to its conflicts of law rules. Any controversy, dispute or claim arising out of this Release shall first be settled through good faith negotiation. If the parties are unsuccessful at resolving the dispute through negotiation, except for injunctive or other equitable relief or as otherwise provided in this Release, any and all legal proceedings arising out of or relating to this Release shall be resolved through a confidential arbitration administered by Judicial Arbitration &amp; Mediation Services, Inc. (“</w:t>
      </w:r>
      <w:r>
        <w:rPr>
          <w:rFonts w:ascii="Arial" w:cs="Arial" w:eastAsia="Arial" w:hAnsi="Arial"/>
          <w:sz w:val="18"/>
          <w:szCs w:val="18"/>
          <w:u w:val="single" w:color="auto"/>
          <w:color w:val="auto"/>
        </w:rPr>
        <w:t>JAMS</w:t>
      </w:r>
      <w:r>
        <w:rPr>
          <w:rFonts w:ascii="Arial" w:cs="Arial" w:eastAsia="Arial" w:hAnsi="Arial"/>
          <w:sz w:val="18"/>
          <w:szCs w:val="18"/>
          <w:color w:val="auto"/>
        </w:rPr>
        <w:t>”) pursuant to the JAMS Employment Arbitration Rules and Procedures, or successor rules then in effect and to the extent permitted by law. The rules and further information are available at www.jamsadr.com. The Federal Arbitration Act, as then in effect, shall govern the interpretation and enforcement of such arbitration proceeding. The arbitrator shall apply California State law to the merits of any dispute or claim, without reference to rules of conflict of law. Any determination or decision by the arbitrator will be final and binding upon the parties and may be enforced in any court of law. The parties agree that any arbitration will take place on an individual, and not on a class, basis. Subject to the provisions of this Section regarding arbitration, the Executive and the Company hereby submit to the exclusive jurisdiction and venue of the federal and state courts located in California for the resolution of any and all claims, causes of action or disputes arising out of, related to the enforcement, if necessary, of any arbitral award made pursuant to the provisions of this Section, and the Executive agrees to waive any claim relating to forum non conveniens.</w:t>
      </w:r>
    </w:p>
    <w:p>
      <w:pPr>
        <w:spacing w:after="0" w:line="189" w:lineRule="exact"/>
        <w:rPr>
          <w:rFonts w:ascii="Arial" w:cs="Arial" w:eastAsia="Arial" w:hAnsi="Arial"/>
          <w:sz w:val="18"/>
          <w:szCs w:val="18"/>
          <w:color w:val="auto"/>
        </w:rPr>
      </w:pPr>
    </w:p>
    <w:p>
      <w:pPr>
        <w:ind w:left="4332" w:hanging="120"/>
        <w:spacing w:after="0"/>
        <w:tabs>
          <w:tab w:leader="none" w:pos="4332" w:val="left"/>
        </w:tabs>
        <w:numPr>
          <w:ilvl w:val="2"/>
          <w:numId w:val="64"/>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232"/>
          </w:cols>
          <w:pgMar w:left="328" w:top="846" w:right="339" w:bottom="1440" w:gutter="0" w:footer="0" w:header="0"/>
        </w:sectPr>
      </w:pPr>
    </w:p>
    <w:bookmarkStart w:id="90" w:name="page91"/>
    <w:bookmarkEnd w:id="90"/>
    <w:p>
      <w:pPr>
        <w:spacing w:after="0"/>
        <w:tabs>
          <w:tab w:leader="none" w:pos="1900" w:val="left"/>
        </w:tabs>
        <w:rPr>
          <w:sz w:val="20"/>
          <w:szCs w:val="20"/>
          <w:color w:val="auto"/>
        </w:rPr>
      </w:pPr>
      <w:r>
        <w:rPr>
          <w:rFonts w:ascii="Arial" w:cs="Arial" w:eastAsia="Arial" w:hAnsi="Arial"/>
          <w:sz w:val="20"/>
          <w:szCs w:val="20"/>
          <w:b w:val="1"/>
          <w:bCs w:val="1"/>
          <w:color w:val="auto"/>
        </w:rPr>
        <w:t>Executive Initials</w:t>
      </w:r>
      <w:r>
        <w:rPr>
          <w:sz w:val="20"/>
          <w:szCs w:val="20"/>
          <w:color w:val="auto"/>
        </w:rPr>
        <w:tab/>
      </w:r>
      <w:r>
        <w:rPr>
          <w:rFonts w:ascii="Arial" w:cs="Arial" w:eastAsia="Arial" w:hAnsi="Arial"/>
          <w:sz w:val="16"/>
          <w:szCs w:val="16"/>
          <w:b w:val="1"/>
          <w:bCs w:val="1"/>
          <w:color w:val="auto"/>
        </w:rPr>
        <w:t>Company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-10795</wp:posOffset>
            </wp:positionV>
            <wp:extent cx="1257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-10795</wp:posOffset>
            </wp:positionV>
            <wp:extent cx="1257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69" w:lineRule="exact"/>
        <w:rPr>
          <w:sz w:val="20"/>
          <w:szCs w:val="20"/>
          <w:color w:val="auto"/>
        </w:rPr>
      </w:pPr>
    </w:p>
    <w:p>
      <w:pPr>
        <w:jc w:val="both"/>
        <w:ind w:left="340" w:hanging="332"/>
        <w:spacing w:after="0" w:line="244" w:lineRule="auto"/>
        <w:tabs>
          <w:tab w:leader="none" w:pos="34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term or provision of this Release that is determined to be invalid or unenforceable by any court of competent jurisdiction in any jurisdiction shall, as to such jurisdiction, be ineffective to the extent of such invalidity or unenforceability without rendering invalid or unenforceable the remaining terms and provisions of this Release or affecting the validity or enforceability of any of the terms or provisions of this Release in any other jurisdiction, and such invalid or unenforceable provision shall be modified by such court so that it is enforceable to the extent permitted by applicable law.</w:t>
      </w:r>
    </w:p>
    <w:p>
      <w:pPr>
        <w:spacing w:after="0" w:line="207" w:lineRule="exact"/>
        <w:rPr>
          <w:rFonts w:ascii="Arial" w:cs="Arial" w:eastAsia="Arial" w:hAnsi="Arial"/>
          <w:sz w:val="20"/>
          <w:szCs w:val="20"/>
          <w:color w:val="auto"/>
        </w:rPr>
      </w:pPr>
    </w:p>
    <w:p>
      <w:pPr>
        <w:jc w:val="both"/>
        <w:ind w:left="340" w:hanging="332"/>
        <w:spacing w:after="0" w:line="244" w:lineRule="auto"/>
        <w:tabs>
          <w:tab w:leader="none" w:pos="340"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Counterpart</w:t>
      </w:r>
      <w:r>
        <w:rPr>
          <w:rFonts w:ascii="Arial" w:cs="Arial" w:eastAsia="Arial" w:hAnsi="Arial"/>
          <w:sz w:val="20"/>
          <w:szCs w:val="20"/>
          <w:color w:val="auto"/>
        </w:rPr>
        <w:t>s. This Release may be executed in one or more counterparts, each of which shall be deemed an original but all of which shall together be one and the same agreement. The Parties agree that signatures transmitted by facsimile or electronic mail will be deemed originals and that a facsimile, photocopy, or scanned image of this Release, including without limitation counterparts and any signature(s) or other marks thereon, shall be admissible in any legal, administrative, or other proceeding related to this Release with the same weight and binding effect as an original.</w:t>
      </w:r>
    </w:p>
    <w:p>
      <w:pPr>
        <w:spacing w:after="0" w:line="207" w:lineRule="exact"/>
        <w:rPr>
          <w:rFonts w:ascii="Arial" w:cs="Arial" w:eastAsia="Arial" w:hAnsi="Arial"/>
          <w:sz w:val="20"/>
          <w:szCs w:val="20"/>
          <w:color w:val="auto"/>
        </w:rPr>
      </w:pPr>
    </w:p>
    <w:p>
      <w:pPr>
        <w:jc w:val="both"/>
        <w:ind w:left="340" w:hanging="332"/>
        <w:spacing w:after="0" w:line="278"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Waiver; Amendments</w:t>
      </w:r>
      <w:r>
        <w:rPr>
          <w:rFonts w:ascii="Arial" w:cs="Arial" w:eastAsia="Arial" w:hAnsi="Arial"/>
          <w:sz w:val="18"/>
          <w:szCs w:val="18"/>
          <w:color w:val="auto"/>
        </w:rPr>
        <w:t>. Any waiver by either Party of a breach of any provision of this Release will not operate as, or be construed to be, a waiver of any other breach of such provision of this Release. The failure of either Party to insist on strict adherence to any term of this Release on one or more occasions will not be considered a waiver or deprive either Party of the right thereafter to insist on strict adherence to that term or any other term of this Release. Neither this Release nor any part of it may be waived, changed, or terminated orally. Any waiver, amendment or modification must be in a writing signed by both the Executive and the Company.</w:t>
      </w:r>
    </w:p>
    <w:p>
      <w:pPr>
        <w:spacing w:after="0" w:line="178" w:lineRule="exact"/>
        <w:rPr>
          <w:rFonts w:ascii="Arial" w:cs="Arial" w:eastAsia="Arial" w:hAnsi="Arial"/>
          <w:sz w:val="18"/>
          <w:szCs w:val="18"/>
          <w:color w:val="auto"/>
        </w:rPr>
      </w:pPr>
    </w:p>
    <w:p>
      <w:pPr>
        <w:jc w:val="both"/>
        <w:ind w:left="340" w:hanging="332"/>
        <w:spacing w:after="0" w:line="282"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Entire Agreement; Construction</w:t>
      </w:r>
      <w:r>
        <w:rPr>
          <w:rFonts w:ascii="Arial" w:cs="Arial" w:eastAsia="Arial" w:hAnsi="Arial"/>
          <w:sz w:val="18"/>
          <w:szCs w:val="18"/>
          <w:color w:val="auto"/>
        </w:rPr>
        <w:t>. This Release, together with the Employment Agreement, contains the entire understanding of the Parties relating to the subject matter of this Release and supersedes all other prior written or oral agreements, understandings or arrangements between the Parties relating to the subject matter of this Release. The Executive acknowledges that, in entering into this Release, the Executive did not rely and has not relied on any statements or representations not contained in this Release.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40"/>
          </w:cols>
          <w:pgMar w:left="320" w:top="1075" w:right="339" w:bottom="1440" w:gutter="0" w:footer="0" w:header="0"/>
        </w:sectPr>
      </w:pPr>
    </w:p>
    <w:bookmarkStart w:id="91" w:name="page92"/>
    <w:bookmarkEnd w:id="91"/>
    <w:p>
      <w:pPr>
        <w:ind w:left="2880"/>
        <w:spacing w:after="0"/>
        <w:rPr>
          <w:sz w:val="20"/>
          <w:szCs w:val="20"/>
          <w:color w:val="auto"/>
        </w:rPr>
      </w:pPr>
      <w:r>
        <w:rPr>
          <w:rFonts w:ascii="Arial" w:cs="Arial" w:eastAsia="Arial" w:hAnsi="Arial"/>
          <w:sz w:val="20"/>
          <w:szCs w:val="20"/>
          <w:b w:val="1"/>
          <w:bCs w:val="1"/>
          <w:color w:val="auto"/>
        </w:rPr>
        <w:t>Executive’s Acknowledgment of Knowing and Voluntary Release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BY EXECUTING THIS RELEASE, I ACKNOWLEDGE: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 HAVE CAREFULLY READ THIS RELEASE AND I FULLY UNDERSTAND ALL OF THE PROVISIONS OF THIS RELEASE.</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 HAVE BEEN ENCOURAGED AND ADVISED IN WRITING TO SEEK ADVICE FROM COUNSEL OF MY CHOOSING REGARDING THIS RELEASE AND HAVE DONE SO TO THE EXTENT I DEEM APPROPRIATE.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 HAVE BEEN GIVEN ADEQUATE TIME, TWENTY ONE (21) BUSINESS DAYS, TO REVIEW THE RELEASE.]</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SIGNING THIS RELEASE, I AM NOT RELYING ON ANY REPRESENTATION OR STATEMENT (WRITTEN OR ORAL) NOT SPECIFICALLY SET FORTH HEREIN BY THE EMPLOYER OR ANY OF ITS REPRESENTATIVES WITH REGARD TO THE SUBJECT MATTER, BASIS, OR EFFECT OF THIS RELEASE OR OTHERWISE.</w:t>
      </w:r>
    </w:p>
    <w:p>
      <w:pPr>
        <w:spacing w:after="0" w:line="19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 WAS NOT COERCED, THREATENED, OR OTHERWISE FORCED TO SIGN THIS RELEASE. I AM VOLUNTARILY SIGNING AND DELIVERING THIS RELEASE.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 UNDERSTAND THAT BY SIGNING THIS RELEASE I ACCEPT THE EMPLOYER’S OFFER.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executed this Release Agreement.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TO AND ACCEPTED:</w:t>
      </w:r>
    </w:p>
    <w:p>
      <w:pPr>
        <w:sectPr>
          <w:pgSz w:w="11900" w:h="16838" w:orient="portrait"/>
          <w:cols w:equalWidth="0" w:num="1">
            <w:col w:w="11240"/>
          </w:cols>
          <w:pgMar w:left="320" w:top="1291" w:right="339" w:bottom="1440" w:gutter="0" w:footer="0" w:header="0"/>
        </w:sect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By Executive: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Company:</w:t>
      </w:r>
    </w:p>
    <w:p>
      <w:pPr>
        <w:spacing w:after="0" w:line="200" w:lineRule="exact"/>
        <w:rPr>
          <w:sz w:val="20"/>
          <w:szCs w:val="20"/>
          <w:color w:val="auto"/>
        </w:rPr>
      </w:pPr>
    </w:p>
    <w:p>
      <w:pPr>
        <w:sectPr>
          <w:pgSz w:w="11900" w:h="16838" w:orient="portrait"/>
          <w:cols w:equalWidth="0" w:num="2">
            <w:col w:w="4640" w:space="720"/>
            <w:col w:w="5880"/>
          </w:cols>
          <w:pgMar w:left="320" w:top="1291" w:right="339" w:bottom="1440" w:gutter="0" w:footer="0" w:header="0"/>
          <w:type w:val="continuous"/>
        </w:sectPr>
      </w:pPr>
    </w:p>
    <w:p>
      <w:pPr>
        <w:spacing w:after="0" w:line="58"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By:</w:t>
      </w:r>
    </w:p>
    <w:p>
      <w:pPr>
        <w:sectPr>
          <w:pgSz w:w="11900" w:h="16838" w:orient="portrait"/>
          <w:cols w:equalWidth="0" w:num="1">
            <w:col w:w="11240"/>
          </w:cols>
          <w:pgMar w:left="320" w:top="1291" w:right="339" w:bottom="1440" w:gutter="0" w:footer="0" w:header="0"/>
          <w:type w:val="continuous"/>
        </w:sectPr>
      </w:pPr>
    </w:p>
    <w:p>
      <w:pPr>
        <w:spacing w:after="0" w:line="229" w:lineRule="exact"/>
        <w:rPr>
          <w:sz w:val="20"/>
          <w:szCs w:val="20"/>
          <w:color w:val="auto"/>
        </w:rPr>
      </w:pPr>
    </w:p>
    <w:p>
      <w:pPr>
        <w:ind w:left="120" w:right="760"/>
        <w:spacing w:after="0" w:line="385" w:lineRule="auto"/>
        <w:rPr>
          <w:sz w:val="20"/>
          <w:szCs w:val="20"/>
          <w:color w:val="auto"/>
        </w:rPr>
      </w:pPr>
      <w:r>
        <w:rPr>
          <w:rFonts w:ascii="Arial" w:cs="Arial" w:eastAsia="Arial" w:hAnsi="Arial"/>
          <w:sz w:val="16"/>
          <w:szCs w:val="16"/>
          <w:color w:val="auto"/>
        </w:rPr>
        <w:t>______________________________________ Mark. D. Klein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Representative’s Signature</w:t>
      </w:r>
    </w:p>
    <w:p>
      <w:pPr>
        <w:spacing w:after="0" w:line="212" w:lineRule="exact"/>
        <w:rPr>
          <w:sz w:val="20"/>
          <w:szCs w:val="20"/>
          <w:color w:val="auto"/>
        </w:rPr>
      </w:pPr>
    </w:p>
    <w:p>
      <w:pPr>
        <w:sectPr>
          <w:pgSz w:w="11900" w:h="16838" w:orient="portrait"/>
          <w:cols w:equalWidth="0" w:num="2">
            <w:col w:w="4640" w:space="720"/>
            <w:col w:w="5880"/>
          </w:cols>
          <w:pgMar w:left="320" w:top="1291" w:right="339" w:bottom="1440" w:gutter="0" w:footer="0" w:header="0"/>
          <w:type w:val="continuous"/>
        </w:sect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Name, Title</w:t>
      </w:r>
    </w:p>
    <w:p>
      <w:pPr>
        <w:spacing w:after="0" w:line="200" w:lineRule="exact"/>
        <w:rPr>
          <w:sz w:val="20"/>
          <w:szCs w:val="20"/>
          <w:color w:val="auto"/>
        </w:rPr>
      </w:pPr>
    </w:p>
    <w:p>
      <w:pPr>
        <w:sectPr>
          <w:pgSz w:w="11900" w:h="16838" w:orient="portrait"/>
          <w:cols w:equalWidth="0" w:num="2">
            <w:col w:w="4640" w:space="720"/>
            <w:col w:w="5880"/>
          </w:cols>
          <w:pgMar w:left="320" w:top="1291" w:right="339" w:bottom="1440" w:gutter="0" w:footer="0" w:header="0"/>
          <w:type w:val="continuous"/>
        </w:sectPr>
      </w:pPr>
    </w:p>
    <w:p>
      <w:pPr>
        <w:spacing w:after="0" w:line="243"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DATE: _____________________________</w:t>
      </w:r>
    </w:p>
    <w:p>
      <w:pPr>
        <w:sectPr>
          <w:pgSz w:w="11900" w:h="16838" w:orient="portrait"/>
          <w:cols w:equalWidth="0" w:num="1">
            <w:col w:w="11240"/>
          </w:cols>
          <w:pgMar w:left="320" w:top="129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- 6 -</w:t>
      </w:r>
    </w:p>
    <w:p>
      <w:pPr>
        <w:sectPr>
          <w:pgSz w:w="11900" w:h="16838" w:orient="portrait"/>
          <w:cols w:equalWidth="0" w:num="1">
            <w:col w:w="11240"/>
          </w:cols>
          <w:pgMar w:left="320" w:top="1291" w:right="339" w:bottom="1440"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22"/>
          <w:szCs w:val="22"/>
          <w:b w:val="1"/>
          <w:bCs w:val="1"/>
          <w:color w:val="auto"/>
        </w:rPr>
        <w:t>Exhibit 10.2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EMPLOYMENT AGREEMENT</w:t>
      </w:r>
    </w:p>
    <w:p>
      <w:pPr>
        <w:spacing w:after="0" w:line="235" w:lineRule="exact"/>
        <w:rPr>
          <w:sz w:val="20"/>
          <w:szCs w:val="20"/>
          <w:color w:val="auto"/>
        </w:rPr>
      </w:pPr>
    </w:p>
    <w:p>
      <w:pPr>
        <w:ind w:firstLine="648"/>
        <w:spacing w:after="0" w:line="316" w:lineRule="auto"/>
        <w:rPr>
          <w:sz w:val="20"/>
          <w:szCs w:val="20"/>
          <w:color w:val="auto"/>
        </w:rPr>
      </w:pPr>
      <w:r>
        <w:rPr>
          <w:rFonts w:ascii="Arial" w:cs="Arial" w:eastAsia="Arial" w:hAnsi="Arial"/>
          <w:sz w:val="18"/>
          <w:szCs w:val="18"/>
          <w:color w:val="auto"/>
        </w:rPr>
        <w:t>This AMENDED AND RESTATED EMPLOYMENT AGREEMENT is made and entered into this 28th day of April, 2020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between Sutter Rock Capital Corp., a Maryland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Allison Green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4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is an internally managed, closed-end management investment company that has elected to be treated as a business development company under the Investment Company Act of 1940;</w:t>
      </w:r>
    </w:p>
    <w:p>
      <w:pPr>
        <w:spacing w:after="0" w:line="190"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Company and the Executive previously entered into an employment agreement, dated April 23, 2019 (the “</w:t>
      </w:r>
      <w:r>
        <w:rPr>
          <w:rFonts w:ascii="Arial" w:cs="Arial" w:eastAsia="Arial" w:hAnsi="Arial"/>
          <w:sz w:val="20"/>
          <w:szCs w:val="20"/>
          <w:u w:val="single" w:color="auto"/>
          <w:color w:val="auto"/>
        </w:rPr>
        <w:t>Prior</w:t>
      </w:r>
      <w:r>
        <w:rPr>
          <w:rFonts w:ascii="Arial" w:cs="Arial" w:eastAsia="Arial" w:hAnsi="Arial"/>
          <w:sz w:val="20"/>
          <w:szCs w:val="20"/>
          <w:color w:val="auto"/>
        </w:rPr>
        <w:t xml:space="preserve"> </w:t>
      </w:r>
      <w:r>
        <w:rPr>
          <w:rFonts w:ascii="Arial" w:cs="Arial" w:eastAsia="Arial" w:hAnsi="Arial"/>
          <w:sz w:val="20"/>
          <w:szCs w:val="20"/>
          <w:u w:val="single" w:color="auto"/>
          <w:color w:val="auto"/>
        </w:rPr>
        <w:t>Employment Agreement</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changed its name, as of July 30, 2019, to “Sutter Rock Capital Corp.” from “GSV Capital Corp.”; and</w:t>
      </w:r>
    </w:p>
    <w:p>
      <w:pPr>
        <w:spacing w:after="0" w:line="239"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WHEREAS, the parties desire to amend and restate the Prior Employment Agreement in its entirety to secure the Executive’s employment during the Term (as hereinafter defined), on the terms and conditions set forth herein.</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171" w:lineRule="exact"/>
        <w:rPr>
          <w:sz w:val="20"/>
          <w:szCs w:val="20"/>
          <w:color w:val="auto"/>
        </w:rPr>
      </w:pPr>
    </w:p>
    <w:p>
      <w:pPr>
        <w:jc w:val="both"/>
        <w:ind w:left="340" w:hanging="332"/>
        <w:spacing w:after="0" w:line="248" w:lineRule="auto"/>
        <w:tabs>
          <w:tab w:leader="none" w:pos="340"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Position</w:t>
      </w:r>
      <w:r>
        <w:rPr>
          <w:rFonts w:ascii="Arial" w:cs="Arial" w:eastAsia="Arial" w:hAnsi="Arial"/>
          <w:sz w:val="20"/>
          <w:szCs w:val="20"/>
          <w:color w:val="auto"/>
        </w:rPr>
        <w:t>. The Company hereby reaffirms its employment of the Executive and the Executive agrees to continue to serve the Company as</w:t>
      </w:r>
      <w:r>
        <w:rPr>
          <w:rFonts w:ascii="Arial" w:cs="Arial" w:eastAsia="Arial" w:hAnsi="Arial"/>
          <w:sz w:val="20"/>
          <w:szCs w:val="20"/>
          <w:b w:val="1"/>
          <w:bCs w:val="1"/>
          <w:color w:val="auto"/>
        </w:rPr>
        <w:t xml:space="preserve"> </w:t>
      </w:r>
      <w:r>
        <w:rPr>
          <w:rFonts w:ascii="Arial" w:cs="Arial" w:eastAsia="Arial" w:hAnsi="Arial"/>
          <w:sz w:val="20"/>
          <w:szCs w:val="20"/>
          <w:color w:val="auto"/>
        </w:rPr>
        <w:t>Chief Financial Officer, Treasurer, and Secretary on the terms and conditions set forth in this Agreement. During the Term, the parties agree that the Executive shall report to the Chief Executive Officer. The Executive also agrees to serve as a voting member of the Company’s Investment Committee.</w:t>
      </w:r>
    </w:p>
    <w:p>
      <w:pPr>
        <w:spacing w:after="0" w:line="183" w:lineRule="exact"/>
        <w:rPr>
          <w:rFonts w:ascii="Arial" w:cs="Arial" w:eastAsia="Arial" w:hAnsi="Arial"/>
          <w:sz w:val="20"/>
          <w:szCs w:val="20"/>
          <w:color w:val="auto"/>
        </w:rPr>
      </w:pPr>
    </w:p>
    <w:p>
      <w:pPr>
        <w:jc w:val="both"/>
        <w:ind w:left="340" w:hanging="332"/>
        <w:spacing w:after="0" w:line="242" w:lineRule="auto"/>
        <w:tabs>
          <w:tab w:leader="none" w:pos="340" w:val="left"/>
        </w:tabs>
        <w:numPr>
          <w:ilvl w:val="0"/>
          <w:numId w:val="66"/>
        </w:numPr>
        <w:rPr>
          <w:rFonts w:ascii="Arial" w:cs="Arial" w:eastAsia="Arial" w:hAnsi="Arial"/>
          <w:sz w:val="20"/>
          <w:szCs w:val="20"/>
          <w:color w:val="auto"/>
        </w:rPr>
      </w:pPr>
      <w:r>
        <w:rPr>
          <w:rFonts w:ascii="Arial" w:cs="Arial" w:eastAsia="Arial" w:hAnsi="Arial"/>
          <w:sz w:val="20"/>
          <w:szCs w:val="20"/>
          <w:b w:val="1"/>
          <w:bCs w:val="1"/>
          <w:color w:val="auto"/>
        </w:rPr>
        <w:t>Employment Term</w:t>
      </w:r>
      <w:r>
        <w:rPr>
          <w:rFonts w:ascii="Arial" w:cs="Arial" w:eastAsia="Arial" w:hAnsi="Arial"/>
          <w:sz w:val="20"/>
          <w:szCs w:val="20"/>
          <w:color w:val="auto"/>
        </w:rPr>
        <w:t>. Subject to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8</w:t>
      </w:r>
      <w:r>
        <w:rPr>
          <w:rFonts w:ascii="Arial" w:cs="Arial" w:eastAsia="Arial" w:hAnsi="Arial"/>
          <w:sz w:val="20"/>
          <w:szCs w:val="20"/>
          <w:color w:val="auto"/>
        </w:rPr>
        <w:t>, the Executive’s employment by the Company under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commenced on March 12, 2019, (the “</w:t>
      </w:r>
      <w:r>
        <w:rPr>
          <w:rFonts w:ascii="Arial" w:cs="Arial" w:eastAsia="Arial" w:hAnsi="Arial"/>
          <w:sz w:val="20"/>
          <w:szCs w:val="20"/>
          <w:u w:val="single" w:color="auto"/>
          <w:color w:val="auto"/>
        </w:rPr>
        <w:t>Effective Date</w:t>
      </w:r>
      <w:r>
        <w:rPr>
          <w:rFonts w:ascii="Arial" w:cs="Arial" w:eastAsia="Arial" w:hAnsi="Arial"/>
          <w:sz w:val="20"/>
          <w:szCs w:val="20"/>
          <w:color w:val="auto"/>
        </w:rPr>
        <w:t>”) and shall end on December 31, 2023 (the “</w:t>
      </w:r>
      <w:r>
        <w:rPr>
          <w:rFonts w:ascii="Arial" w:cs="Arial" w:eastAsia="Arial" w:hAnsi="Arial"/>
          <w:sz w:val="20"/>
          <w:szCs w:val="20"/>
          <w:u w:val="single" w:color="auto"/>
          <w:color w:val="auto"/>
        </w:rPr>
        <w:t>Term</w:t>
      </w:r>
      <w:r>
        <w:rPr>
          <w:rFonts w:ascii="Arial" w:cs="Arial" w:eastAsia="Arial" w:hAnsi="Arial"/>
          <w:sz w:val="20"/>
          <w:szCs w:val="20"/>
          <w:color w:val="auto"/>
        </w:rPr>
        <w:t xml:space="preserve">”). Unless terminated earlier pursuant to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the Term shall be automatically extended for one year on December 31, 2023, and then on each succeeding anniversary of December 31, 2023, unless either party elects, in writing, to terminate this Agreement at least thirty (30) days prior to the expiration of the then current Term. In the event that the Company declines to extend the Term of this Agreement and the Executive’s employment is terminated, the Executive’s termination shall be treated as a termination Without Cause and the Executive shall receive Accrued Benefits through the date of the Executive’s termination and Severance Benefits in accordance with the terms of </w:t>
      </w:r>
      <w:r>
        <w:rPr>
          <w:rFonts w:ascii="Arial" w:cs="Arial" w:eastAsia="Arial" w:hAnsi="Arial"/>
          <w:sz w:val="20"/>
          <w:szCs w:val="20"/>
          <w:u w:val="single" w:color="auto"/>
          <w:color w:val="auto"/>
        </w:rPr>
        <w:t>Section 8(f)</w:t>
      </w:r>
      <w:r>
        <w:rPr>
          <w:rFonts w:ascii="Arial" w:cs="Arial" w:eastAsia="Arial" w:hAnsi="Arial"/>
          <w:sz w:val="20"/>
          <w:szCs w:val="20"/>
          <w:color w:val="auto"/>
        </w:rPr>
        <w:t>, provided, however, that the Executive is willing and able to execute such extension and to continue performing services under this Agreement.</w:t>
      </w:r>
    </w:p>
    <w:p>
      <w:pPr>
        <w:spacing w:after="0" w:line="194" w:lineRule="exact"/>
        <w:rPr>
          <w:rFonts w:ascii="Arial" w:cs="Arial" w:eastAsia="Arial" w:hAnsi="Arial"/>
          <w:sz w:val="20"/>
          <w:szCs w:val="20"/>
          <w:color w:val="auto"/>
        </w:rPr>
      </w:pPr>
    </w:p>
    <w:p>
      <w:pPr>
        <w:jc w:val="both"/>
        <w:ind w:left="340" w:hanging="332"/>
        <w:spacing w:after="0" w:line="260" w:lineRule="auto"/>
        <w:tabs>
          <w:tab w:leader="none" w:pos="340" w:val="left"/>
        </w:tabs>
        <w:numPr>
          <w:ilvl w:val="0"/>
          <w:numId w:val="66"/>
        </w:numPr>
        <w:rPr>
          <w:rFonts w:ascii="Arial" w:cs="Arial" w:eastAsia="Arial" w:hAnsi="Arial"/>
          <w:sz w:val="19"/>
          <w:szCs w:val="19"/>
          <w:color w:val="auto"/>
        </w:rPr>
      </w:pPr>
      <w:r>
        <w:rPr>
          <w:rFonts w:ascii="Arial" w:cs="Arial" w:eastAsia="Arial" w:hAnsi="Arial"/>
          <w:sz w:val="19"/>
          <w:szCs w:val="19"/>
          <w:b w:val="1"/>
          <w:bCs w:val="1"/>
          <w:color w:val="auto"/>
        </w:rPr>
        <w:t>Duties</w:t>
      </w:r>
      <w:r>
        <w:rPr>
          <w:rFonts w:ascii="Arial" w:cs="Arial" w:eastAsia="Arial" w:hAnsi="Arial"/>
          <w:sz w:val="19"/>
          <w:szCs w:val="19"/>
          <w:color w:val="auto"/>
        </w:rPr>
        <w:t>. During the Executive’s employment, the Executive shall have all the power, authority and responsibilities customarily related to</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position as Chief Financial Officer of the Company and as may be assigned by and under the direction and control of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During the Term, the Executive shall not engage in any other business activity that would materially interfere with the Executive’s responsibilities or performance of duties under this Agreement, unless approved by the Board. Notwithstanding the foregoing, nothing herein shall prohibit the Executive from (i) subject to prior approval of the Board, accepting directorships unrelated to the Company that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6" w:right="339" w:bottom="1440" w:gutter="0" w:footer="0" w:header="0"/>
        </w:sectPr>
      </w:pPr>
    </w:p>
    <w:bookmarkStart w:id="93" w:name="page94"/>
    <w:bookmarkEnd w:id="93"/>
    <w:p>
      <w:pPr>
        <w:jc w:val="both"/>
        <w:ind w:left="340"/>
        <w:spacing w:after="0" w:line="237" w:lineRule="auto"/>
        <w:rPr>
          <w:sz w:val="20"/>
          <w:szCs w:val="20"/>
          <w:color w:val="auto"/>
        </w:rPr>
      </w:pPr>
      <w:r>
        <w:rPr>
          <w:rFonts w:ascii="Arial" w:cs="Arial" w:eastAsia="Arial" w:hAnsi="Arial"/>
          <w:sz w:val="20"/>
          <w:szCs w:val="20"/>
          <w:color w:val="auto"/>
        </w:rPr>
        <w:t xml:space="preserve">do not give rise to any conflicts of interest with the Company or its Affiliates, (ii) engaging in charitable and civic activities, so long as such outside interests do not interfere with the performance of Executive’s duties hereunder, or (iii) engaging in activities expressly permitted by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w:t>
      </w:r>
    </w:p>
    <w:p>
      <w:pPr>
        <w:spacing w:after="0" w:line="177"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20"/>
          <w:szCs w:val="20"/>
          <w:color w:val="auto"/>
        </w:rPr>
      </w:pPr>
      <w:r>
        <w:rPr>
          <w:rFonts w:ascii="Arial" w:cs="Arial" w:eastAsia="Arial" w:hAnsi="Arial"/>
          <w:sz w:val="20"/>
          <w:szCs w:val="20"/>
          <w:b w:val="1"/>
          <w:bCs w:val="1"/>
          <w:color w:val="auto"/>
        </w:rPr>
        <w:t>Compensation</w:t>
      </w:r>
      <w:r>
        <w:rPr>
          <w:rFonts w:ascii="Arial" w:cs="Arial" w:eastAsia="Arial" w:hAnsi="Arial"/>
          <w:sz w:val="20"/>
          <w:szCs w:val="20"/>
          <w:color w:val="auto"/>
        </w:rPr>
        <w:t>.</w:t>
      </w:r>
    </w:p>
    <w:p>
      <w:pPr>
        <w:spacing w:after="0" w:line="235" w:lineRule="exact"/>
        <w:rPr>
          <w:rFonts w:ascii="Arial" w:cs="Arial" w:eastAsia="Arial" w:hAnsi="Arial"/>
          <w:sz w:val="20"/>
          <w:szCs w:val="20"/>
          <w:color w:val="auto"/>
        </w:rPr>
      </w:pPr>
    </w:p>
    <w:p>
      <w:pPr>
        <w:jc w:val="both"/>
        <w:ind w:left="660" w:hanging="409"/>
        <w:spacing w:after="0" w:line="266" w:lineRule="auto"/>
        <w:tabs>
          <w:tab w:leader="none" w:pos="660" w:val="left"/>
        </w:tabs>
        <w:numPr>
          <w:ilvl w:val="2"/>
          <w:numId w:val="67"/>
        </w:numPr>
        <w:rPr>
          <w:rFonts w:ascii="Arial" w:cs="Arial" w:eastAsia="Arial" w:hAnsi="Arial"/>
          <w:sz w:val="22"/>
          <w:szCs w:val="22"/>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During the Term, the Executive shall be compensated for the Executive’s services at an initial annual rate of base salary of four hundred fifty thousand dollars ($450,000), which may be reviewed and increased (but not decreased) on an annual basis by the Board in its sole discretion, payable in accordance with the Company’s regular payroll schedule (the “</w:t>
      </w:r>
      <w:r>
        <w:rPr>
          <w:rFonts w:ascii="Arial" w:cs="Arial" w:eastAsia="Arial" w:hAnsi="Arial"/>
          <w:sz w:val="20"/>
          <w:szCs w:val="20"/>
          <w:u w:val="single" w:color="auto"/>
          <w:color w:val="auto"/>
        </w:rPr>
        <w:t>Base Salary</w:t>
      </w:r>
      <w:r>
        <w:rPr>
          <w:rFonts w:ascii="Arial" w:cs="Arial" w:eastAsia="Arial" w:hAnsi="Arial"/>
          <w:sz w:val="20"/>
          <w:szCs w:val="20"/>
          <w:color w:val="auto"/>
        </w:rPr>
        <w:t>”). All payments made to or on behalf of the Executive under the terms of this Agreement, including all payments of Base Salary and any bonuses, shall be subject to all withholding required by law (such as income and payroll taxes) and such additional withholding as may be agreed upon by the Executive.</w:t>
      </w:r>
    </w:p>
    <w:p>
      <w:pPr>
        <w:spacing w:after="0" w:line="200" w:lineRule="exact"/>
        <w:rPr>
          <w:rFonts w:ascii="Arial" w:cs="Arial" w:eastAsia="Arial" w:hAnsi="Arial"/>
          <w:sz w:val="22"/>
          <w:szCs w:val="22"/>
          <w:color w:val="auto"/>
        </w:rPr>
      </w:pPr>
    </w:p>
    <w:p>
      <w:pPr>
        <w:jc w:val="both"/>
        <w:ind w:left="660" w:hanging="409"/>
        <w:spacing w:after="0" w:line="282" w:lineRule="auto"/>
        <w:tabs>
          <w:tab w:leader="none" w:pos="660" w:val="left"/>
        </w:tabs>
        <w:numPr>
          <w:ilvl w:val="2"/>
          <w:numId w:val="67"/>
        </w:numPr>
        <w:rPr>
          <w:rFonts w:ascii="Arial" w:cs="Arial" w:eastAsia="Arial" w:hAnsi="Arial"/>
          <w:sz w:val="21"/>
          <w:szCs w:val="21"/>
          <w:color w:val="auto"/>
        </w:rPr>
      </w:pPr>
      <w:r>
        <w:rPr>
          <w:rFonts w:ascii="Arial" w:cs="Arial" w:eastAsia="Arial" w:hAnsi="Arial"/>
          <w:sz w:val="19"/>
          <w:szCs w:val="19"/>
          <w:u w:val="single" w:color="auto"/>
          <w:color w:val="auto"/>
        </w:rPr>
        <w:t>Annual Bonus Arrangements</w:t>
      </w:r>
      <w:r>
        <w:rPr>
          <w:rFonts w:ascii="Arial" w:cs="Arial" w:eastAsia="Arial" w:hAnsi="Arial"/>
          <w:sz w:val="19"/>
          <w:szCs w:val="19"/>
          <w:color w:val="auto"/>
        </w:rPr>
        <w:t>. The Executive will be eligible to receive annual bonus payments up to seventy percent (70%) of the Executive’s then-effective Base Salary, payable in amounts and at such times as determined in good faith by the Board, based on meeting Company performance objectives, performance goals, and other objectives as mutually agreed upon by the Board and the Executive, and as may be amended from time to time (the “</w:t>
      </w:r>
      <w:r>
        <w:rPr>
          <w:rFonts w:ascii="Arial" w:cs="Arial" w:eastAsia="Arial" w:hAnsi="Arial"/>
          <w:sz w:val="19"/>
          <w:szCs w:val="19"/>
          <w:u w:val="single" w:color="auto"/>
          <w:color w:val="auto"/>
        </w:rPr>
        <w:t>Annual Bonus</w:t>
      </w:r>
      <w:r>
        <w:rPr>
          <w:rFonts w:ascii="Arial" w:cs="Arial" w:eastAsia="Arial" w:hAnsi="Arial"/>
          <w:sz w:val="19"/>
          <w:szCs w:val="19"/>
          <w:color w:val="auto"/>
        </w:rPr>
        <w:t>”). The Executive must remain employed by the Company through the date on which the Annual Bonus is earned, which is December 31 of each year, whether or not the Executive remains employed by the Company on the date the bonus is actually payable. Notwithstanding the foregoing, in the event that the Executive is terminated for Cause (as defined below) prior to the payment of any Annual Bonus, the Executive shall not be entitled to the payment of such Annual Bonus.</w:t>
      </w:r>
    </w:p>
    <w:p>
      <w:pPr>
        <w:spacing w:after="0" w:line="187" w:lineRule="exact"/>
        <w:rPr>
          <w:rFonts w:ascii="Arial" w:cs="Arial" w:eastAsia="Arial" w:hAnsi="Arial"/>
          <w:sz w:val="21"/>
          <w:szCs w:val="21"/>
          <w:color w:val="auto"/>
        </w:rPr>
      </w:pPr>
    </w:p>
    <w:p>
      <w:pPr>
        <w:jc w:val="both"/>
        <w:ind w:left="660" w:hanging="423"/>
        <w:spacing w:after="0" w:line="266" w:lineRule="auto"/>
        <w:tabs>
          <w:tab w:leader="none" w:pos="660" w:val="left"/>
        </w:tabs>
        <w:numPr>
          <w:ilvl w:val="1"/>
          <w:numId w:val="67"/>
        </w:numPr>
        <w:rPr>
          <w:rFonts w:ascii="Arial" w:cs="Arial" w:eastAsia="Arial" w:hAnsi="Arial"/>
          <w:sz w:val="22"/>
          <w:szCs w:val="22"/>
          <w:color w:val="auto"/>
        </w:rPr>
      </w:pPr>
      <w:r>
        <w:rPr>
          <w:rFonts w:ascii="Arial" w:cs="Arial" w:eastAsia="Arial" w:hAnsi="Arial"/>
          <w:sz w:val="20"/>
          <w:szCs w:val="20"/>
          <w:u w:val="single" w:color="auto"/>
          <w:color w:val="auto"/>
        </w:rPr>
        <w:t>Additional Bonus</w:t>
      </w:r>
      <w:r>
        <w:rPr>
          <w:rFonts w:ascii="Arial" w:cs="Arial" w:eastAsia="Arial" w:hAnsi="Arial"/>
          <w:sz w:val="20"/>
          <w:szCs w:val="20"/>
          <w:color w:val="auto"/>
        </w:rPr>
        <w:t>. The Executive will be eligible to receive an additional bonus in excess of the Annual Bonus (the “</w:t>
      </w:r>
      <w:r>
        <w:rPr>
          <w:rFonts w:ascii="Arial" w:cs="Arial" w:eastAsia="Arial" w:hAnsi="Arial"/>
          <w:sz w:val="20"/>
          <w:szCs w:val="20"/>
          <w:u w:val="single" w:color="auto"/>
          <w:color w:val="auto"/>
        </w:rPr>
        <w:t>Additional</w:t>
      </w:r>
      <w:r>
        <w:rPr>
          <w:rFonts w:ascii="Arial" w:cs="Arial" w:eastAsia="Arial" w:hAnsi="Arial"/>
          <w:sz w:val="20"/>
          <w:szCs w:val="20"/>
          <w:color w:val="auto"/>
        </w:rPr>
        <w:t xml:space="preserve"> </w:t>
      </w:r>
      <w:r>
        <w:rPr>
          <w:rFonts w:ascii="Arial" w:cs="Arial" w:eastAsia="Arial" w:hAnsi="Arial"/>
          <w:sz w:val="20"/>
          <w:szCs w:val="20"/>
          <w:u w:val="single" w:color="auto"/>
          <w:color w:val="auto"/>
        </w:rPr>
        <w:t>Bonus</w:t>
      </w:r>
      <w:r>
        <w:rPr>
          <w:rFonts w:ascii="Arial" w:cs="Arial" w:eastAsia="Arial" w:hAnsi="Arial"/>
          <w:sz w:val="20"/>
          <w:szCs w:val="20"/>
          <w:color w:val="auto"/>
        </w:rPr>
        <w:t>”) as determined by the Compensation Committee of the Board in its sole discretion, provided that the Executive will use one hundred percent (100%) of the Net Amount (defined below) to purchase shares of common stock of the Company in accordance with Company policies and procedures and applicable law. The “</w:t>
      </w:r>
      <w:r>
        <w:rPr>
          <w:rFonts w:ascii="Arial" w:cs="Arial" w:eastAsia="Arial" w:hAnsi="Arial"/>
          <w:sz w:val="20"/>
          <w:szCs w:val="20"/>
          <w:u w:val="single" w:color="auto"/>
          <w:color w:val="auto"/>
        </w:rPr>
        <w:t>Net Amount</w:t>
      </w:r>
      <w:r>
        <w:rPr>
          <w:rFonts w:ascii="Arial" w:cs="Arial" w:eastAsia="Arial" w:hAnsi="Arial"/>
          <w:sz w:val="20"/>
          <w:szCs w:val="20"/>
          <w:color w:val="auto"/>
        </w:rPr>
        <w:t>” means the gross amount of the Additional Bonus less all withholding required by law (such as income and payroll taxes) and such additional withholding as may be agreed upon by the Executive.</w:t>
      </w:r>
    </w:p>
    <w:p>
      <w:pPr>
        <w:spacing w:after="0" w:line="213" w:lineRule="exact"/>
        <w:rPr>
          <w:rFonts w:ascii="Arial" w:cs="Arial" w:eastAsia="Arial" w:hAnsi="Arial"/>
          <w:sz w:val="22"/>
          <w:szCs w:val="22"/>
          <w:color w:val="auto"/>
        </w:rPr>
      </w:pPr>
    </w:p>
    <w:p>
      <w:pPr>
        <w:ind w:left="660" w:hanging="409"/>
        <w:spacing w:after="0" w:line="264" w:lineRule="auto"/>
        <w:tabs>
          <w:tab w:leader="none" w:pos="660" w:val="left"/>
        </w:tabs>
        <w:numPr>
          <w:ilvl w:val="2"/>
          <w:numId w:val="68"/>
        </w:numPr>
        <w:rPr>
          <w:rFonts w:ascii="Arial" w:cs="Arial" w:eastAsia="Arial" w:hAnsi="Arial"/>
          <w:sz w:val="22"/>
          <w:szCs w:val="22"/>
          <w:color w:val="auto"/>
        </w:rPr>
      </w:pPr>
      <w:r>
        <w:rPr>
          <w:rFonts w:ascii="Arial" w:cs="Arial" w:eastAsia="Arial" w:hAnsi="Arial"/>
          <w:sz w:val="20"/>
          <w:szCs w:val="20"/>
          <w:u w:val="single" w:color="auto"/>
          <w:color w:val="auto"/>
        </w:rPr>
        <w:t>Equity</w:t>
      </w:r>
      <w:r>
        <w:rPr>
          <w:rFonts w:ascii="Arial" w:cs="Arial" w:eastAsia="Arial" w:hAnsi="Arial"/>
          <w:sz w:val="20"/>
          <w:szCs w:val="20"/>
          <w:color w:val="auto"/>
        </w:rPr>
        <w:t>. The Executive shall, in the Company’s sole discretion, be eligible to receive awards of equity in accordance with the terms and conditions set forth in the applicable equity incentive plan and equity award agreement.</w:t>
      </w:r>
    </w:p>
    <w:p>
      <w:pPr>
        <w:spacing w:after="0" w:line="197" w:lineRule="exact"/>
        <w:rPr>
          <w:rFonts w:ascii="Arial" w:cs="Arial" w:eastAsia="Arial" w:hAnsi="Arial"/>
          <w:sz w:val="22"/>
          <w:szCs w:val="22"/>
          <w:color w:val="auto"/>
        </w:rPr>
      </w:pPr>
    </w:p>
    <w:p>
      <w:pPr>
        <w:jc w:val="both"/>
        <w:ind w:left="660" w:hanging="409"/>
        <w:spacing w:after="0" w:line="265" w:lineRule="auto"/>
        <w:tabs>
          <w:tab w:leader="none" w:pos="660" w:val="left"/>
        </w:tabs>
        <w:numPr>
          <w:ilvl w:val="2"/>
          <w:numId w:val="68"/>
        </w:numPr>
        <w:rPr>
          <w:rFonts w:ascii="Arial" w:cs="Arial" w:eastAsia="Arial" w:hAnsi="Arial"/>
          <w:sz w:val="22"/>
          <w:szCs w:val="22"/>
          <w:color w:val="auto"/>
        </w:rPr>
      </w:pPr>
      <w:r>
        <w:rPr>
          <w:rFonts w:ascii="Arial" w:cs="Arial" w:eastAsia="Arial" w:hAnsi="Arial"/>
          <w:sz w:val="20"/>
          <w:szCs w:val="20"/>
          <w:u w:val="single" w:color="auto"/>
          <w:color w:val="auto"/>
        </w:rPr>
        <w:t>Sign-On Bonus</w:t>
      </w:r>
      <w:r>
        <w:rPr>
          <w:rFonts w:ascii="Arial" w:cs="Arial" w:eastAsia="Arial" w:hAnsi="Arial"/>
          <w:sz w:val="20"/>
          <w:szCs w:val="20"/>
          <w:color w:val="auto"/>
        </w:rPr>
        <w:t>. The Executive acknowledges that the Executive received a sign-on bonus equal to one hundred thousand dollars ($100,000) under the Prior Employment Agreement (the “</w:t>
      </w:r>
      <w:r>
        <w:rPr>
          <w:rFonts w:ascii="Arial" w:cs="Arial" w:eastAsia="Arial" w:hAnsi="Arial"/>
          <w:sz w:val="20"/>
          <w:szCs w:val="20"/>
          <w:u w:val="single" w:color="auto"/>
          <w:color w:val="auto"/>
        </w:rPr>
        <w:t>Sign-On Bonus</w:t>
      </w:r>
      <w:r>
        <w:rPr>
          <w:rFonts w:ascii="Arial" w:cs="Arial" w:eastAsia="Arial" w:hAnsi="Arial"/>
          <w:sz w:val="20"/>
          <w:szCs w:val="20"/>
          <w:color w:val="auto"/>
        </w:rPr>
        <w:t>”) and agrees that no further payment of the Sign-On Bonus is owed to the Executive.</w:t>
      </w:r>
    </w:p>
    <w:p>
      <w:pPr>
        <w:spacing w:after="0" w:line="192"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22"/>
          <w:szCs w:val="22"/>
          <w:color w:val="auto"/>
        </w:rPr>
      </w:pPr>
      <w:r>
        <w:rPr>
          <w:rFonts w:ascii="Arial" w:cs="Arial" w:eastAsia="Arial" w:hAnsi="Arial"/>
          <w:sz w:val="20"/>
          <w:szCs w:val="20"/>
          <w:b w:val="1"/>
          <w:bCs w:val="1"/>
          <w:color w:val="auto"/>
        </w:rPr>
        <w:t>Benefits.</w:t>
      </w:r>
    </w:p>
    <w:p>
      <w:pPr>
        <w:spacing w:after="0" w:line="225" w:lineRule="exact"/>
        <w:rPr>
          <w:rFonts w:ascii="Arial" w:cs="Arial" w:eastAsia="Arial" w:hAnsi="Arial"/>
          <w:sz w:val="22"/>
          <w:szCs w:val="22"/>
          <w:color w:val="auto"/>
        </w:rPr>
      </w:pPr>
    </w:p>
    <w:p>
      <w:pPr>
        <w:jc w:val="both"/>
        <w:ind w:left="660" w:hanging="409"/>
        <w:spacing w:after="0" w:line="283" w:lineRule="auto"/>
        <w:tabs>
          <w:tab w:leader="none" w:pos="660" w:val="left"/>
        </w:tabs>
        <w:numPr>
          <w:ilvl w:val="1"/>
          <w:numId w:val="69"/>
        </w:numPr>
        <w:rPr>
          <w:rFonts w:ascii="Arial" w:cs="Arial" w:eastAsia="Arial" w:hAnsi="Arial"/>
          <w:sz w:val="21"/>
          <w:szCs w:val="21"/>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During the Term, the Company will provide the Executive the highest level and most favored nation employee benefits coverage including life, health accident insurance and disability programs) provided by the Company. Such participation shall be subject to the terms of the applicable plan documents and policies generally applicable to Company employees, including, without limitation, plan terms or policies relating to employee contributions under any such plans.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595" w:right="339" w:bottom="1440" w:gutter="0" w:footer="0" w:header="0"/>
        </w:sectPr>
      </w:pPr>
    </w:p>
    <w:bookmarkStart w:id="94" w:name="page95"/>
    <w:bookmarkEnd w:id="94"/>
    <w:p>
      <w:pPr>
        <w:jc w:val="both"/>
        <w:ind w:left="660" w:hanging="409"/>
        <w:spacing w:after="0" w:line="265" w:lineRule="auto"/>
        <w:tabs>
          <w:tab w:leader="none" w:pos="660" w:val="left"/>
        </w:tabs>
        <w:numPr>
          <w:ilvl w:val="1"/>
          <w:numId w:val="70"/>
        </w:numPr>
        <w:rPr>
          <w:rFonts w:ascii="Arial" w:cs="Arial" w:eastAsia="Arial" w:hAnsi="Arial"/>
          <w:sz w:val="22"/>
          <w:szCs w:val="22"/>
          <w:color w:val="auto"/>
        </w:rPr>
      </w:pPr>
      <w:r>
        <w:rPr>
          <w:rFonts w:ascii="Arial" w:cs="Arial" w:eastAsia="Arial" w:hAnsi="Arial"/>
          <w:sz w:val="20"/>
          <w:szCs w:val="20"/>
          <w:u w:val="single" w:color="auto"/>
          <w:color w:val="auto"/>
        </w:rPr>
        <w:t>Vacation and Sick Leave</w:t>
      </w:r>
      <w:r>
        <w:rPr>
          <w:rFonts w:ascii="Arial" w:cs="Arial" w:eastAsia="Arial" w:hAnsi="Arial"/>
          <w:sz w:val="20"/>
          <w:szCs w:val="20"/>
          <w:color w:val="auto"/>
        </w:rPr>
        <w:t>. The Executive will be entitled to five (5) weeks of paid time off in the form of vacation and sick leave (without taking into account any qualified disability leave offered pursuant to the Company’s disability benefit programs in place from time to time), subject to the terms and conditions of the Company’s policies, procedures, and practices applicable to similarly situated employees and applicable law.</w:t>
      </w:r>
    </w:p>
    <w:p>
      <w:pPr>
        <w:spacing w:after="0" w:line="194" w:lineRule="exact"/>
        <w:rPr>
          <w:rFonts w:ascii="Arial" w:cs="Arial" w:eastAsia="Arial" w:hAnsi="Arial"/>
          <w:sz w:val="22"/>
          <w:szCs w:val="22"/>
          <w:color w:val="auto"/>
        </w:rPr>
      </w:pPr>
    </w:p>
    <w:p>
      <w:pPr>
        <w:jc w:val="both"/>
        <w:ind w:left="340" w:hanging="332"/>
        <w:spacing w:after="0" w:line="268" w:lineRule="auto"/>
        <w:tabs>
          <w:tab w:leader="none" w:pos="340" w:val="left"/>
        </w:tabs>
        <w:numPr>
          <w:ilvl w:val="0"/>
          <w:numId w:val="71"/>
        </w:numPr>
        <w:rPr>
          <w:rFonts w:ascii="Arial" w:cs="Arial" w:eastAsia="Arial" w:hAnsi="Arial"/>
          <w:sz w:val="22"/>
          <w:szCs w:val="22"/>
          <w:color w:val="auto"/>
        </w:rPr>
      </w:pPr>
      <w:r>
        <w:rPr>
          <w:rFonts w:ascii="Arial" w:cs="Arial" w:eastAsia="Arial" w:hAnsi="Arial"/>
          <w:sz w:val="20"/>
          <w:szCs w:val="20"/>
          <w:b w:val="1"/>
          <w:bCs w:val="1"/>
          <w:color w:val="auto"/>
        </w:rPr>
        <w:t xml:space="preserve">Business Expenses. </w:t>
      </w:r>
      <w:r>
        <w:rPr>
          <w:rFonts w:ascii="Arial" w:cs="Arial" w:eastAsia="Arial" w:hAnsi="Arial"/>
          <w:sz w:val="20"/>
          <w:szCs w:val="20"/>
          <w:color w:val="auto"/>
        </w:rPr>
        <w:t>The Executive shall be reimbursed for all reasonable expenses (including, without limitation, travel and lodging</w:t>
      </w:r>
      <w:r>
        <w:rPr>
          <w:rFonts w:ascii="Arial" w:cs="Arial" w:eastAsia="Arial" w:hAnsi="Arial"/>
          <w:sz w:val="20"/>
          <w:szCs w:val="20"/>
          <w:b w:val="1"/>
          <w:bCs w:val="1"/>
          <w:color w:val="auto"/>
        </w:rPr>
        <w:t xml:space="preserve"> </w:t>
      </w:r>
      <w:r>
        <w:rPr>
          <w:rFonts w:ascii="Arial" w:cs="Arial" w:eastAsia="Arial" w:hAnsi="Arial"/>
          <w:sz w:val="20"/>
          <w:szCs w:val="20"/>
          <w:color w:val="auto"/>
        </w:rPr>
        <w:t>expenses) incurred by the Executive during the Term, upon presentation by the Executive of documentation, expense statements, vouchers and/or such other supporting information as the Company may reasonably request.</w:t>
      </w:r>
    </w:p>
    <w:p>
      <w:pPr>
        <w:spacing w:after="0" w:line="189" w:lineRule="exact"/>
        <w:rPr>
          <w:rFonts w:ascii="Arial" w:cs="Arial" w:eastAsia="Arial" w:hAnsi="Arial"/>
          <w:sz w:val="22"/>
          <w:szCs w:val="22"/>
          <w:color w:val="auto"/>
        </w:rPr>
      </w:pPr>
    </w:p>
    <w:p>
      <w:pPr>
        <w:jc w:val="both"/>
        <w:ind w:left="340" w:hanging="332"/>
        <w:spacing w:after="0" w:line="267" w:lineRule="auto"/>
        <w:tabs>
          <w:tab w:leader="none" w:pos="340" w:val="left"/>
        </w:tabs>
        <w:numPr>
          <w:ilvl w:val="0"/>
          <w:numId w:val="71"/>
        </w:numPr>
        <w:rPr>
          <w:rFonts w:ascii="Arial" w:cs="Arial" w:eastAsia="Arial" w:hAnsi="Arial"/>
          <w:sz w:val="22"/>
          <w:szCs w:val="22"/>
          <w:color w:val="auto"/>
        </w:rPr>
      </w:pPr>
      <w:r>
        <w:rPr>
          <w:rFonts w:ascii="Arial" w:cs="Arial" w:eastAsia="Arial" w:hAnsi="Arial"/>
          <w:sz w:val="20"/>
          <w:szCs w:val="20"/>
          <w:b w:val="1"/>
          <w:bCs w:val="1"/>
          <w:color w:val="auto"/>
        </w:rPr>
        <w:t xml:space="preserve">Freedom to Contract. </w:t>
      </w:r>
      <w:r>
        <w:rPr>
          <w:rFonts w:ascii="Arial" w:cs="Arial" w:eastAsia="Arial" w:hAnsi="Arial"/>
          <w:sz w:val="20"/>
          <w:szCs w:val="20"/>
          <w:color w:val="auto"/>
        </w:rPr>
        <w:t>The Executive represents and warrants that the Executive has the right to enter into this Agreement and that the</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is eligible for employment by the Company. The Executive further agrees to hold the Company and its Affiliates harmless from any and all liability arising out of any contractual obligations entered into by the Executive that would prevent the Executive from performing the services the Executive is required to perform under this Agreement.</w:t>
      </w:r>
    </w:p>
    <w:p>
      <w:pPr>
        <w:spacing w:after="0" w:line="193" w:lineRule="exact"/>
        <w:rPr>
          <w:rFonts w:ascii="Arial" w:cs="Arial" w:eastAsia="Arial" w:hAnsi="Arial"/>
          <w:sz w:val="22"/>
          <w:szCs w:val="22"/>
          <w:color w:val="auto"/>
        </w:rPr>
      </w:pPr>
    </w:p>
    <w:p>
      <w:pPr>
        <w:ind w:left="340" w:hanging="332"/>
        <w:spacing w:after="0" w:line="271" w:lineRule="auto"/>
        <w:tabs>
          <w:tab w:leader="none" w:pos="340" w:val="left"/>
        </w:tabs>
        <w:numPr>
          <w:ilvl w:val="0"/>
          <w:numId w:val="71"/>
        </w:numPr>
        <w:rPr>
          <w:rFonts w:ascii="Arial" w:cs="Arial" w:eastAsia="Arial" w:hAnsi="Arial"/>
          <w:sz w:val="22"/>
          <w:szCs w:val="22"/>
          <w:color w:val="auto"/>
        </w:rPr>
      </w:pPr>
      <w:r>
        <w:rPr>
          <w:rFonts w:ascii="Arial" w:cs="Arial" w:eastAsia="Arial" w:hAnsi="Arial"/>
          <w:sz w:val="20"/>
          <w:szCs w:val="20"/>
          <w:b w:val="1"/>
          <w:bCs w:val="1"/>
          <w:color w:val="auto"/>
        </w:rPr>
        <w:t xml:space="preserve">Termination. </w:t>
      </w:r>
      <w:r>
        <w:rPr>
          <w:rFonts w:ascii="Arial" w:cs="Arial" w:eastAsia="Arial" w:hAnsi="Arial"/>
          <w:sz w:val="20"/>
          <w:szCs w:val="20"/>
          <w:color w:val="auto"/>
        </w:rPr>
        <w:t>Notwithstanding the provisions of</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w:t>
      </w:r>
      <w:r>
        <w:rPr>
          <w:rFonts w:ascii="Arial" w:cs="Arial" w:eastAsia="Arial" w:hAnsi="Arial"/>
          <w:sz w:val="20"/>
          <w:szCs w:val="20"/>
          <w:color w:val="auto"/>
        </w:rPr>
        <w:t>, the Executive’s employment under this Agreement and the Term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shall terminate on the earliest of the following dates:</w:t>
      </w:r>
    </w:p>
    <w:p>
      <w:pPr>
        <w:spacing w:after="0" w:line="189" w:lineRule="exact"/>
        <w:rPr>
          <w:rFonts w:ascii="Arial" w:cs="Arial" w:eastAsia="Arial" w:hAnsi="Arial"/>
          <w:sz w:val="22"/>
          <w:szCs w:val="22"/>
          <w:color w:val="auto"/>
        </w:rPr>
      </w:pPr>
    </w:p>
    <w:p>
      <w:pPr>
        <w:jc w:val="both"/>
        <w:ind w:left="660" w:hanging="409"/>
        <w:spacing w:after="0" w:line="300" w:lineRule="auto"/>
        <w:tabs>
          <w:tab w:leader="none" w:pos="660" w:val="left"/>
        </w:tabs>
        <w:numPr>
          <w:ilvl w:val="1"/>
          <w:numId w:val="71"/>
        </w:numPr>
        <w:rPr>
          <w:rFonts w:ascii="Arial" w:cs="Arial" w:eastAsia="Arial" w:hAnsi="Arial"/>
          <w:sz w:val="19"/>
          <w:szCs w:val="19"/>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On the date of the Executive’s death. In the event of the death of the Executive, the Company shall pay to the Executive’s legal representatives or named beneficiaries (as designated in a writing delivered to the Company) (the “</w:t>
      </w:r>
      <w:r>
        <w:rPr>
          <w:rFonts w:ascii="Arial" w:cs="Arial" w:eastAsia="Arial" w:hAnsi="Arial"/>
          <w:sz w:val="18"/>
          <w:szCs w:val="18"/>
          <w:u w:val="single" w:color="auto"/>
          <w:color w:val="auto"/>
        </w:rPr>
        <w:t>Estate</w:t>
      </w:r>
      <w:r>
        <w:rPr>
          <w:rFonts w:ascii="Arial" w:cs="Arial" w:eastAsia="Arial" w:hAnsi="Arial"/>
          <w:sz w:val="18"/>
          <w:szCs w:val="18"/>
          <w:color w:val="auto"/>
        </w:rPr>
        <w:t>”) the Executive’s (i) earned but unpaid Base Salary, (ii) any accrued but unpaid paid time off or vacation payable in accordance with applicable Company policy and the terms of this Agreement, (iii) any reimbursable business expenses incurred, but not yet reimbursed to the Executive, and (iv) any benefits earned through the date of the Executive’s termination in accordance with the terms of the applicable benefit plans (collectively, the “</w:t>
      </w:r>
      <w:r>
        <w:rPr>
          <w:rFonts w:ascii="Arial" w:cs="Arial" w:eastAsia="Arial" w:hAnsi="Arial"/>
          <w:sz w:val="18"/>
          <w:szCs w:val="18"/>
          <w:u w:val="single" w:color="auto"/>
          <w:color w:val="auto"/>
        </w:rPr>
        <w:t>Accrued Benefits</w:t>
      </w:r>
      <w:r>
        <w:rPr>
          <w:rFonts w:ascii="Arial" w:cs="Arial" w:eastAsia="Arial" w:hAnsi="Arial"/>
          <w:sz w:val="18"/>
          <w:szCs w:val="18"/>
          <w:color w:val="auto"/>
        </w:rPr>
        <w:t>”). The Accrued Benefits shall be paid by the Company to the Estate within five (5) days of the receipt by the Company of documentation in connection with proof of the Executive’s death, as required by applicable law and reasonably requested by the Company. The Company shall also pay the Estate (i) any unpaid Annual Bonus for the preceding fiscal year and (ii) a pro-rated portion of the Annual Bonus for the current fiscal year based on the number of days that the Executive was employed by the Company for during the year of the Executive’s termination (“</w:t>
      </w:r>
      <w:r>
        <w:rPr>
          <w:rFonts w:ascii="Arial" w:cs="Arial" w:eastAsia="Arial" w:hAnsi="Arial"/>
          <w:sz w:val="18"/>
          <w:szCs w:val="18"/>
          <w:u w:val="single" w:color="auto"/>
          <w:color w:val="auto"/>
        </w:rPr>
        <w:t>Pro-Rated Bonus</w:t>
      </w:r>
      <w:r>
        <w:rPr>
          <w:rFonts w:ascii="Arial" w:cs="Arial" w:eastAsia="Arial" w:hAnsi="Arial"/>
          <w:sz w:val="18"/>
          <w:szCs w:val="18"/>
          <w:color w:val="auto"/>
        </w:rPr>
        <w:t xml:space="preserve">”). Furthermore, notwithstanding anything in the applicable equity incentive plan and/or equity award agreement to the contrary, any unvested portion of any equity awards held by the Executive shall vest in full and become exercisable and free from forfeiture or repurchase, as applicable, as of the effective date of the release as set forth in </w:t>
      </w:r>
      <w:r>
        <w:rPr>
          <w:rFonts w:ascii="Arial" w:cs="Arial" w:eastAsia="Arial" w:hAnsi="Arial"/>
          <w:sz w:val="18"/>
          <w:szCs w:val="18"/>
          <w:u w:val="single" w:color="auto"/>
          <w:color w:val="auto"/>
        </w:rPr>
        <w:t>Section 8(i)</w:t>
      </w:r>
      <w:r>
        <w:rPr>
          <w:rFonts w:ascii="Arial" w:cs="Arial" w:eastAsia="Arial" w:hAnsi="Arial"/>
          <w:sz w:val="18"/>
          <w:szCs w:val="18"/>
          <w:color w:val="auto"/>
        </w:rPr>
        <w:t>.</w:t>
      </w:r>
    </w:p>
    <w:p>
      <w:pPr>
        <w:spacing w:after="0" w:line="172" w:lineRule="exact"/>
        <w:rPr>
          <w:rFonts w:ascii="Arial" w:cs="Arial" w:eastAsia="Arial" w:hAnsi="Arial"/>
          <w:sz w:val="19"/>
          <w:szCs w:val="19"/>
          <w:color w:val="auto"/>
        </w:rPr>
      </w:pPr>
    </w:p>
    <w:p>
      <w:pPr>
        <w:jc w:val="both"/>
        <w:ind w:left="660" w:hanging="409"/>
        <w:spacing w:after="0" w:line="282" w:lineRule="auto"/>
        <w:tabs>
          <w:tab w:leader="none" w:pos="660" w:val="left"/>
        </w:tabs>
        <w:numPr>
          <w:ilvl w:val="1"/>
          <w:numId w:val="71"/>
        </w:numPr>
        <w:rPr>
          <w:rFonts w:ascii="Arial" w:cs="Arial" w:eastAsia="Arial" w:hAnsi="Arial"/>
          <w:sz w:val="21"/>
          <w:szCs w:val="21"/>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On the date specified in a written notice from the Company terminating the Executive’s employment due to Disability, or in the event no date is specified in the notice, on the date on which the notice is delivered to the Executive. For the purposes of this Agreement, “Disability” shall mean that (x) the Executive shall have failed to perform the services contemplated under this Agreement due to a medically determinable physical or mental impairment that can be expected to result in death or can be expected to last for a period of 180 consecutive days, or a total of at least 240 calendar days during any 365-day period, or (y) a determination of permanent disability shall have been made by a physician satisfactory to both the Executive and the Company, provided that if the Executive and the Company do not agree on a physician, the Executive and the Company shall each select a physician and these two together shall select a third physician whose determination as to disability shall be binding on both parties. In the event of the termination of the Executive’s employment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609" w:right="339" w:bottom="1440" w:gutter="0" w:footer="0" w:header="0"/>
        </w:sectPr>
      </w:pPr>
    </w:p>
    <w:bookmarkStart w:id="95" w:name="page96"/>
    <w:bookmarkEnd w:id="95"/>
    <w:p>
      <w:pPr>
        <w:ind w:left="409"/>
        <w:spacing w:after="0" w:line="259" w:lineRule="auto"/>
        <w:rPr>
          <w:sz w:val="20"/>
          <w:szCs w:val="20"/>
          <w:color w:val="auto"/>
        </w:rPr>
      </w:pPr>
      <w:r>
        <w:rPr>
          <w:rFonts w:ascii="Arial" w:cs="Arial" w:eastAsia="Arial" w:hAnsi="Arial"/>
          <w:sz w:val="18"/>
          <w:szCs w:val="18"/>
          <w:color w:val="auto"/>
        </w:rPr>
        <w:t xml:space="preserve">pursuant to this </w:t>
      </w:r>
      <w:r>
        <w:rPr>
          <w:rFonts w:ascii="Arial" w:cs="Arial" w:eastAsia="Arial" w:hAnsi="Arial"/>
          <w:sz w:val="18"/>
          <w:szCs w:val="18"/>
          <w:u w:val="single" w:color="auto"/>
          <w:color w:val="auto"/>
        </w:rPr>
        <w:t>Section 8(b)</w:t>
      </w:r>
      <w:r>
        <w:rPr>
          <w:rFonts w:ascii="Arial" w:cs="Arial" w:eastAsia="Arial" w:hAnsi="Arial"/>
          <w:sz w:val="18"/>
          <w:szCs w:val="18"/>
          <w:color w:val="auto"/>
        </w:rPr>
        <w:t>, the Company shall pay to the Executive the Executive’s Accrued Benefits earned as of the date of the Executive’s termination. The Company shall also pay the Executive (i) any unpaid Annual Bonus for the preceding fiscal year and</w:t>
      </w:r>
    </w:p>
    <w:p>
      <w:pPr>
        <w:spacing w:after="0" w:line="1" w:lineRule="exact"/>
        <w:rPr>
          <w:sz w:val="20"/>
          <w:szCs w:val="20"/>
          <w:color w:val="auto"/>
        </w:rPr>
      </w:pPr>
    </w:p>
    <w:p>
      <w:pPr>
        <w:jc w:val="both"/>
        <w:ind w:left="409" w:hanging="4"/>
        <w:spacing w:after="0" w:line="266" w:lineRule="auto"/>
        <w:tabs>
          <w:tab w:leader="none" w:pos="747" w:val="left"/>
        </w:tabs>
        <w:numPr>
          <w:ilvl w:val="1"/>
          <w:numId w:val="72"/>
        </w:numPr>
        <w:rPr>
          <w:rFonts w:ascii="Arial" w:cs="Arial" w:eastAsia="Arial" w:hAnsi="Arial"/>
          <w:sz w:val="18"/>
          <w:szCs w:val="18"/>
          <w:color w:val="auto"/>
        </w:rPr>
      </w:pPr>
      <w:r>
        <w:rPr>
          <w:rFonts w:ascii="Arial" w:cs="Arial" w:eastAsia="Arial" w:hAnsi="Arial"/>
          <w:sz w:val="18"/>
          <w:szCs w:val="18"/>
          <w:color w:val="auto"/>
        </w:rPr>
        <w:t xml:space="preserve">the Pro-Rated Bonus. Furthermore, notwithstanding anything in the applicable equity incentive plan and/or equity award agreement to the contrary, any unvested portion of any equity awards held by the Executive shall vest in full and become exercisable and free from forfeiture or repurchase, as applicable, as of the effective date of the release as set forth in </w:t>
      </w:r>
      <w:r>
        <w:rPr>
          <w:rFonts w:ascii="Arial" w:cs="Arial" w:eastAsia="Arial" w:hAnsi="Arial"/>
          <w:sz w:val="18"/>
          <w:szCs w:val="18"/>
          <w:u w:val="single" w:color="auto"/>
          <w:color w:val="auto"/>
        </w:rPr>
        <w:t>Section 8(i)</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409" w:hanging="409"/>
        <w:spacing w:after="0" w:line="299" w:lineRule="auto"/>
        <w:tabs>
          <w:tab w:leader="none" w:pos="409" w:val="left"/>
        </w:tabs>
        <w:numPr>
          <w:ilvl w:val="0"/>
          <w:numId w:val="73"/>
        </w:numPr>
        <w:rPr>
          <w:rFonts w:ascii="Arial" w:cs="Arial" w:eastAsia="Arial" w:hAnsi="Arial"/>
          <w:sz w:val="19"/>
          <w:szCs w:val="19"/>
          <w:color w:val="auto"/>
        </w:rPr>
      </w:pPr>
      <w:r>
        <w:rPr>
          <w:rFonts w:ascii="Arial" w:cs="Arial" w:eastAsia="Arial" w:hAnsi="Arial"/>
          <w:sz w:val="18"/>
          <w:szCs w:val="18"/>
          <w:u w:val="single" w:color="auto"/>
          <w:color w:val="auto"/>
        </w:rPr>
        <w:t>For Cause</w:t>
      </w:r>
      <w:r>
        <w:rPr>
          <w:rFonts w:ascii="Arial" w:cs="Arial" w:eastAsia="Arial" w:hAnsi="Arial"/>
          <w:sz w:val="18"/>
          <w:szCs w:val="18"/>
          <w:color w:val="auto"/>
        </w:rPr>
        <w:t xml:space="preserve">. On the date of delivery of a notice from the Company terminating the Executive’s employment for Cause. For purposes of this Agreement, the Company shall have “Cause” to terminate the Executive’s employment hereunder in the event: (i) the Executive shall have willfully failed and continued to fail substantially to perform the duties (other than due to Disability or any failure that the Company anticipated or had reason to anticipate after the issuance by the Executive of a notice of termination) for thirty (30) days after a written demand for performance is delivered to the Executive on behalf of the Company which specifically identifies the manner in which it is alleged that the Executive has not substantially performed her duties, provided that the Company's economic performance or failure to meet any specific projection shall not, in and of itself, constitute “Cause”; (ii) the Executive shall have engaged in (A) any material misappropriation of funds, properties, or assets of the Company, it being understood that “material” for these purposes shall take into account both the amount of funds, properties or assets misappropriated, and the circumstances thereof (including the intent of the Executive in connection therewith); (iii) any malicious damage or destruction of any property or assets of the Company, whether resulting from the Executive's willful actions or omissions or the Executive's gross negligence; (iv) the Executive shall (A) have been convicted of a crime involving moral turpitude or constituting a felony relating to the Company or (B) entered a plea of nolo contendere to any such crime, either of which has had a material adverse effect upon the business of the Company; (v) the Executive shall have (A) materially breached her obligations under </w:t>
      </w:r>
      <w:r>
        <w:rPr>
          <w:rFonts w:ascii="Arial" w:cs="Arial" w:eastAsia="Arial" w:hAnsi="Arial"/>
          <w:sz w:val="18"/>
          <w:szCs w:val="18"/>
          <w:u w:val="single" w:color="auto"/>
          <w:color w:val="auto"/>
        </w:rPr>
        <w:t>Sections 10, 11 and 13</w:t>
      </w:r>
      <w:r>
        <w:rPr>
          <w:rFonts w:ascii="Arial" w:cs="Arial" w:eastAsia="Arial" w:hAnsi="Arial"/>
          <w:sz w:val="18"/>
          <w:szCs w:val="18"/>
          <w:color w:val="auto"/>
        </w:rPr>
        <w:t xml:space="preserve"> hereof or (B) breached any of the other material provisions of this Agreement and such breach shall remain uncured by the Executive within 30 days following receipt of notice from the Company specifying such breach; and/or (vi) (AA) the Executive is sanctioned by a federal or state government or agency with material violations, provided that such violations are willful and knowing violations on the Executive’s part, of federal or state securities laws relating to the Company and for which the Executive is directly responsible, or (BB) the Executive is found by any court, or by any judicial or administrative process or proceeding, to have committed any such violation, provided that any such violation has had a material adverse effect upon the business of the Company. In the event of the termination of the Executive’s employment for Cause pursuant to this </w:t>
      </w:r>
      <w:r>
        <w:rPr>
          <w:rFonts w:ascii="Arial" w:cs="Arial" w:eastAsia="Arial" w:hAnsi="Arial"/>
          <w:sz w:val="18"/>
          <w:szCs w:val="18"/>
          <w:u w:val="single" w:color="auto"/>
          <w:color w:val="auto"/>
        </w:rPr>
        <w:t>Section 8(c)</w:t>
      </w:r>
      <w:r>
        <w:rPr>
          <w:rFonts w:ascii="Arial" w:cs="Arial" w:eastAsia="Arial" w:hAnsi="Arial"/>
          <w:sz w:val="18"/>
          <w:szCs w:val="18"/>
          <w:color w:val="auto"/>
        </w:rPr>
        <w:t>, the Company shall pay to the Executive Accrued Benefits that had been earned but unpaid as of the date of the termination, and the Executive shall receive no further payments of any kind.</w:t>
      </w:r>
    </w:p>
    <w:p>
      <w:pPr>
        <w:spacing w:after="0" w:line="183" w:lineRule="exact"/>
        <w:rPr>
          <w:rFonts w:ascii="Arial" w:cs="Arial" w:eastAsia="Arial" w:hAnsi="Arial"/>
          <w:sz w:val="19"/>
          <w:szCs w:val="19"/>
          <w:color w:val="auto"/>
        </w:rPr>
      </w:pPr>
    </w:p>
    <w:p>
      <w:pPr>
        <w:jc w:val="both"/>
        <w:ind w:left="409" w:hanging="409"/>
        <w:spacing w:after="0" w:line="282" w:lineRule="auto"/>
        <w:tabs>
          <w:tab w:leader="none" w:pos="409" w:val="left"/>
        </w:tabs>
        <w:numPr>
          <w:ilvl w:val="0"/>
          <w:numId w:val="73"/>
        </w:numPr>
        <w:rPr>
          <w:rFonts w:ascii="Arial" w:cs="Arial" w:eastAsia="Arial" w:hAnsi="Arial"/>
          <w:sz w:val="21"/>
          <w:szCs w:val="21"/>
          <w:color w:val="auto"/>
        </w:rPr>
      </w:pPr>
      <w:r>
        <w:rPr>
          <w:rFonts w:ascii="Arial" w:cs="Arial" w:eastAsia="Arial" w:hAnsi="Arial"/>
          <w:sz w:val="19"/>
          <w:szCs w:val="19"/>
          <w:u w:val="single" w:color="auto"/>
          <w:color w:val="auto"/>
        </w:rPr>
        <w:t>Without Cause</w:t>
      </w:r>
      <w:r>
        <w:rPr>
          <w:rFonts w:ascii="Arial" w:cs="Arial" w:eastAsia="Arial" w:hAnsi="Arial"/>
          <w:sz w:val="19"/>
          <w:szCs w:val="19"/>
          <w:color w:val="auto"/>
        </w:rPr>
        <w:t>. On the date specified in a written notice from the Company terminating the Executive’s employment Without Cause, or in the event no date is specified in the notice, on the date on which the notice is delivered to the Executive, provided that such termination may take place no earlier than thirty (30) days after the Company has provided written notice to the Executive of the Company’s intent to terminate employment. The Company reserves the right to provide payment at the Executive’s then-current Base Salary in lieu of all or any portion of such notice period. For purposes of this Agreement, “</w:t>
      </w:r>
      <w:r>
        <w:rPr>
          <w:rFonts w:ascii="Arial" w:cs="Arial" w:eastAsia="Arial" w:hAnsi="Arial"/>
          <w:sz w:val="19"/>
          <w:szCs w:val="19"/>
          <w:u w:val="single" w:color="auto"/>
          <w:color w:val="auto"/>
        </w:rPr>
        <w:t>Without Cause</w:t>
      </w:r>
      <w:r>
        <w:rPr>
          <w:rFonts w:ascii="Arial" w:cs="Arial" w:eastAsia="Arial" w:hAnsi="Arial"/>
          <w:sz w:val="19"/>
          <w:szCs w:val="19"/>
          <w:color w:val="auto"/>
        </w:rPr>
        <w:t xml:space="preserve">” shall mean any reason for the Company’s decision to terminate the Executive’s employment other than by reason of the Executive’s death, Disability, or for Cause, as provided in subsections (a) through (c) above. In the event of the termination of the Executive’s employment Without Cause pursuant to this </w:t>
      </w:r>
      <w:r>
        <w:rPr>
          <w:rFonts w:ascii="Arial" w:cs="Arial" w:eastAsia="Arial" w:hAnsi="Arial"/>
          <w:sz w:val="19"/>
          <w:szCs w:val="19"/>
          <w:u w:val="single" w:color="auto"/>
          <w:color w:val="auto"/>
        </w:rPr>
        <w:t>Section 8(d)</w:t>
      </w:r>
      <w:r>
        <w:rPr>
          <w:rFonts w:ascii="Arial" w:cs="Arial" w:eastAsia="Arial" w:hAnsi="Arial"/>
          <w:sz w:val="19"/>
          <w:szCs w:val="19"/>
          <w:color w:val="auto"/>
        </w:rPr>
        <w:t>, the Company shall pay to the</w:t>
      </w:r>
    </w:p>
    <w:p>
      <w:pPr>
        <w:spacing w:after="0" w:line="399" w:lineRule="exact"/>
        <w:rPr>
          <w:sz w:val="20"/>
          <w:szCs w:val="20"/>
          <w:color w:val="auto"/>
        </w:rPr>
      </w:pPr>
    </w:p>
    <w:p>
      <w:pPr>
        <w:jc w:val="center"/>
        <w:ind w:right="231"/>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989"/>
          </w:cols>
          <w:pgMar w:left="571" w:top="595" w:right="339" w:bottom="1440" w:gutter="0" w:footer="0" w:header="0"/>
        </w:sectPr>
      </w:pPr>
    </w:p>
    <w:bookmarkStart w:id="96" w:name="page97"/>
    <w:bookmarkEnd w:id="96"/>
    <w:p>
      <w:pPr>
        <w:ind w:left="409"/>
        <w:spacing w:after="0"/>
        <w:rPr>
          <w:sz w:val="20"/>
          <w:szCs w:val="20"/>
          <w:color w:val="auto"/>
        </w:rPr>
      </w:pPr>
      <w:r>
        <w:rPr>
          <w:rFonts w:ascii="Arial" w:cs="Arial" w:eastAsia="Arial" w:hAnsi="Arial"/>
          <w:sz w:val="20"/>
          <w:szCs w:val="20"/>
          <w:color w:val="auto"/>
        </w:rPr>
        <w:t>Executive all Accrued Benefits through the date of such termination, and Severance Benefits (as defined below).</w:t>
      </w:r>
    </w:p>
    <w:p>
      <w:pPr>
        <w:spacing w:after="0" w:line="216" w:lineRule="exact"/>
        <w:rPr>
          <w:sz w:val="20"/>
          <w:szCs w:val="20"/>
          <w:color w:val="auto"/>
        </w:rPr>
      </w:pPr>
    </w:p>
    <w:p>
      <w:pPr>
        <w:jc w:val="both"/>
        <w:ind w:left="409" w:hanging="409"/>
        <w:spacing w:after="0" w:line="297" w:lineRule="auto"/>
        <w:tabs>
          <w:tab w:leader="none" w:pos="409" w:val="left"/>
        </w:tabs>
        <w:numPr>
          <w:ilvl w:val="0"/>
          <w:numId w:val="74"/>
        </w:numPr>
        <w:rPr>
          <w:rFonts w:ascii="Arial" w:cs="Arial" w:eastAsia="Arial" w:hAnsi="Arial"/>
          <w:sz w:val="19"/>
          <w:szCs w:val="19"/>
          <w:color w:val="auto"/>
        </w:rPr>
      </w:pPr>
      <w:r>
        <w:rPr>
          <w:rFonts w:ascii="Arial" w:cs="Arial" w:eastAsia="Arial" w:hAnsi="Arial"/>
          <w:sz w:val="18"/>
          <w:szCs w:val="18"/>
          <w:u w:val="single" w:color="auto"/>
          <w:color w:val="auto"/>
        </w:rPr>
        <w:t>For Good Reason</w:t>
      </w:r>
      <w:r>
        <w:rPr>
          <w:rFonts w:ascii="Arial" w:cs="Arial" w:eastAsia="Arial" w:hAnsi="Arial"/>
          <w:sz w:val="18"/>
          <w:szCs w:val="18"/>
          <w:color w:val="auto"/>
        </w:rPr>
        <w:t>. By the Executive for Good Reason as set forth herein. “</w:t>
      </w:r>
      <w:r>
        <w:rPr>
          <w:rFonts w:ascii="Arial" w:cs="Arial" w:eastAsia="Arial" w:hAnsi="Arial"/>
          <w:sz w:val="18"/>
          <w:szCs w:val="18"/>
          <w:u w:val="single" w:color="auto"/>
          <w:color w:val="auto"/>
        </w:rPr>
        <w:t>Good Reason</w:t>
      </w:r>
      <w:r>
        <w:rPr>
          <w:rFonts w:ascii="Arial" w:cs="Arial" w:eastAsia="Arial" w:hAnsi="Arial"/>
          <w:sz w:val="18"/>
          <w:szCs w:val="18"/>
          <w:color w:val="auto"/>
        </w:rPr>
        <w:t xml:space="preserve">” for purposes of this Agreement shall mean the occurrence of any of the following events without the Executive’s consent: (i) any material reduction in the Executive’s then current Base Salary; (ii) the assignment to the Executive of any duties inconsistent with her status as Chief Financial Officer of the Company, her removal from the position of Chief Financial Officer of the Company, or a material diminution in the Executive’s duties, title, or reporting relationship; (iii) the relocation of the Executive’s work location to a location that is more than thirty (30) miles from the Executive’s then-current principal work location, provided, however, that travel during the ordinary course of performance of the Executive’s duties will not constitute Good Reason; and/or (iv) the Company ceasing to provide, in the aggregate, substantially the same employee benefits that are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of this Agreement or a material breach by the Company of any other provision of this Agreement; provided that, in each case, (A) within sixty (60) days of the first occurrence of such event, the Executive must give written notice to the Board stating in reasonable detail the actions or omissions purported to constitute Good Reason, (B) such event is not corrected within thirty (30) days after receiving the Executive’s written notice (the “</w:t>
      </w:r>
      <w:r>
        <w:rPr>
          <w:rFonts w:ascii="Arial" w:cs="Arial" w:eastAsia="Arial" w:hAnsi="Arial"/>
          <w:sz w:val="18"/>
          <w:szCs w:val="18"/>
          <w:u w:val="single" w:color="auto"/>
          <w:color w:val="auto"/>
        </w:rPr>
        <w:t>Cure Period</w:t>
      </w:r>
      <w:r>
        <w:rPr>
          <w:rFonts w:ascii="Arial" w:cs="Arial" w:eastAsia="Arial" w:hAnsi="Arial"/>
          <w:sz w:val="18"/>
          <w:szCs w:val="18"/>
          <w:color w:val="auto"/>
        </w:rPr>
        <w:t>”), and</w:t>
      </w:r>
    </w:p>
    <w:p>
      <w:pPr>
        <w:spacing w:after="0" w:line="3" w:lineRule="exact"/>
        <w:rPr>
          <w:rFonts w:ascii="Arial" w:cs="Arial" w:eastAsia="Arial" w:hAnsi="Arial"/>
          <w:sz w:val="19"/>
          <w:szCs w:val="19"/>
          <w:color w:val="auto"/>
        </w:rPr>
      </w:pPr>
    </w:p>
    <w:p>
      <w:pPr>
        <w:jc w:val="both"/>
        <w:ind w:left="409"/>
        <w:spacing w:after="0" w:line="278" w:lineRule="auto"/>
        <w:rPr>
          <w:rFonts w:ascii="Arial" w:cs="Arial" w:eastAsia="Arial" w:hAnsi="Arial"/>
          <w:sz w:val="19"/>
          <w:szCs w:val="19"/>
          <w:color w:val="auto"/>
        </w:rPr>
      </w:pPr>
      <w:r>
        <w:rPr>
          <w:rFonts w:ascii="Arial" w:cs="Arial" w:eastAsia="Arial" w:hAnsi="Arial"/>
          <w:sz w:val="20"/>
          <w:szCs w:val="20"/>
          <w:color w:val="auto"/>
        </w:rPr>
        <w:t xml:space="preserve">(C) the Executive terminates the Executive’s employment within thirty (30) days following the end of the Cure Period. In the event of the termination by the Executive for Good Reason pursuant to this </w:t>
      </w:r>
      <w:r>
        <w:rPr>
          <w:rFonts w:ascii="Arial" w:cs="Arial" w:eastAsia="Arial" w:hAnsi="Arial"/>
          <w:sz w:val="20"/>
          <w:szCs w:val="20"/>
          <w:u w:val="single" w:color="auto"/>
          <w:color w:val="auto"/>
        </w:rPr>
        <w:t>Section 8(e)</w:t>
      </w:r>
      <w:r>
        <w:rPr>
          <w:rFonts w:ascii="Arial" w:cs="Arial" w:eastAsia="Arial" w:hAnsi="Arial"/>
          <w:sz w:val="20"/>
          <w:szCs w:val="20"/>
          <w:color w:val="auto"/>
        </w:rPr>
        <w:t>, the Company shall pay to the Executive all Accrued Benefits through the date of such termination, and Severance Benefits.</w:t>
      </w:r>
    </w:p>
    <w:p>
      <w:pPr>
        <w:spacing w:after="0" w:line="186" w:lineRule="exact"/>
        <w:rPr>
          <w:rFonts w:ascii="Arial" w:cs="Arial" w:eastAsia="Arial" w:hAnsi="Arial"/>
          <w:sz w:val="19"/>
          <w:szCs w:val="19"/>
          <w:color w:val="auto"/>
        </w:rPr>
      </w:pPr>
    </w:p>
    <w:p>
      <w:pPr>
        <w:jc w:val="both"/>
        <w:ind w:left="409" w:hanging="409"/>
        <w:spacing w:after="0" w:line="265" w:lineRule="auto"/>
        <w:tabs>
          <w:tab w:leader="none" w:pos="409" w:val="left"/>
        </w:tabs>
        <w:numPr>
          <w:ilvl w:val="0"/>
          <w:numId w:val="74"/>
        </w:numPr>
        <w:rPr>
          <w:rFonts w:ascii="Arial" w:cs="Arial" w:eastAsia="Arial" w:hAnsi="Arial"/>
          <w:sz w:val="22"/>
          <w:szCs w:val="22"/>
          <w:color w:val="auto"/>
        </w:rPr>
      </w:pPr>
      <w:r>
        <w:rPr>
          <w:rFonts w:ascii="Arial" w:cs="Arial" w:eastAsia="Arial" w:hAnsi="Arial"/>
          <w:sz w:val="20"/>
          <w:szCs w:val="20"/>
          <w:u w:val="single" w:color="auto"/>
          <w:color w:val="auto"/>
        </w:rPr>
        <w:t>Severance Benefits</w:t>
      </w:r>
      <w:r>
        <w:rPr>
          <w:rFonts w:ascii="Arial" w:cs="Arial" w:eastAsia="Arial" w:hAnsi="Arial"/>
          <w:sz w:val="20"/>
          <w:szCs w:val="20"/>
          <w:color w:val="auto"/>
        </w:rPr>
        <w:t xml:space="preserve">. In the event of the termination of the Executive’s employment by the Company under </w:t>
      </w:r>
      <w:r>
        <w:rPr>
          <w:rFonts w:ascii="Arial" w:cs="Arial" w:eastAsia="Arial" w:hAnsi="Arial"/>
          <w:sz w:val="20"/>
          <w:szCs w:val="20"/>
          <w:u w:val="single" w:color="auto"/>
          <w:color w:val="auto"/>
        </w:rPr>
        <w:t>Section 8(d)</w:t>
      </w:r>
      <w:r>
        <w:rPr>
          <w:rFonts w:ascii="Arial" w:cs="Arial" w:eastAsia="Arial" w:hAnsi="Arial"/>
          <w:sz w:val="20"/>
          <w:szCs w:val="20"/>
          <w:color w:val="auto"/>
        </w:rPr>
        <w:t xml:space="preserve"> (Without Cause) and/or by the Executive under </w:t>
      </w:r>
      <w:r>
        <w:rPr>
          <w:rFonts w:ascii="Arial" w:cs="Arial" w:eastAsia="Arial" w:hAnsi="Arial"/>
          <w:sz w:val="20"/>
          <w:szCs w:val="20"/>
          <w:u w:val="single" w:color="auto"/>
          <w:color w:val="auto"/>
        </w:rPr>
        <w:t>Section 8(e)</w:t>
      </w:r>
      <w:r>
        <w:rPr>
          <w:rFonts w:ascii="Arial" w:cs="Arial" w:eastAsia="Arial" w:hAnsi="Arial"/>
          <w:sz w:val="20"/>
          <w:szCs w:val="20"/>
          <w:color w:val="auto"/>
        </w:rPr>
        <w:t xml:space="preserve"> (for Good Reason) (each, a “</w:t>
      </w:r>
      <w:r>
        <w:rPr>
          <w:rFonts w:ascii="Arial" w:cs="Arial" w:eastAsia="Arial" w:hAnsi="Arial"/>
          <w:sz w:val="20"/>
          <w:szCs w:val="20"/>
          <w:u w:val="single" w:color="auto"/>
          <w:color w:val="auto"/>
        </w:rPr>
        <w:t>Qualifying Termination</w:t>
      </w:r>
      <w:r>
        <w:rPr>
          <w:rFonts w:ascii="Arial" w:cs="Arial" w:eastAsia="Arial" w:hAnsi="Arial"/>
          <w:sz w:val="20"/>
          <w:szCs w:val="20"/>
          <w:color w:val="auto"/>
        </w:rPr>
        <w:t>”), the Company shall pay the Executive each of the following benefits (“</w:t>
      </w:r>
      <w:r>
        <w:rPr>
          <w:rFonts w:ascii="Arial" w:cs="Arial" w:eastAsia="Arial" w:hAnsi="Arial"/>
          <w:sz w:val="20"/>
          <w:szCs w:val="20"/>
          <w:u w:val="single" w:color="auto"/>
          <w:color w:val="auto"/>
        </w:rPr>
        <w:t>Severance Benefits</w:t>
      </w:r>
      <w:r>
        <w:rPr>
          <w:rFonts w:ascii="Arial" w:cs="Arial" w:eastAsia="Arial" w:hAnsi="Arial"/>
          <w:sz w:val="20"/>
          <w:szCs w:val="20"/>
          <w:color w:val="auto"/>
        </w:rPr>
        <w:t>”):</w:t>
      </w:r>
    </w:p>
    <w:p>
      <w:pPr>
        <w:spacing w:after="0" w:line="198" w:lineRule="exact"/>
        <w:rPr>
          <w:rFonts w:ascii="Arial" w:cs="Arial" w:eastAsia="Arial" w:hAnsi="Arial"/>
          <w:sz w:val="22"/>
          <w:szCs w:val="22"/>
          <w:color w:val="auto"/>
        </w:rPr>
      </w:pPr>
    </w:p>
    <w:p>
      <w:pPr>
        <w:jc w:val="right"/>
        <w:ind w:left="729" w:hanging="473"/>
        <w:spacing w:after="0" w:line="293" w:lineRule="auto"/>
        <w:tabs>
          <w:tab w:leader="none" w:pos="477" w:val="left"/>
        </w:tabs>
        <w:numPr>
          <w:ilvl w:val="1"/>
          <w:numId w:val="74"/>
        </w:numPr>
        <w:rPr>
          <w:rFonts w:ascii="Arial" w:cs="Arial" w:eastAsia="Arial" w:hAnsi="Arial"/>
          <w:sz w:val="19"/>
          <w:szCs w:val="19"/>
          <w:color w:val="auto"/>
        </w:rPr>
      </w:pPr>
      <w:r>
        <w:rPr>
          <w:rFonts w:ascii="Arial" w:cs="Arial" w:eastAsia="Arial" w:hAnsi="Arial"/>
          <w:sz w:val="18"/>
          <w:szCs w:val="18"/>
          <w:color w:val="auto"/>
        </w:rPr>
        <w:t>The Company shall pay the Executive a lump sum amount of severance equal to the product of: (A) the Multiplier; and (B) the sum of (aa) the Executive’s then-current Base Salary, and (bb) the Annual Bonus earned by the Executive for the preceding fiscal year (“</w:t>
      </w:r>
      <w:r>
        <w:rPr>
          <w:rFonts w:ascii="Arial" w:cs="Arial" w:eastAsia="Arial" w:hAnsi="Arial"/>
          <w:sz w:val="18"/>
          <w:szCs w:val="18"/>
          <w:u w:val="single" w:color="auto"/>
          <w:color w:val="auto"/>
        </w:rPr>
        <w:t>Prior Annual Bonus</w:t>
      </w:r>
      <w:r>
        <w:rPr>
          <w:rFonts w:ascii="Arial" w:cs="Arial" w:eastAsia="Arial" w:hAnsi="Arial"/>
          <w:sz w:val="18"/>
          <w:szCs w:val="18"/>
          <w:color w:val="auto"/>
        </w:rPr>
        <w:t>”). For purposes of this Agreement, the “</w:t>
      </w:r>
      <w:r>
        <w:rPr>
          <w:rFonts w:ascii="Arial" w:cs="Arial" w:eastAsia="Arial" w:hAnsi="Arial"/>
          <w:sz w:val="18"/>
          <w:szCs w:val="18"/>
          <w:u w:val="single" w:color="auto"/>
          <w:color w:val="auto"/>
        </w:rPr>
        <w:t>Multiplier</w:t>
      </w:r>
      <w:r>
        <w:rPr>
          <w:rFonts w:ascii="Arial" w:cs="Arial" w:eastAsia="Arial" w:hAnsi="Arial"/>
          <w:sz w:val="18"/>
          <w:szCs w:val="18"/>
          <w:color w:val="auto"/>
        </w:rPr>
        <w:t>” shall equal one (1), provided, however, that the Multiplier shall equal two (2) if (x) the Qualifying Termination occurs within the first anniversary of a Change in Control event,</w:t>
      </w:r>
    </w:p>
    <w:p>
      <w:pPr>
        <w:spacing w:after="0" w:line="1" w:lineRule="exact"/>
        <w:rPr>
          <w:rFonts w:ascii="Arial" w:cs="Arial" w:eastAsia="Arial" w:hAnsi="Arial"/>
          <w:sz w:val="19"/>
          <w:szCs w:val="19"/>
          <w:color w:val="auto"/>
        </w:rPr>
      </w:pPr>
    </w:p>
    <w:p>
      <w:pPr>
        <w:jc w:val="both"/>
        <w:ind w:left="729"/>
        <w:spacing w:after="0" w:line="307" w:lineRule="auto"/>
        <w:rPr>
          <w:rFonts w:ascii="Arial" w:cs="Arial" w:eastAsia="Arial" w:hAnsi="Arial"/>
          <w:sz w:val="19"/>
          <w:szCs w:val="19"/>
          <w:color w:val="auto"/>
        </w:rPr>
      </w:pPr>
      <w:r>
        <w:rPr>
          <w:rFonts w:ascii="Arial" w:cs="Arial" w:eastAsia="Arial" w:hAnsi="Arial"/>
          <w:sz w:val="18"/>
          <w:szCs w:val="18"/>
          <w:color w:val="auto"/>
        </w:rPr>
        <w:t>(y) the Executive did not vote in favor of such Change in Control, and (z) the Company’s net assets are greater than one hundred million dollars ($100,000,000) as determined by the Board in good faith. This severance amount shall be paid to the Executive within thirty (30) days following the effective date of the release as set forth in subsection (i). For the avoidance of doubt and for purposes of calculating severance under this Section, (1) if the Qualifying Termination occurs during fiscal year 2020, the Prior Annual Bonus shall equal the Executive’s then-current Base Salary; and (2) if the Qualifying Termination occurs during fiscal year 2021, the Prior Annual Bonus shall equal the annualized rate of the Annual Bonus earned for fiscal year 2020.</w:t>
      </w:r>
    </w:p>
    <w:p>
      <w:pPr>
        <w:spacing w:after="0" w:line="162" w:lineRule="exact"/>
        <w:rPr>
          <w:sz w:val="20"/>
          <w:szCs w:val="20"/>
          <w:color w:val="auto"/>
        </w:rPr>
      </w:pPr>
    </w:p>
    <w:p>
      <w:pPr>
        <w:jc w:val="both"/>
        <w:ind w:left="769" w:hanging="521"/>
        <w:spacing w:after="0" w:line="262" w:lineRule="auto"/>
        <w:rPr>
          <w:sz w:val="20"/>
          <w:szCs w:val="20"/>
          <w:color w:val="auto"/>
        </w:rPr>
      </w:pPr>
      <w:r>
        <w:rPr>
          <w:rFonts w:ascii="Arial" w:cs="Arial" w:eastAsia="Arial" w:hAnsi="Arial"/>
          <w:sz w:val="22"/>
          <w:szCs w:val="22"/>
          <w:color w:val="auto"/>
        </w:rPr>
        <w:t>(ii)</w:t>
      </w:r>
      <w:r>
        <w:rPr>
          <w:rFonts w:ascii="Arial" w:cs="Arial" w:eastAsia="Arial" w:hAnsi="Arial"/>
          <w:sz w:val="19"/>
          <w:szCs w:val="19"/>
          <w:color w:val="auto"/>
        </w:rPr>
        <w:t>Notwithstanding anything in the applicable equity incentive plan and/or equity award agreement to the contrary, any unvested</w:t>
      </w:r>
      <w:r>
        <w:rPr>
          <w:rFonts w:ascii="Arial" w:cs="Arial" w:eastAsia="Arial" w:hAnsi="Arial"/>
          <w:sz w:val="22"/>
          <w:szCs w:val="22"/>
          <w:color w:val="auto"/>
        </w:rPr>
        <w:t xml:space="preserve"> </w:t>
      </w:r>
      <w:r>
        <w:rPr>
          <w:rFonts w:ascii="Arial" w:cs="Arial" w:eastAsia="Arial" w:hAnsi="Arial"/>
          <w:sz w:val="19"/>
          <w:szCs w:val="19"/>
          <w:color w:val="auto"/>
        </w:rPr>
        <w:t xml:space="preserve">portion of any equity awards held by the Executive shall vest in full and become exercisable and free from forfeiture or repurchase, as applicable, as of the date of the effective date of the release as set forth in </w:t>
      </w:r>
      <w:r>
        <w:rPr>
          <w:rFonts w:ascii="Arial" w:cs="Arial" w:eastAsia="Arial" w:hAnsi="Arial"/>
          <w:sz w:val="19"/>
          <w:szCs w:val="19"/>
          <w:u w:val="single" w:color="auto"/>
          <w:color w:val="auto"/>
        </w:rPr>
        <w:t>Section 8(i)</w:t>
      </w:r>
      <w:r>
        <w:rPr>
          <w:rFonts w:ascii="Arial" w:cs="Arial" w:eastAsia="Arial" w:hAnsi="Arial"/>
          <w:sz w:val="19"/>
          <w:szCs w:val="19"/>
          <w:color w:val="auto"/>
        </w:rPr>
        <w:t>.</w:t>
      </w:r>
    </w:p>
    <w:p>
      <w:pPr>
        <w:spacing w:after="0" w:line="195" w:lineRule="exact"/>
        <w:rPr>
          <w:sz w:val="20"/>
          <w:szCs w:val="20"/>
          <w:color w:val="auto"/>
        </w:rPr>
      </w:pPr>
    </w:p>
    <w:p>
      <w:pPr>
        <w:jc w:val="both"/>
        <w:ind w:left="829" w:hanging="575"/>
        <w:spacing w:after="0" w:line="245" w:lineRule="auto"/>
        <w:rPr>
          <w:sz w:val="20"/>
          <w:szCs w:val="20"/>
          <w:color w:val="auto"/>
        </w:rPr>
      </w:pPr>
      <w:r>
        <w:rPr>
          <w:rFonts w:ascii="Arial" w:cs="Arial" w:eastAsia="Arial" w:hAnsi="Arial"/>
          <w:sz w:val="22"/>
          <w:szCs w:val="22"/>
          <w:color w:val="auto"/>
        </w:rPr>
        <w:t>(iii)</w:t>
      </w:r>
      <w:r>
        <w:rPr>
          <w:rFonts w:ascii="Arial" w:cs="Arial" w:eastAsia="Arial" w:hAnsi="Arial"/>
          <w:sz w:val="19"/>
          <w:szCs w:val="19"/>
          <w:color w:val="auto"/>
        </w:rPr>
        <w:t>The Company shall provide, at the Company’s cost, continuation health insurance coverage under the Consolidated Omnibus</w:t>
      </w:r>
      <w:r>
        <w:rPr>
          <w:rFonts w:ascii="Arial" w:cs="Arial" w:eastAsia="Arial" w:hAnsi="Arial"/>
          <w:sz w:val="22"/>
          <w:szCs w:val="22"/>
          <w:color w:val="auto"/>
        </w:rPr>
        <w:t xml:space="preserve"> </w:t>
      </w:r>
      <w:r>
        <w:rPr>
          <w:rFonts w:ascii="Arial" w:cs="Arial" w:eastAsia="Arial" w:hAnsi="Arial"/>
          <w:sz w:val="19"/>
          <w:szCs w:val="19"/>
          <w:color w:val="auto"/>
        </w:rPr>
        <w:t>Budget Reconciliation Act of 1985 (“</w:t>
      </w:r>
      <w:r>
        <w:rPr>
          <w:rFonts w:ascii="Arial" w:cs="Arial" w:eastAsia="Arial" w:hAnsi="Arial"/>
          <w:sz w:val="19"/>
          <w:szCs w:val="19"/>
          <w:u w:val="single" w:color="auto"/>
          <w:color w:val="auto"/>
        </w:rPr>
        <w:t>COBRA</w:t>
      </w:r>
      <w:r>
        <w:rPr>
          <w:rFonts w:ascii="Arial" w:cs="Arial" w:eastAsia="Arial" w:hAnsi="Arial"/>
          <w:sz w:val="19"/>
          <w:szCs w:val="19"/>
          <w:color w:val="auto"/>
        </w:rPr>
        <w:t>”) during the twelve</w:t>
      </w:r>
    </w:p>
    <w:p>
      <w:pPr>
        <w:spacing w:after="0" w:line="200" w:lineRule="exact"/>
        <w:rPr>
          <w:sz w:val="20"/>
          <w:szCs w:val="20"/>
          <w:color w:val="auto"/>
        </w:rPr>
      </w:pPr>
    </w:p>
    <w:p>
      <w:pPr>
        <w:spacing w:after="0" w:line="229" w:lineRule="exact"/>
        <w:rPr>
          <w:sz w:val="20"/>
          <w:szCs w:val="20"/>
          <w:color w:val="auto"/>
        </w:rPr>
      </w:pPr>
    </w:p>
    <w:p>
      <w:pPr>
        <w:jc w:val="center"/>
        <w:ind w:right="231"/>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989"/>
          </w:cols>
          <w:pgMar w:left="571" w:top="595" w:right="339" w:bottom="1440" w:gutter="0" w:footer="0" w:header="0"/>
        </w:sectPr>
      </w:pPr>
    </w:p>
    <w:bookmarkStart w:id="97" w:name="page98"/>
    <w:bookmarkEnd w:id="97"/>
    <w:p>
      <w:pPr>
        <w:jc w:val="both"/>
        <w:ind w:left="640" w:hanging="1"/>
        <w:spacing w:after="0" w:line="248" w:lineRule="auto"/>
        <w:tabs>
          <w:tab w:leader="none" w:pos="1054" w:val="left"/>
        </w:tabs>
        <w:numPr>
          <w:ilvl w:val="1"/>
          <w:numId w:val="75"/>
        </w:numPr>
        <w:rPr>
          <w:rFonts w:ascii="Arial" w:cs="Arial" w:eastAsia="Arial" w:hAnsi="Arial"/>
          <w:sz w:val="19"/>
          <w:szCs w:val="19"/>
          <w:color w:val="auto"/>
        </w:rPr>
      </w:pPr>
      <w:r>
        <w:rPr>
          <w:rFonts w:ascii="Arial" w:cs="Arial" w:eastAsia="Arial" w:hAnsi="Arial"/>
          <w:sz w:val="19"/>
          <w:szCs w:val="19"/>
          <w:color w:val="auto"/>
        </w:rPr>
        <w:t>months following the date of termination (“</w:t>
      </w:r>
      <w:r>
        <w:rPr>
          <w:rFonts w:ascii="Arial" w:cs="Arial" w:eastAsia="Arial" w:hAnsi="Arial"/>
          <w:sz w:val="19"/>
          <w:szCs w:val="19"/>
          <w:u w:val="single" w:color="auto"/>
          <w:color w:val="auto"/>
        </w:rPr>
        <w:t>COBRA Coverage Period</w:t>
      </w:r>
      <w:r>
        <w:rPr>
          <w:rFonts w:ascii="Arial" w:cs="Arial" w:eastAsia="Arial" w:hAnsi="Arial"/>
          <w:sz w:val="19"/>
          <w:szCs w:val="19"/>
          <w:color w:val="auto"/>
        </w:rPr>
        <w:t>”), provided that, these payments for continuation coverage under COBRA shall cease prior to the end of the COBRA Coverage Period if the Executive becomes eligible for other group health insurance coverage from a new employer, and provided further that such coverage provided during the COBRA Coverage Period shall be included in (and not in addition to) the continuation period under COBRA.</w:t>
      </w:r>
    </w:p>
    <w:p>
      <w:pPr>
        <w:spacing w:after="0" w:line="190" w:lineRule="exact"/>
        <w:rPr>
          <w:rFonts w:ascii="Arial" w:cs="Arial" w:eastAsia="Arial" w:hAnsi="Arial"/>
          <w:sz w:val="19"/>
          <w:szCs w:val="19"/>
          <w:color w:val="auto"/>
        </w:rPr>
      </w:pPr>
    </w:p>
    <w:p>
      <w:pPr>
        <w:ind w:left="820" w:hanging="573"/>
        <w:spacing w:after="0" w:line="264" w:lineRule="auto"/>
        <w:tabs>
          <w:tab w:leader="none" w:pos="568" w:val="left"/>
        </w:tabs>
        <w:numPr>
          <w:ilvl w:val="0"/>
          <w:numId w:val="76"/>
        </w:numPr>
        <w:rPr>
          <w:rFonts w:ascii="Arial" w:cs="Arial" w:eastAsia="Arial" w:hAnsi="Arial"/>
          <w:sz w:val="22"/>
          <w:szCs w:val="22"/>
          <w:color w:val="auto"/>
        </w:rPr>
      </w:pPr>
      <w:r>
        <w:rPr>
          <w:rFonts w:ascii="Arial" w:cs="Arial" w:eastAsia="Arial" w:hAnsi="Arial"/>
          <w:sz w:val="20"/>
          <w:szCs w:val="20"/>
          <w:color w:val="auto"/>
        </w:rPr>
        <w:t xml:space="preserve">The Executive shall receive any unpaid Annual Bonus for the preceding fiscal year and the Pro-Rated Bonus, payable in accordance with the timing as set forth in </w:t>
      </w:r>
      <w:r>
        <w:rPr>
          <w:rFonts w:ascii="Arial" w:cs="Arial" w:eastAsia="Arial" w:hAnsi="Arial"/>
          <w:sz w:val="20"/>
          <w:szCs w:val="20"/>
          <w:u w:val="single" w:color="auto"/>
          <w:color w:val="auto"/>
        </w:rPr>
        <w:t>Section 8(h)</w:t>
      </w:r>
      <w:r>
        <w:rPr>
          <w:rFonts w:ascii="Arial" w:cs="Arial" w:eastAsia="Arial" w:hAnsi="Arial"/>
          <w:sz w:val="20"/>
          <w:szCs w:val="20"/>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 the purposes of this Agreement, “</w:t>
      </w:r>
      <w:r>
        <w:rPr>
          <w:rFonts w:ascii="Arial" w:cs="Arial" w:eastAsia="Arial" w:hAnsi="Arial"/>
          <w:sz w:val="19"/>
          <w:szCs w:val="19"/>
          <w:u w:val="single" w:color="auto"/>
          <w:color w:val="auto"/>
        </w:rPr>
        <w:t>Change in Control</w:t>
      </w:r>
      <w:r>
        <w:rPr>
          <w:rFonts w:ascii="Arial" w:cs="Arial" w:eastAsia="Arial" w:hAnsi="Arial"/>
          <w:sz w:val="19"/>
          <w:szCs w:val="19"/>
          <w:color w:val="auto"/>
        </w:rPr>
        <w:t>” shall mean the occurrence of any of the following events during the Term:</w:t>
      </w:r>
    </w:p>
    <w:p>
      <w:pPr>
        <w:spacing w:after="0" w:line="241" w:lineRule="exact"/>
        <w:rPr>
          <w:sz w:val="20"/>
          <w:szCs w:val="20"/>
          <w:color w:val="auto"/>
        </w:rPr>
      </w:pPr>
    </w:p>
    <w:p>
      <w:pPr>
        <w:ind w:left="640" w:hanging="393"/>
        <w:spacing w:after="0"/>
        <w:tabs>
          <w:tab w:leader="none" w:pos="640" w:val="left"/>
        </w:tabs>
        <w:numPr>
          <w:ilvl w:val="0"/>
          <w:numId w:val="77"/>
        </w:numPr>
        <w:rPr>
          <w:rFonts w:ascii="Arial" w:cs="Arial" w:eastAsia="Arial" w:hAnsi="Arial"/>
          <w:sz w:val="20"/>
          <w:szCs w:val="20"/>
          <w:color w:val="auto"/>
        </w:rPr>
      </w:pPr>
      <w:r>
        <w:rPr>
          <w:rFonts w:ascii="Arial" w:cs="Arial" w:eastAsia="Arial" w:hAnsi="Arial"/>
          <w:sz w:val="20"/>
          <w:szCs w:val="20"/>
          <w:color w:val="auto"/>
        </w:rPr>
        <w:t>a majority of the Board ceases to be comprised of Incumbent Directors (as defined below); or</w:t>
      </w:r>
    </w:p>
    <w:p>
      <w:pPr>
        <w:spacing w:after="0" w:line="229" w:lineRule="exact"/>
        <w:rPr>
          <w:rFonts w:ascii="Arial" w:cs="Arial" w:eastAsia="Arial" w:hAnsi="Arial"/>
          <w:sz w:val="20"/>
          <w:szCs w:val="20"/>
          <w:color w:val="auto"/>
        </w:rPr>
      </w:pPr>
    </w:p>
    <w:p>
      <w:pPr>
        <w:ind w:left="1160" w:hanging="913"/>
        <w:spacing w:after="0" w:line="246" w:lineRule="auto"/>
        <w:tabs>
          <w:tab w:leader="none" w:pos="638" w:val="left"/>
        </w:tabs>
        <w:numPr>
          <w:ilvl w:val="0"/>
          <w:numId w:val="77"/>
        </w:numPr>
        <w:rPr>
          <w:rFonts w:ascii="Arial" w:cs="Arial" w:eastAsia="Arial" w:hAnsi="Arial"/>
          <w:sz w:val="20"/>
          <w:szCs w:val="20"/>
          <w:color w:val="auto"/>
        </w:rPr>
      </w:pPr>
      <w:r>
        <w:rPr>
          <w:rFonts w:ascii="Arial" w:cs="Arial" w:eastAsia="Arial" w:hAnsi="Arial"/>
          <w:sz w:val="20"/>
          <w:szCs w:val="20"/>
          <w:color w:val="auto"/>
        </w:rPr>
        <w:t>any individual, entity or group (within the meaning of Section 13(d)(3) or 14(d)(2) of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xml:space="preserve"> (a “</w:t>
      </w:r>
      <w:r>
        <w:rPr>
          <w:rFonts w:ascii="Arial" w:cs="Arial" w:eastAsia="Arial" w:hAnsi="Arial"/>
          <w:sz w:val="20"/>
          <w:szCs w:val="20"/>
          <w:u w:val="single" w:color="auto"/>
          <w:color w:val="auto"/>
        </w:rPr>
        <w:t>Person</w:t>
      </w:r>
      <w:r>
        <w:rPr>
          <w:rFonts w:ascii="Arial" w:cs="Arial" w:eastAsia="Arial" w:hAnsi="Arial"/>
          <w:sz w:val="20"/>
          <w:szCs w:val="20"/>
          <w:color w:val="auto"/>
        </w:rPr>
        <w:t>”) is or becomes the beneficial owner (within the meaning of Rule 13d-3 promulgated under the Securities Exchange Act) of more than 25% of the combined voting power of the then-outstanding voting stock of the Company; or</w:t>
      </w:r>
    </w:p>
    <w:p>
      <w:pPr>
        <w:spacing w:after="0" w:line="96" w:lineRule="exact"/>
        <w:rPr>
          <w:rFonts w:ascii="Arial" w:cs="Arial" w:eastAsia="Arial" w:hAnsi="Arial"/>
          <w:sz w:val="20"/>
          <w:szCs w:val="20"/>
          <w:color w:val="auto"/>
        </w:rPr>
      </w:pPr>
    </w:p>
    <w:p>
      <w:pPr>
        <w:jc w:val="both"/>
        <w:ind w:left="640" w:hanging="393"/>
        <w:spacing w:after="0" w:line="257" w:lineRule="auto"/>
        <w:tabs>
          <w:tab w:leader="none" w:pos="6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consummation of a consolidation, merger, stock sale or similar transaction or series of related transactions (or a sale or transfer of all or substantially all of the Company's assets) (each, a "</w:t>
      </w:r>
      <w:r>
        <w:rPr>
          <w:rFonts w:ascii="Arial" w:cs="Arial" w:eastAsia="Arial" w:hAnsi="Arial"/>
          <w:sz w:val="19"/>
          <w:szCs w:val="19"/>
          <w:u w:val="single" w:color="auto"/>
          <w:color w:val="auto"/>
        </w:rPr>
        <w:t>Business Transaction</w:t>
      </w:r>
      <w:r>
        <w:rPr>
          <w:rFonts w:ascii="Arial" w:cs="Arial" w:eastAsia="Arial" w:hAnsi="Arial"/>
          <w:sz w:val="19"/>
          <w:szCs w:val="19"/>
          <w:color w:val="auto"/>
        </w:rPr>
        <w:t>"),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25% or more of the combined voting power of the then-outstanding shares of voting stock of the entity resulting from such Business Transaction or, if it is such entity, the Company, and (B) at least one-half of the members of the Board of Directors of the entity resulting from such Business Transaction were Incumbent Directors at the time of the execution of the initial agreement providing for such Business Transaction; or</w:t>
      </w:r>
    </w:p>
    <w:p>
      <w:pPr>
        <w:spacing w:after="0" w:line="85" w:lineRule="exact"/>
        <w:rPr>
          <w:rFonts w:ascii="Arial" w:cs="Arial" w:eastAsia="Arial" w:hAnsi="Arial"/>
          <w:sz w:val="19"/>
          <w:szCs w:val="19"/>
          <w:color w:val="auto"/>
        </w:rPr>
      </w:pPr>
    </w:p>
    <w:p>
      <w:pPr>
        <w:ind w:left="640" w:hanging="393"/>
        <w:spacing w:after="0"/>
        <w:tabs>
          <w:tab w:leader="none" w:pos="640"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dissolution or liquidation of the Company.</w:t>
      </w:r>
    </w:p>
    <w:p>
      <w:pPr>
        <w:spacing w:after="0" w:line="216" w:lineRule="exact"/>
        <w:rPr>
          <w:sz w:val="20"/>
          <w:szCs w:val="20"/>
          <w:color w:val="auto"/>
        </w:rPr>
      </w:pPr>
    </w:p>
    <w:p>
      <w:pPr>
        <w:jc w:val="both"/>
        <w:ind w:left="260"/>
        <w:spacing w:after="0" w:line="257"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Incumbent Directors</w:t>
      </w:r>
      <w:r>
        <w:rPr>
          <w:rFonts w:ascii="Arial" w:cs="Arial" w:eastAsia="Arial" w:hAnsi="Arial"/>
          <w:sz w:val="19"/>
          <w:szCs w:val="19"/>
          <w:color w:val="auto"/>
        </w:rPr>
        <w:t xml:space="preserve">” shall mean individuals who, as of the date hereof, are directors of the Company and any individual becoming a director subsequent to the date hereof whose election, nomination for election by the Company's shareholders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Arial" w:cs="Arial" w:eastAsia="Arial" w:hAnsi="Arial"/>
          <w:sz w:val="19"/>
          <w:szCs w:val="19"/>
          <w:u w:val="single" w:color="auto"/>
          <w:color w:val="auto"/>
        </w:rPr>
        <w:t>provided however,</w:t>
      </w:r>
      <w:r>
        <w:rPr>
          <w:rFonts w:ascii="Arial" w:cs="Arial" w:eastAsia="Arial" w:hAnsi="Arial"/>
          <w:sz w:val="19"/>
          <w:szCs w:val="19"/>
          <w:color w:val="auto"/>
        </w:rPr>
        <w:t xml:space="preserve">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by or on behalf of a Person other than the Board.</w:t>
      </w:r>
    </w:p>
    <w:p>
      <w:pPr>
        <w:spacing w:after="0" w:line="230" w:lineRule="exact"/>
        <w:rPr>
          <w:sz w:val="20"/>
          <w:szCs w:val="20"/>
          <w:color w:val="auto"/>
        </w:rPr>
      </w:pPr>
    </w:p>
    <w:p>
      <w:pPr>
        <w:jc w:val="both"/>
        <w:ind w:left="480" w:hanging="485"/>
        <w:spacing w:after="0" w:line="281" w:lineRule="auto"/>
        <w:rPr>
          <w:sz w:val="20"/>
          <w:szCs w:val="20"/>
          <w:color w:val="auto"/>
        </w:rPr>
      </w:pPr>
      <w:r>
        <w:rPr>
          <w:rFonts w:ascii="Arial" w:cs="Arial" w:eastAsia="Arial" w:hAnsi="Arial"/>
          <w:sz w:val="21"/>
          <w:szCs w:val="21"/>
          <w:color w:val="auto"/>
        </w:rPr>
        <w:t>g.</w:t>
      </w:r>
      <w:r>
        <w:rPr>
          <w:rFonts w:ascii="Arial" w:cs="Arial" w:eastAsia="Arial" w:hAnsi="Arial"/>
          <w:sz w:val="18"/>
          <w:szCs w:val="18"/>
          <w:u w:val="single" w:color="auto"/>
          <w:color w:val="auto"/>
        </w:rPr>
        <w:t>By the Executive</w:t>
      </w:r>
      <w:r>
        <w:rPr>
          <w:rFonts w:ascii="Arial" w:cs="Arial" w:eastAsia="Arial" w:hAnsi="Arial"/>
          <w:sz w:val="18"/>
          <w:szCs w:val="18"/>
          <w:color w:val="auto"/>
        </w:rPr>
        <w:t>. Notwithstanding the foregoing, the Executive may terminate the Executive’s employment under this Agreement,</w:t>
      </w:r>
      <w:r>
        <w:rPr>
          <w:rFonts w:ascii="Arial" w:cs="Arial" w:eastAsia="Arial" w:hAnsi="Arial"/>
          <w:sz w:val="21"/>
          <w:szCs w:val="21"/>
          <w:color w:val="auto"/>
        </w:rPr>
        <w:t xml:space="preserve"> </w:t>
      </w:r>
      <w:r>
        <w:rPr>
          <w:rFonts w:ascii="Arial" w:cs="Arial" w:eastAsia="Arial" w:hAnsi="Arial"/>
          <w:sz w:val="18"/>
          <w:szCs w:val="18"/>
          <w:color w:val="auto"/>
        </w:rPr>
        <w:t>provided that such termination may take place no earlier than thirty (30) days after the Executive has provided written notice to the Company of the Executive’s intent to terminate employment. The Company reserves the right to provide payment at the</w:t>
      </w:r>
    </w:p>
    <w:p>
      <w:pPr>
        <w:spacing w:after="0" w:line="394"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980"/>
          </w:cols>
          <w:pgMar w:left="580" w:top="595" w:right="339" w:bottom="1440" w:gutter="0" w:footer="0" w:header="0"/>
        </w:sectPr>
      </w:pPr>
    </w:p>
    <w:bookmarkStart w:id="98" w:name="page99"/>
    <w:bookmarkEnd w:id="98"/>
    <w:p>
      <w:pPr>
        <w:jc w:val="both"/>
        <w:ind w:left="660"/>
        <w:spacing w:after="0" w:line="237" w:lineRule="auto"/>
        <w:rPr>
          <w:sz w:val="20"/>
          <w:szCs w:val="20"/>
          <w:color w:val="auto"/>
        </w:rPr>
      </w:pPr>
      <w:r>
        <w:rPr>
          <w:rFonts w:ascii="Arial" w:cs="Arial" w:eastAsia="Arial" w:hAnsi="Arial"/>
          <w:sz w:val="20"/>
          <w:szCs w:val="20"/>
          <w:color w:val="auto"/>
        </w:rPr>
        <w:t xml:space="preserve">Executive’s then-current Base Salary in lieu of all or any portion of such notice period. In the event Executive terminates the Executive’s employment under this </w:t>
      </w:r>
      <w:r>
        <w:rPr>
          <w:rFonts w:ascii="Arial" w:cs="Arial" w:eastAsia="Arial" w:hAnsi="Arial"/>
          <w:sz w:val="20"/>
          <w:szCs w:val="20"/>
          <w:u w:val="single" w:color="auto"/>
          <w:color w:val="auto"/>
        </w:rPr>
        <w:t>Section 8(g)</w:t>
      </w:r>
      <w:r>
        <w:rPr>
          <w:rFonts w:ascii="Arial" w:cs="Arial" w:eastAsia="Arial" w:hAnsi="Arial"/>
          <w:sz w:val="20"/>
          <w:szCs w:val="20"/>
          <w:color w:val="auto"/>
        </w:rPr>
        <w:t>, the Executive shall receive all Accrued Benefits through the date of such termination.</w:t>
      </w:r>
    </w:p>
    <w:p>
      <w:pPr>
        <w:spacing w:after="0" w:line="192" w:lineRule="exact"/>
        <w:rPr>
          <w:sz w:val="20"/>
          <w:szCs w:val="20"/>
          <w:color w:val="auto"/>
        </w:rPr>
      </w:pPr>
    </w:p>
    <w:p>
      <w:pPr>
        <w:jc w:val="both"/>
        <w:ind w:left="740" w:hanging="485"/>
        <w:spacing w:after="0" w:line="290" w:lineRule="auto"/>
        <w:rPr>
          <w:sz w:val="20"/>
          <w:szCs w:val="20"/>
          <w:color w:val="auto"/>
        </w:rPr>
      </w:pPr>
      <w:r>
        <w:rPr>
          <w:rFonts w:ascii="Arial" w:cs="Arial" w:eastAsia="Arial" w:hAnsi="Arial"/>
          <w:sz w:val="21"/>
          <w:szCs w:val="21"/>
          <w:color w:val="auto"/>
        </w:rPr>
        <w:t>h.</w:t>
      </w:r>
      <w:r>
        <w:rPr>
          <w:rFonts w:ascii="Arial" w:cs="Arial" w:eastAsia="Arial" w:hAnsi="Arial"/>
          <w:sz w:val="18"/>
          <w:szCs w:val="18"/>
          <w:u w:val="single" w:color="auto"/>
          <w:color w:val="auto"/>
        </w:rPr>
        <w:t>Bonus Payment Timing</w:t>
      </w:r>
      <w:r>
        <w:rPr>
          <w:rFonts w:ascii="Arial" w:cs="Arial" w:eastAsia="Arial" w:hAnsi="Arial"/>
          <w:sz w:val="18"/>
          <w:szCs w:val="18"/>
          <w:color w:val="auto"/>
        </w:rPr>
        <w:t>. Subject to the execution and non-revocation of a release as set forth in</w:t>
      </w:r>
      <w:r>
        <w:rPr>
          <w:rFonts w:ascii="Arial" w:cs="Arial" w:eastAsia="Arial" w:hAnsi="Arial"/>
          <w:sz w:val="21"/>
          <w:szCs w:val="21"/>
          <w:color w:val="auto"/>
        </w:rPr>
        <w:t xml:space="preserve"> </w:t>
      </w:r>
      <w:r>
        <w:rPr>
          <w:rFonts w:ascii="Arial" w:cs="Arial" w:eastAsia="Arial" w:hAnsi="Arial"/>
          <w:sz w:val="18"/>
          <w:szCs w:val="18"/>
          <w:u w:val="single" w:color="auto"/>
          <w:color w:val="auto"/>
        </w:rPr>
        <w:t>Section 8(i)</w:t>
      </w:r>
      <w:r>
        <w:rPr>
          <w:rFonts w:ascii="Arial" w:cs="Arial" w:eastAsia="Arial" w:hAnsi="Arial"/>
          <w:sz w:val="21"/>
          <w:szCs w:val="21"/>
          <w:color w:val="auto"/>
        </w:rPr>
        <w:t xml:space="preserve"> </w:t>
      </w:r>
      <w:r>
        <w:rPr>
          <w:rFonts w:ascii="Arial" w:cs="Arial" w:eastAsia="Arial" w:hAnsi="Arial"/>
          <w:sz w:val="18"/>
          <w:szCs w:val="18"/>
          <w:color w:val="auto"/>
        </w:rPr>
        <w:t>and in substantially similar</w:t>
      </w:r>
      <w:r>
        <w:rPr>
          <w:rFonts w:ascii="Arial" w:cs="Arial" w:eastAsia="Arial" w:hAnsi="Arial"/>
          <w:sz w:val="21"/>
          <w:szCs w:val="21"/>
          <w:color w:val="auto"/>
        </w:rPr>
        <w:t xml:space="preserve"> </w:t>
      </w:r>
      <w:r>
        <w:rPr>
          <w:rFonts w:ascii="Arial" w:cs="Arial" w:eastAsia="Arial" w:hAnsi="Arial"/>
          <w:sz w:val="18"/>
          <w:szCs w:val="18"/>
          <w:color w:val="auto"/>
        </w:rPr>
        <w:t xml:space="preserve">to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Company shall (A) pay any unpaid Annual Bonus for the preceding fiscal year otherwise payable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within thirty (30) days following the date of the effective date of such release; and (B) subject to the execution and non-revocation of an additional release of claims substantially similar to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pay the Pro-Rated Bonus otherwise payable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in accordance with the Company’s regular bonus payment schedule for the Annual Bonus for that calendar year, as otherwise payable to similarly situated active employees of the Company, but no later than 2.5 months following the end of the calendar year in which it was earned.</w:t>
      </w:r>
    </w:p>
    <w:p>
      <w:pPr>
        <w:spacing w:after="0" w:line="176" w:lineRule="exact"/>
        <w:rPr>
          <w:sz w:val="20"/>
          <w:szCs w:val="20"/>
          <w:color w:val="auto"/>
        </w:rPr>
      </w:pPr>
    </w:p>
    <w:p>
      <w:pPr>
        <w:jc w:val="both"/>
        <w:ind w:left="700" w:hanging="444"/>
        <w:spacing w:after="0" w:line="270" w:lineRule="auto"/>
        <w:rPr>
          <w:sz w:val="20"/>
          <w:szCs w:val="20"/>
          <w:color w:val="auto"/>
        </w:rPr>
      </w:pPr>
      <w:r>
        <w:rPr>
          <w:rFonts w:ascii="Arial" w:cs="Arial" w:eastAsia="Arial" w:hAnsi="Arial"/>
          <w:sz w:val="22"/>
          <w:szCs w:val="22"/>
          <w:color w:val="auto"/>
        </w:rPr>
        <w:t>i.</w:t>
      </w:r>
      <w:r>
        <w:rPr>
          <w:rFonts w:ascii="Arial" w:cs="Arial" w:eastAsia="Arial" w:hAnsi="Arial"/>
          <w:sz w:val="19"/>
          <w:szCs w:val="19"/>
          <w:b w:val="1"/>
          <w:bCs w:val="1"/>
          <w:u w:val="single" w:color="auto"/>
          <w:color w:val="auto"/>
        </w:rPr>
        <w:t>Release</w:t>
      </w:r>
      <w:r>
        <w:rPr>
          <w:rFonts w:ascii="Arial" w:cs="Arial" w:eastAsia="Arial" w:hAnsi="Arial"/>
          <w:sz w:val="19"/>
          <w:szCs w:val="19"/>
          <w:b w:val="1"/>
          <w:bCs w:val="1"/>
          <w:color w:val="auto"/>
        </w:rPr>
        <w:t>. As a precondition to the payment of any amounts or benefits in addition to earned but unpaid Base Salary upon</w:t>
      </w:r>
      <w:r>
        <w:rPr>
          <w:rFonts w:ascii="Arial" w:cs="Arial" w:eastAsia="Arial" w:hAnsi="Arial"/>
          <w:sz w:val="22"/>
          <w:szCs w:val="22"/>
          <w:color w:val="auto"/>
        </w:rPr>
        <w:t xml:space="preserve"> </w:t>
      </w:r>
      <w:r>
        <w:rPr>
          <w:rFonts w:ascii="Arial" w:cs="Arial" w:eastAsia="Arial" w:hAnsi="Arial"/>
          <w:sz w:val="19"/>
          <w:szCs w:val="19"/>
          <w:b w:val="1"/>
          <w:bCs w:val="1"/>
          <w:color w:val="auto"/>
        </w:rPr>
        <w:t xml:space="preserve">termination of the Executive’s employment under this Agreement, including but not limited to each Severance Benefit, the Executive or the Estate, as applicable, shall be required to execute one or more release of any claims against the Company, Affiliates, and their employee, officers, directors, and shareholders arising out of the Executive’s employment or termination in a form attached hereto as </w:t>
      </w:r>
      <w:r>
        <w:rPr>
          <w:rFonts w:ascii="Arial" w:cs="Arial" w:eastAsia="Arial" w:hAnsi="Arial"/>
          <w:sz w:val="19"/>
          <w:szCs w:val="19"/>
          <w:b w:val="1"/>
          <w:bCs w:val="1"/>
          <w:u w:val="single" w:color="auto"/>
          <w:color w:val="auto"/>
        </w:rPr>
        <w:t>Exhibit B</w:t>
      </w:r>
      <w:r>
        <w:rPr>
          <w:rFonts w:ascii="Arial" w:cs="Arial" w:eastAsia="Arial" w:hAnsi="Arial"/>
          <w:sz w:val="19"/>
          <w:szCs w:val="19"/>
          <w:color w:val="auto"/>
        </w:rPr>
        <w:t>.</w:t>
      </w:r>
    </w:p>
    <w:p>
      <w:pPr>
        <w:spacing w:after="0" w:line="192" w:lineRule="exact"/>
        <w:rPr>
          <w:sz w:val="20"/>
          <w:szCs w:val="20"/>
          <w:color w:val="auto"/>
        </w:rPr>
      </w:pPr>
    </w:p>
    <w:p>
      <w:pPr>
        <w:jc w:val="both"/>
        <w:ind w:left="340" w:hanging="332"/>
        <w:spacing w:after="0" w:line="282" w:lineRule="auto"/>
        <w:tabs>
          <w:tab w:leader="none" w:pos="340" w:val="left"/>
        </w:tabs>
        <w:numPr>
          <w:ilvl w:val="0"/>
          <w:numId w:val="78"/>
        </w:numPr>
        <w:rPr>
          <w:rFonts w:ascii="Arial" w:cs="Arial" w:eastAsia="Arial" w:hAnsi="Arial"/>
          <w:sz w:val="21"/>
          <w:szCs w:val="21"/>
          <w:color w:val="auto"/>
        </w:rPr>
      </w:pPr>
      <w:r>
        <w:rPr>
          <w:rFonts w:ascii="Arial" w:cs="Arial" w:eastAsia="Arial" w:hAnsi="Arial"/>
          <w:sz w:val="19"/>
          <w:szCs w:val="19"/>
          <w:b w:val="1"/>
          <w:bCs w:val="1"/>
          <w:color w:val="auto"/>
        </w:rPr>
        <w:t xml:space="preserve">Intellectual Property. </w:t>
      </w:r>
      <w:r>
        <w:rPr>
          <w:rFonts w:ascii="Arial" w:cs="Arial" w:eastAsia="Arial" w:hAnsi="Arial"/>
          <w:sz w:val="19"/>
          <w:szCs w:val="19"/>
          <w:color w:val="auto"/>
        </w:rPr>
        <w:t>All inventions, technology, processes, innovations, ideas, improvements, developments, methods, designs,</w:t>
      </w:r>
      <w:r>
        <w:rPr>
          <w:rFonts w:ascii="Arial" w:cs="Arial" w:eastAsia="Arial" w:hAnsi="Arial"/>
          <w:sz w:val="19"/>
          <w:szCs w:val="19"/>
          <w:b w:val="1"/>
          <w:bCs w:val="1"/>
          <w:color w:val="auto"/>
        </w:rPr>
        <w:t xml:space="preserve"> </w:t>
      </w:r>
      <w:r>
        <w:rPr>
          <w:rFonts w:ascii="Arial" w:cs="Arial" w:eastAsia="Arial" w:hAnsi="Arial"/>
          <w:sz w:val="19"/>
          <w:szCs w:val="19"/>
          <w:color w:val="auto"/>
        </w:rPr>
        <w:t>analyses, trademarks, service marks, and other indicia of origin, writings, audiovisual works, concepts, drawings, reports and all similar, related, or derivative information or works (whether or not patentable or subject to copyright), including but not limited to all patents, copyrights, copyright registrations, trademarks, and trademark registrations in and to any of the foregoing, along with the right to practice, employ, exploit, use, develop, reproduce, copy, distribute copies, publish, license, or create works derivative of any of the foregoing, and the right to choose not to do or permit any of the aforementioned actions, which relate to the Company’s actual or anticipated business, research and development or existing or future products or services and which are conceived, developed or made by the Executive while employed by the Company or any of their predecessors (collectively, the “</w:t>
      </w:r>
      <w:r>
        <w:rPr>
          <w:rFonts w:ascii="Arial" w:cs="Arial" w:eastAsia="Arial" w:hAnsi="Arial"/>
          <w:sz w:val="19"/>
          <w:szCs w:val="19"/>
          <w:u w:val="single" w:color="auto"/>
          <w:color w:val="auto"/>
        </w:rPr>
        <w:t>Work Product</w:t>
      </w:r>
      <w:r>
        <w:rPr>
          <w:rFonts w:ascii="Arial" w:cs="Arial" w:eastAsia="Arial" w:hAnsi="Arial"/>
          <w:sz w:val="19"/>
          <w:szCs w:val="19"/>
          <w:color w:val="auto"/>
        </w:rPr>
        <w:t>”) belong to the Company. All Work Product created by the Executive while employed by the Company or any of its predecessors will be considered “work made for hire,” and as such, the Company is the sole owner of all rights, title, and interests therein. All other rights to any new Work Product and all rights to any existing Work Product, including but not limited to all of the Executive’s rights to any copyrights or copyright registrations related thereto, are conveyed, assigned and transferred to the Company pursuant to this Agreement. The Executive will promptly disclose and deliver such Work Product to the Company and, at the Company’s expense, perform all actions reasonably requested by the Company (whether during or after the Executive’s employment with the Company) to establish, confirm and protect such ownership (including, without limitation, the execution of assignments, copyright registrations, consents, licenses, powers of attorney and other instruments).</w:t>
      </w:r>
    </w:p>
    <w:p>
      <w:pPr>
        <w:spacing w:after="0" w:line="177" w:lineRule="exact"/>
        <w:rPr>
          <w:rFonts w:ascii="Arial" w:cs="Arial" w:eastAsia="Arial" w:hAnsi="Arial"/>
          <w:sz w:val="21"/>
          <w:szCs w:val="21"/>
          <w:color w:val="auto"/>
        </w:rPr>
      </w:pPr>
    </w:p>
    <w:p>
      <w:pPr>
        <w:jc w:val="both"/>
        <w:ind w:left="340"/>
        <w:spacing w:after="0" w:line="244" w:lineRule="auto"/>
        <w:rPr>
          <w:rFonts w:ascii="Arial" w:cs="Arial" w:eastAsia="Arial" w:hAnsi="Arial"/>
          <w:sz w:val="21"/>
          <w:szCs w:val="21"/>
          <w:color w:val="auto"/>
        </w:rPr>
      </w:pPr>
      <w:r>
        <w:rPr>
          <w:rFonts w:ascii="Arial" w:cs="Arial" w:eastAsia="Arial" w:hAnsi="Arial"/>
          <w:sz w:val="20"/>
          <w:szCs w:val="20"/>
          <w:color w:val="auto"/>
        </w:rPr>
        <w:t xml:space="preserve">Notwithstanding the foregoing, to the extent required under California Labor Code Sections 2870-2872, nothing in this </w:t>
      </w:r>
      <w:r>
        <w:rPr>
          <w:rFonts w:ascii="Arial" w:cs="Arial" w:eastAsia="Arial" w:hAnsi="Arial"/>
          <w:sz w:val="20"/>
          <w:szCs w:val="20"/>
          <w:u w:val="single" w:color="auto"/>
          <w:color w:val="auto"/>
        </w:rPr>
        <w:t>Section 9</w:t>
      </w:r>
      <w:r>
        <w:rPr>
          <w:rFonts w:ascii="Arial" w:cs="Arial" w:eastAsia="Arial" w:hAnsi="Arial"/>
          <w:sz w:val="20"/>
          <w:szCs w:val="20"/>
          <w:color w:val="auto"/>
        </w:rPr>
        <w:t xml:space="preserve"> shall apply to any invention that the Executive developed entirely on the Executive’s own time, without using the Company’s equipment, supplies, facilities, or trade secret information except for those inventions that either: (i) relate to the Company business at the time of conception or reduction to practice, or to actual or demonstrably anticipated research or development of the Company; or (ii) result from any work performed by the Executive for the Company.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595" w:right="339" w:bottom="1440" w:gutter="0" w:footer="0" w:header="0"/>
        </w:sectPr>
      </w:pPr>
    </w:p>
    <w:bookmarkStart w:id="99" w:name="page100"/>
    <w:bookmarkEnd w:id="99"/>
    <w:p>
      <w:pPr>
        <w:jc w:val="both"/>
        <w:ind w:left="340" w:hanging="332"/>
        <w:spacing w:after="0" w:line="287" w:lineRule="auto"/>
        <w:tabs>
          <w:tab w:leader="none" w:pos="340" w:val="left"/>
        </w:tabs>
        <w:numPr>
          <w:ilvl w:val="0"/>
          <w:numId w:val="79"/>
        </w:numPr>
        <w:rPr>
          <w:rFonts w:ascii="Arial" w:cs="Arial" w:eastAsia="Arial" w:hAnsi="Arial"/>
          <w:sz w:val="21"/>
          <w:szCs w:val="21"/>
          <w:color w:val="auto"/>
        </w:rPr>
      </w:pPr>
      <w:r>
        <w:rPr>
          <w:rFonts w:ascii="Arial" w:cs="Arial" w:eastAsia="Arial" w:hAnsi="Arial"/>
          <w:sz w:val="19"/>
          <w:szCs w:val="19"/>
          <w:b w:val="1"/>
          <w:bCs w:val="1"/>
          <w:color w:val="auto"/>
        </w:rPr>
        <w:t xml:space="preserve">Confidential Information. </w:t>
      </w:r>
      <w:r>
        <w:rPr>
          <w:rFonts w:ascii="Arial" w:cs="Arial" w:eastAsia="Arial" w:hAnsi="Arial"/>
          <w:sz w:val="19"/>
          <w:szCs w:val="19"/>
          <w:color w:val="auto"/>
        </w:rPr>
        <w:t>The Executive agrees that, during the Executive’s employment with the Company or its Affiliates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termination of the Executive’s employment, except as required by law, the Executive will not, directly or indirectly, at any time, disclose to any third person or use in any way any non-public information or Confidential Information.</w:t>
      </w:r>
    </w:p>
    <w:p>
      <w:pPr>
        <w:spacing w:after="0" w:line="180" w:lineRule="exact"/>
        <w:rPr>
          <w:rFonts w:ascii="Arial" w:cs="Arial" w:eastAsia="Arial" w:hAnsi="Arial"/>
          <w:sz w:val="21"/>
          <w:szCs w:val="21"/>
          <w:color w:val="auto"/>
        </w:rPr>
      </w:pPr>
    </w:p>
    <w:p>
      <w:pPr>
        <w:jc w:val="both"/>
        <w:ind w:left="660" w:hanging="409"/>
        <w:spacing w:after="0" w:line="282" w:lineRule="auto"/>
        <w:tabs>
          <w:tab w:leader="none" w:pos="660" w:val="left"/>
        </w:tabs>
        <w:numPr>
          <w:ilvl w:val="1"/>
          <w:numId w:val="79"/>
        </w:numPr>
        <w:rPr>
          <w:rFonts w:ascii="Arial" w:cs="Arial" w:eastAsia="Arial" w:hAnsi="Arial"/>
          <w:sz w:val="21"/>
          <w:szCs w:val="21"/>
          <w:color w:val="auto"/>
        </w:rPr>
      </w:pPr>
      <w:r>
        <w:rPr>
          <w:rFonts w:ascii="Arial" w:cs="Arial" w:eastAsia="Arial" w:hAnsi="Arial"/>
          <w:sz w:val="19"/>
          <w:szCs w:val="19"/>
          <w:u w:val="single" w:color="auto"/>
          <w:color w:val="auto"/>
        </w:rPr>
        <w:t>Definition</w:t>
      </w:r>
      <w:r>
        <w:rPr>
          <w:rFonts w:ascii="Arial" w:cs="Arial" w:eastAsia="Arial" w:hAnsi="Arial"/>
          <w:sz w:val="19"/>
          <w:szCs w:val="19"/>
          <w:color w:val="auto"/>
        </w:rPr>
        <w:t>. For purposes of this Agreement, “Confidential Information” shall mean any confidential or proprietary information, including but not limited to: (a) technical, operational and financial information, data, Trade Secrets, formulae, processes, techniques, formats, specifications, manufacturing methods, treatment methods, designs, sketches, photographs, plans, drawings, specifications, samples, reports, pricing information, studies, findings, marketing plans or proposals, inventions, ideas, customer and client lists, information related to business opportunities and business development, and confidential programs or procedures; (b) any intellectual property owned or licensed by the Company or its Affiliates; (c) any information maintained by the Company or its Affiliates as confidential or proprietary information, whether or not it is marked as confidential; and (d) information received by the Company or its Affiliates from third parties under confidential conditions.</w:t>
      </w:r>
    </w:p>
    <w:p>
      <w:pPr>
        <w:spacing w:after="0" w:line="200" w:lineRule="exact"/>
        <w:rPr>
          <w:rFonts w:ascii="Arial" w:cs="Arial" w:eastAsia="Arial" w:hAnsi="Arial"/>
          <w:sz w:val="21"/>
          <w:szCs w:val="21"/>
          <w:color w:val="auto"/>
        </w:rPr>
      </w:pPr>
    </w:p>
    <w:p>
      <w:pPr>
        <w:jc w:val="both"/>
        <w:ind w:left="660" w:hanging="409"/>
        <w:spacing w:after="0" w:line="282" w:lineRule="auto"/>
        <w:tabs>
          <w:tab w:leader="none" w:pos="660" w:val="left"/>
        </w:tabs>
        <w:numPr>
          <w:ilvl w:val="1"/>
          <w:numId w:val="79"/>
        </w:numPr>
        <w:rPr>
          <w:rFonts w:ascii="Arial" w:cs="Arial" w:eastAsia="Arial" w:hAnsi="Arial"/>
          <w:sz w:val="21"/>
          <w:szCs w:val="21"/>
          <w:color w:val="auto"/>
        </w:rPr>
      </w:pPr>
      <w:r>
        <w:rPr>
          <w:rFonts w:ascii="Arial" w:cs="Arial" w:eastAsia="Arial" w:hAnsi="Arial"/>
          <w:sz w:val="19"/>
          <w:szCs w:val="19"/>
          <w:color w:val="auto"/>
        </w:rPr>
        <w:t>Notwithstanding the foregoing, Confidential Information shall not include information: (i) that at the date hereof is in the public domain; (ii) that has come within the public domain through no fault or action of the Executive that has the obligation of confidentiality (provided, however, that the fact that general information may be in or become part of the public domain, in and of itself, does not exclude any specific information from the obligations of this Agreement); (iii) that after the date hereof has been obtained lawfully from any third party which was entitled to disclose such information; and/or (iv) that the Executive is compelled to disclose by any judicial or administrative order after having given prompt notice of such order to the Company.</w:t>
      </w:r>
    </w:p>
    <w:p>
      <w:pPr>
        <w:spacing w:after="0" w:line="201" w:lineRule="exact"/>
        <w:rPr>
          <w:rFonts w:ascii="Arial" w:cs="Arial" w:eastAsia="Arial" w:hAnsi="Arial"/>
          <w:sz w:val="21"/>
          <w:szCs w:val="21"/>
          <w:color w:val="auto"/>
        </w:rPr>
      </w:pPr>
    </w:p>
    <w:p>
      <w:pPr>
        <w:ind w:left="660" w:hanging="409"/>
        <w:spacing w:after="0"/>
        <w:tabs>
          <w:tab w:leader="none" w:pos="660" w:val="left"/>
        </w:tabs>
        <w:numPr>
          <w:ilvl w:val="1"/>
          <w:numId w:val="79"/>
        </w:numPr>
        <w:rPr>
          <w:rFonts w:ascii="Arial" w:cs="Arial" w:eastAsia="Arial" w:hAnsi="Arial"/>
          <w:sz w:val="19"/>
          <w:szCs w:val="19"/>
          <w:color w:val="auto"/>
        </w:rPr>
      </w:pPr>
      <w:r>
        <w:rPr>
          <w:rFonts w:ascii="Arial" w:cs="Arial" w:eastAsia="Arial" w:hAnsi="Arial"/>
          <w:sz w:val="18"/>
          <w:szCs w:val="18"/>
          <w:u w:val="single" w:color="auto"/>
          <w:color w:val="auto"/>
        </w:rPr>
        <w:t>Obligations with respect to Confidential Information</w:t>
      </w:r>
      <w:r>
        <w:rPr>
          <w:rFonts w:ascii="Arial" w:cs="Arial" w:eastAsia="Arial" w:hAnsi="Arial"/>
          <w:sz w:val="18"/>
          <w:szCs w:val="18"/>
          <w:color w:val="auto"/>
        </w:rPr>
        <w:t>. The Executive agrees that, during the Term and thereafter, the Executive will:</w:t>
      </w:r>
    </w:p>
    <w:p>
      <w:pPr>
        <w:spacing w:after="0" w:line="264" w:lineRule="exact"/>
        <w:rPr>
          <w:rFonts w:ascii="Arial" w:cs="Arial" w:eastAsia="Arial" w:hAnsi="Arial"/>
          <w:sz w:val="19"/>
          <w:szCs w:val="19"/>
          <w:color w:val="auto"/>
        </w:rPr>
      </w:pPr>
    </w:p>
    <w:p>
      <w:pPr>
        <w:ind w:left="720" w:hanging="213"/>
        <w:spacing w:after="0"/>
        <w:tabs>
          <w:tab w:leader="none" w:pos="720" w:val="left"/>
        </w:tabs>
        <w:numPr>
          <w:ilvl w:val="2"/>
          <w:numId w:val="79"/>
        </w:numPr>
        <w:rPr>
          <w:rFonts w:ascii="Arial" w:cs="Arial" w:eastAsia="Arial" w:hAnsi="Arial"/>
          <w:sz w:val="22"/>
          <w:szCs w:val="22"/>
          <w:color w:val="auto"/>
        </w:rPr>
      </w:pPr>
      <w:r>
        <w:rPr>
          <w:rFonts w:ascii="Arial" w:cs="Arial" w:eastAsia="Arial" w:hAnsi="Arial"/>
          <w:sz w:val="20"/>
          <w:szCs w:val="20"/>
          <w:color w:val="auto"/>
        </w:rPr>
        <w:t>hold the Confidential Information in strict confidence; and</w:t>
      </w:r>
    </w:p>
    <w:p>
      <w:pPr>
        <w:spacing w:after="0" w:line="231" w:lineRule="exact"/>
        <w:rPr>
          <w:sz w:val="20"/>
          <w:szCs w:val="20"/>
          <w:color w:val="auto"/>
        </w:rPr>
      </w:pPr>
    </w:p>
    <w:p>
      <w:pPr>
        <w:ind w:left="1020" w:hanging="521"/>
        <w:spacing w:after="0" w:line="245" w:lineRule="auto"/>
        <w:rPr>
          <w:sz w:val="20"/>
          <w:szCs w:val="20"/>
          <w:color w:val="auto"/>
        </w:rPr>
      </w:pPr>
      <w:r>
        <w:rPr>
          <w:rFonts w:ascii="Arial" w:cs="Arial" w:eastAsia="Arial" w:hAnsi="Arial"/>
          <w:sz w:val="22"/>
          <w:szCs w:val="22"/>
          <w:color w:val="auto"/>
        </w:rPr>
        <w:t>(ii)</w:t>
      </w:r>
      <w:r>
        <w:rPr>
          <w:rFonts w:ascii="Arial" w:cs="Arial" w:eastAsia="Arial" w:hAnsi="Arial"/>
          <w:sz w:val="19"/>
          <w:szCs w:val="19"/>
          <w:color w:val="auto"/>
        </w:rPr>
        <w:t>not give, sell or disclose Confidential Information to any other third party, unless such party is an auditor or contractor hired by the</w:t>
      </w:r>
      <w:r>
        <w:rPr>
          <w:rFonts w:ascii="Arial" w:cs="Arial" w:eastAsia="Arial" w:hAnsi="Arial"/>
          <w:sz w:val="22"/>
          <w:szCs w:val="22"/>
          <w:color w:val="auto"/>
        </w:rPr>
        <w:t xml:space="preserve"> </w:t>
      </w:r>
      <w:r>
        <w:rPr>
          <w:rFonts w:ascii="Arial" w:cs="Arial" w:eastAsia="Arial" w:hAnsi="Arial"/>
          <w:sz w:val="19"/>
          <w:szCs w:val="19"/>
          <w:color w:val="auto"/>
        </w:rPr>
        <w:t>Company and then only upon written approval of the Board.</w:t>
      </w:r>
    </w:p>
    <w:p>
      <w:pPr>
        <w:spacing w:after="0" w:line="217" w:lineRule="exact"/>
        <w:rPr>
          <w:sz w:val="20"/>
          <w:szCs w:val="20"/>
          <w:color w:val="auto"/>
        </w:rPr>
      </w:pPr>
    </w:p>
    <w:p>
      <w:pPr>
        <w:jc w:val="both"/>
        <w:ind w:left="660"/>
        <w:spacing w:after="0" w:line="282" w:lineRule="auto"/>
        <w:rPr>
          <w:sz w:val="20"/>
          <w:szCs w:val="20"/>
          <w:color w:val="auto"/>
        </w:rPr>
      </w:pPr>
      <w:r>
        <w:rPr>
          <w:rFonts w:ascii="Arial" w:cs="Arial" w:eastAsia="Arial" w:hAnsi="Arial"/>
          <w:sz w:val="18"/>
          <w:szCs w:val="18"/>
          <w:color w:val="auto"/>
        </w:rPr>
        <w:t>For avoidance of doubt, nothing in this Agreement shall prevent the Executive from sharing any Confidential Information or other information with regulators or appropriate governmental agencies without notice to the Company, whether in response to subpoena or otherwise, under the whistleblower provisions of federal law or regulation, and no prior authorization or notification is required prior to the Executive making any such reports or disclosures, provided, that no attorney client privilege shall be waived.</w:t>
      </w:r>
    </w:p>
    <w:p>
      <w:pPr>
        <w:spacing w:after="0" w:line="182" w:lineRule="exact"/>
        <w:rPr>
          <w:sz w:val="20"/>
          <w:szCs w:val="20"/>
          <w:color w:val="auto"/>
        </w:rPr>
      </w:pPr>
    </w:p>
    <w:p>
      <w:pPr>
        <w:jc w:val="both"/>
        <w:ind w:left="340" w:hanging="332"/>
        <w:spacing w:after="0" w:line="267" w:lineRule="auto"/>
        <w:tabs>
          <w:tab w:leader="none" w:pos="340" w:val="left"/>
        </w:tabs>
        <w:numPr>
          <w:ilvl w:val="0"/>
          <w:numId w:val="80"/>
        </w:numPr>
        <w:rPr>
          <w:rFonts w:ascii="Arial" w:cs="Arial" w:eastAsia="Arial" w:hAnsi="Arial"/>
          <w:sz w:val="22"/>
          <w:szCs w:val="22"/>
          <w:color w:val="auto"/>
        </w:rPr>
      </w:pPr>
      <w:r>
        <w:rPr>
          <w:rFonts w:ascii="Arial" w:cs="Arial" w:eastAsia="Arial" w:hAnsi="Arial"/>
          <w:sz w:val="20"/>
          <w:szCs w:val="20"/>
          <w:b w:val="1"/>
          <w:bCs w:val="1"/>
          <w:color w:val="auto"/>
        </w:rPr>
        <w:t xml:space="preserve">Trade Secrets. </w:t>
      </w:r>
      <w:r>
        <w:rPr>
          <w:rFonts w:ascii="Arial" w:cs="Arial" w:eastAsia="Arial" w:hAnsi="Arial"/>
          <w:sz w:val="20"/>
          <w:szCs w:val="20"/>
          <w:color w:val="auto"/>
        </w:rPr>
        <w:t>The Executive acknowledges that the Executive’s obligations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10</w:t>
      </w:r>
      <w:r>
        <w:rPr>
          <w:rFonts w:ascii="Arial" w:cs="Arial" w:eastAsia="Arial" w:hAnsi="Arial"/>
          <w:sz w:val="20"/>
          <w:szCs w:val="20"/>
          <w:b w:val="1"/>
          <w:bCs w:val="1"/>
          <w:color w:val="auto"/>
        </w:rPr>
        <w:t xml:space="preserve"> </w:t>
      </w:r>
      <w:r>
        <w:rPr>
          <w:rFonts w:ascii="Arial" w:cs="Arial" w:eastAsia="Arial" w:hAnsi="Arial"/>
          <w:sz w:val="20"/>
          <w:szCs w:val="20"/>
          <w:color w:val="auto"/>
        </w:rPr>
        <w:t>are separate and distinct from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Executive’s promise and obligation, affirmed by this Agreement, not to disclose or use the Company’s or its Affiliates’ “Trade Secrets,” as defined by the applicable federal and state laws. During and at all times after the Term, Trade Secrets of the Company shall be subject to the maximum protections available under applicable law and no less protection than that provided by this Agreement applicable to “Confidential Information,” as described in </w:t>
      </w:r>
      <w:r>
        <w:rPr>
          <w:rFonts w:ascii="Arial" w:cs="Arial" w:eastAsia="Arial" w:hAnsi="Arial"/>
          <w:sz w:val="20"/>
          <w:szCs w:val="20"/>
          <w:u w:val="single" w:color="auto"/>
          <w:color w:val="auto"/>
        </w:rPr>
        <w:t>Section 10</w:t>
      </w:r>
      <w:r>
        <w:rPr>
          <w:rFonts w:ascii="Arial" w:cs="Arial" w:eastAsia="Arial" w:hAnsi="Arial"/>
          <w:sz w:val="20"/>
          <w:szCs w:val="20"/>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603" w:right="339" w:bottom="1440" w:gutter="0" w:footer="0" w:header="0"/>
        </w:sectPr>
      </w:pPr>
    </w:p>
    <w:bookmarkStart w:id="100" w:name="page101"/>
    <w:bookmarkEnd w:id="100"/>
    <w:p>
      <w:pPr>
        <w:jc w:val="both"/>
        <w:ind w:left="340" w:hanging="332"/>
        <w:spacing w:after="0" w:line="310" w:lineRule="auto"/>
        <w:tabs>
          <w:tab w:leader="none" w:pos="340" w:val="left"/>
        </w:tabs>
        <w:numPr>
          <w:ilvl w:val="0"/>
          <w:numId w:val="81"/>
        </w:numPr>
        <w:rPr>
          <w:rFonts w:ascii="Arial" w:cs="Arial" w:eastAsia="Arial" w:hAnsi="Arial"/>
          <w:sz w:val="19"/>
          <w:szCs w:val="19"/>
          <w:color w:val="auto"/>
        </w:rPr>
      </w:pPr>
      <w:r>
        <w:rPr>
          <w:rFonts w:ascii="Arial" w:cs="Arial" w:eastAsia="Arial" w:hAnsi="Arial"/>
          <w:sz w:val="18"/>
          <w:szCs w:val="18"/>
          <w:b w:val="1"/>
          <w:bCs w:val="1"/>
          <w:color w:val="auto"/>
        </w:rPr>
        <w:t xml:space="preserve">Protected Rights. </w:t>
      </w:r>
      <w:r>
        <w:rPr>
          <w:rFonts w:ascii="Arial" w:cs="Arial" w:eastAsia="Arial" w:hAnsi="Arial"/>
          <w:sz w:val="18"/>
          <w:szCs w:val="18"/>
          <w:color w:val="auto"/>
        </w:rPr>
        <w:t>Nothing in this Agreement prohibits the Executive from reporting to any governmental authority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concerning possible violations of law or regulation. Provided the Executive does so consistent with 18 U.S.C. § 1833, the Executive may disclose Trade Secret information to a government official or to an attorney for the purposes of obtaining legal advice or use it in certain court proceedings without fear of prosecution or liability if the Trade Secret information is filed under seal.</w:t>
      </w:r>
    </w:p>
    <w:p>
      <w:pPr>
        <w:spacing w:after="0" w:line="157" w:lineRule="exact"/>
        <w:rPr>
          <w:rFonts w:ascii="Arial" w:cs="Arial" w:eastAsia="Arial" w:hAnsi="Arial"/>
          <w:sz w:val="19"/>
          <w:szCs w:val="19"/>
          <w:color w:val="auto"/>
        </w:rPr>
      </w:pPr>
    </w:p>
    <w:p>
      <w:pPr>
        <w:jc w:val="both"/>
        <w:ind w:left="340" w:hanging="332"/>
        <w:spacing w:after="0" w:line="284" w:lineRule="auto"/>
        <w:tabs>
          <w:tab w:leader="none" w:pos="340" w:val="left"/>
        </w:tabs>
        <w:numPr>
          <w:ilvl w:val="0"/>
          <w:numId w:val="81"/>
        </w:numPr>
        <w:rPr>
          <w:rFonts w:ascii="Arial" w:cs="Arial" w:eastAsia="Arial" w:hAnsi="Arial"/>
          <w:sz w:val="21"/>
          <w:szCs w:val="21"/>
          <w:color w:val="auto"/>
        </w:rPr>
      </w:pPr>
      <w:r>
        <w:rPr>
          <w:rFonts w:ascii="Arial" w:cs="Arial" w:eastAsia="Arial" w:hAnsi="Arial"/>
          <w:sz w:val="19"/>
          <w:szCs w:val="19"/>
          <w:b w:val="1"/>
          <w:bCs w:val="1"/>
          <w:color w:val="auto"/>
        </w:rPr>
        <w:t xml:space="preserve">Non-Disparagement. </w:t>
      </w:r>
      <w:r>
        <w:rPr>
          <w:rFonts w:ascii="Arial" w:cs="Arial" w:eastAsia="Arial" w:hAnsi="Arial"/>
          <w:sz w:val="19"/>
          <w:szCs w:val="19"/>
          <w:color w:val="auto"/>
        </w:rPr>
        <w:t>The Executive and the Company each agrees that during the Term and thereafter, neither party will disparage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including any products, services or practices, any affiliates, directors, officers, agents, representatives, stockholders or affiliates of the Company, either orally or in writing at any time. For the avoidance of doubt, nothing in this Agreement shall prohibit the either the Company or the Executive from making truthful statements (a) in the course of sworn testimony in administrative, judicial or arbitral proceedings (including, without limitation, depositions in connection with such proceedings), or (b) to regulators or appropriate government agencies in fulfillment of their statutory or regulatory obligations.</w:t>
      </w:r>
    </w:p>
    <w:p>
      <w:pPr>
        <w:spacing w:after="0" w:line="176" w:lineRule="exact"/>
        <w:rPr>
          <w:rFonts w:ascii="Arial" w:cs="Arial" w:eastAsia="Arial" w:hAnsi="Arial"/>
          <w:sz w:val="21"/>
          <w:szCs w:val="21"/>
          <w:color w:val="auto"/>
        </w:rPr>
      </w:pPr>
    </w:p>
    <w:p>
      <w:pPr>
        <w:jc w:val="both"/>
        <w:ind w:left="340" w:hanging="332"/>
        <w:spacing w:after="0" w:line="284" w:lineRule="auto"/>
        <w:tabs>
          <w:tab w:leader="none" w:pos="340" w:val="left"/>
        </w:tabs>
        <w:numPr>
          <w:ilvl w:val="0"/>
          <w:numId w:val="81"/>
        </w:numPr>
        <w:rPr>
          <w:rFonts w:ascii="Arial" w:cs="Arial" w:eastAsia="Arial" w:hAnsi="Arial"/>
          <w:sz w:val="21"/>
          <w:szCs w:val="21"/>
          <w:color w:val="auto"/>
        </w:rPr>
      </w:pPr>
      <w:r>
        <w:rPr>
          <w:rFonts w:ascii="Arial" w:cs="Arial" w:eastAsia="Arial" w:hAnsi="Arial"/>
          <w:sz w:val="19"/>
          <w:szCs w:val="19"/>
          <w:b w:val="1"/>
          <w:bCs w:val="1"/>
          <w:color w:val="auto"/>
        </w:rPr>
        <w:t xml:space="preserve">Company Property. </w:t>
      </w:r>
      <w:r>
        <w:rPr>
          <w:rFonts w:ascii="Arial" w:cs="Arial" w:eastAsia="Arial" w:hAnsi="Arial"/>
          <w:sz w:val="19"/>
          <w:szCs w:val="19"/>
          <w:color w:val="auto"/>
        </w:rPr>
        <w:t>All information, materials, documents, supplies, equipment, and other property furnished to the Executive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in connection with performance of services under this Agreement will be and remain the sole property of the Company. On the date of the termination of the Executive’s employment under this Agreement for any reason, or at any other time at the Company’s request, the Executive must return to the Company all tangible and intellectual property in whatever form belonging to the Company (including, but not limited to, Confidential Information, Company vehicles, laptops, computers, cell phones, wireless electronic mail devices, code, and other equipment, information, documents, and property).</w:t>
      </w:r>
    </w:p>
    <w:p>
      <w:pPr>
        <w:spacing w:after="0" w:line="176" w:lineRule="exact"/>
        <w:rPr>
          <w:rFonts w:ascii="Arial" w:cs="Arial" w:eastAsia="Arial" w:hAnsi="Arial"/>
          <w:sz w:val="21"/>
          <w:szCs w:val="21"/>
          <w:color w:val="auto"/>
        </w:rPr>
      </w:pPr>
    </w:p>
    <w:p>
      <w:pPr>
        <w:jc w:val="both"/>
        <w:ind w:left="340" w:hanging="332"/>
        <w:spacing w:after="0" w:line="267" w:lineRule="auto"/>
        <w:tabs>
          <w:tab w:leader="none" w:pos="340" w:val="left"/>
        </w:tabs>
        <w:numPr>
          <w:ilvl w:val="0"/>
          <w:numId w:val="81"/>
        </w:numPr>
        <w:rPr>
          <w:rFonts w:ascii="Arial" w:cs="Arial" w:eastAsia="Arial" w:hAnsi="Arial"/>
          <w:sz w:val="22"/>
          <w:szCs w:val="22"/>
          <w:color w:val="auto"/>
        </w:rPr>
      </w:pPr>
      <w:r>
        <w:rPr>
          <w:rFonts w:ascii="Arial" w:cs="Arial" w:eastAsia="Arial" w:hAnsi="Arial"/>
          <w:sz w:val="20"/>
          <w:szCs w:val="20"/>
          <w:b w:val="1"/>
          <w:bCs w:val="1"/>
          <w:color w:val="auto"/>
        </w:rPr>
        <w:t xml:space="preserve">Non-Disclosure. </w:t>
      </w:r>
      <w:r>
        <w:rPr>
          <w:rFonts w:ascii="Arial" w:cs="Arial" w:eastAsia="Arial" w:hAnsi="Arial"/>
          <w:sz w:val="20"/>
          <w:szCs w:val="20"/>
          <w:color w:val="auto"/>
        </w:rPr>
        <w:t>Except as otherwise required by law (including, without limitation, in all required filings with the Securities and</w:t>
      </w:r>
      <w:r>
        <w:rPr>
          <w:rFonts w:ascii="Arial" w:cs="Arial" w:eastAsia="Arial" w:hAnsi="Arial"/>
          <w:sz w:val="20"/>
          <w:szCs w:val="20"/>
          <w:b w:val="1"/>
          <w:bCs w:val="1"/>
          <w:color w:val="auto"/>
        </w:rPr>
        <w:t xml:space="preserve"> </w:t>
      </w:r>
      <w:r>
        <w:rPr>
          <w:rFonts w:ascii="Arial" w:cs="Arial" w:eastAsia="Arial" w:hAnsi="Arial"/>
          <w:sz w:val="20"/>
          <w:szCs w:val="20"/>
          <w:color w:val="auto"/>
        </w:rPr>
        <w:t>Exchange Commission), the Executive shall not disclose the financial terms of this Agreement to any person or entity, except that the financial terms of this Agreement may be disclosed to: (a) the Executive’s attorneys, accountants, or financial or tax advisors, and (b) members of the Executive’s immediate family; provided, in the case of each of (a) and (b), that such persons agree not to reveal the financial terms of this Agreement any further.</w:t>
      </w:r>
    </w:p>
    <w:p>
      <w:pPr>
        <w:spacing w:after="0" w:line="193" w:lineRule="exact"/>
        <w:rPr>
          <w:rFonts w:ascii="Arial" w:cs="Arial" w:eastAsia="Arial" w:hAnsi="Arial"/>
          <w:sz w:val="22"/>
          <w:szCs w:val="22"/>
          <w:color w:val="auto"/>
        </w:rPr>
      </w:pPr>
    </w:p>
    <w:p>
      <w:pPr>
        <w:jc w:val="both"/>
        <w:ind w:left="340" w:hanging="332"/>
        <w:spacing w:after="0" w:line="284" w:lineRule="auto"/>
        <w:tabs>
          <w:tab w:leader="none" w:pos="340" w:val="left"/>
        </w:tabs>
        <w:numPr>
          <w:ilvl w:val="0"/>
          <w:numId w:val="81"/>
        </w:numPr>
        <w:rPr>
          <w:rFonts w:ascii="Arial" w:cs="Arial" w:eastAsia="Arial" w:hAnsi="Arial"/>
          <w:sz w:val="21"/>
          <w:szCs w:val="21"/>
          <w:color w:val="auto"/>
        </w:rPr>
      </w:pPr>
      <w:r>
        <w:rPr>
          <w:rFonts w:ascii="Arial" w:cs="Arial" w:eastAsia="Arial" w:hAnsi="Arial"/>
          <w:sz w:val="19"/>
          <w:szCs w:val="19"/>
          <w:b w:val="1"/>
          <w:bCs w:val="1"/>
          <w:color w:val="auto"/>
        </w:rPr>
        <w:t xml:space="preserve">Successors and Assigns, No Third Party Beneficiaries. </w:t>
      </w:r>
      <w:r>
        <w:rPr>
          <w:rFonts w:ascii="Arial" w:cs="Arial" w:eastAsia="Arial" w:hAnsi="Arial"/>
          <w:sz w:val="19"/>
          <w:szCs w:val="19"/>
          <w:color w:val="auto"/>
        </w:rPr>
        <w:t>The rights and obligations of the Company under this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binding on and inure to the benefit of the Company, its successors and permitted assigns. The rights and obligations of the Executive under this Agreement shall be binding on and inure to the benefit of the heirs and legal representatives of the Executive. Neither party may assign this Agreement without the prior written consent of the other, except that the Company may assign the Agreement to any entity acquiring all or substantially all of the assets or the business of the Company.</w:t>
      </w:r>
    </w:p>
    <w:p>
      <w:pPr>
        <w:spacing w:after="0" w:line="178" w:lineRule="exact"/>
        <w:rPr>
          <w:rFonts w:ascii="Arial" w:cs="Arial" w:eastAsia="Arial" w:hAnsi="Arial"/>
          <w:sz w:val="21"/>
          <w:szCs w:val="21"/>
          <w:color w:val="auto"/>
        </w:rPr>
      </w:pPr>
    </w:p>
    <w:p>
      <w:pPr>
        <w:jc w:val="both"/>
        <w:ind w:left="340" w:hanging="332"/>
        <w:spacing w:after="0" w:line="267" w:lineRule="auto"/>
        <w:tabs>
          <w:tab w:leader="none" w:pos="340" w:val="left"/>
        </w:tabs>
        <w:numPr>
          <w:ilvl w:val="0"/>
          <w:numId w:val="81"/>
        </w:numPr>
        <w:rPr>
          <w:rFonts w:ascii="Arial" w:cs="Arial" w:eastAsia="Arial" w:hAnsi="Arial"/>
          <w:sz w:val="22"/>
          <w:szCs w:val="22"/>
          <w:color w:val="auto"/>
        </w:rPr>
      </w:pPr>
      <w:r>
        <w:rPr>
          <w:rFonts w:ascii="Arial" w:cs="Arial" w:eastAsia="Arial" w:hAnsi="Arial"/>
          <w:sz w:val="20"/>
          <w:szCs w:val="20"/>
          <w:b w:val="1"/>
          <w:bCs w:val="1"/>
          <w:color w:val="auto"/>
        </w:rPr>
        <w:t xml:space="preserve">Waiver or Modification. </w:t>
      </w:r>
      <w:r>
        <w:rPr>
          <w:rFonts w:ascii="Arial" w:cs="Arial" w:eastAsia="Arial" w:hAnsi="Arial"/>
          <w:sz w:val="20"/>
          <w:szCs w:val="20"/>
          <w:color w:val="auto"/>
        </w:rPr>
        <w:t>Any waiver by the Company of a breach of any provision of this Agreement shall not operate as, or be</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to be, a waiver of any other breach of such provision of this Agreement. The failure of the Company to insist on strict adherence to any term of this Agreement on one or more occasions shall not be considered a waiver or deprive the Company of the right thereafter to insist on strict adherence to that term or any other term of this Agreement. Neither this Agreement nor any part of it may be waived, changed or terminated orally, and any waiver, amendment or modification must be in writing signed by the Executive and the Company.</w:t>
      </w:r>
    </w:p>
    <w:p>
      <w:pPr>
        <w:spacing w:after="0" w:line="194" w:lineRule="exact"/>
        <w:rPr>
          <w:rFonts w:ascii="Arial" w:cs="Arial" w:eastAsia="Arial" w:hAnsi="Arial"/>
          <w:sz w:val="22"/>
          <w:szCs w:val="22"/>
          <w:color w:val="auto"/>
        </w:rPr>
      </w:pPr>
    </w:p>
    <w:p>
      <w:pPr>
        <w:jc w:val="both"/>
        <w:ind w:left="340" w:hanging="332"/>
        <w:spacing w:after="0" w:line="268" w:lineRule="auto"/>
        <w:tabs>
          <w:tab w:leader="none" w:pos="340" w:val="left"/>
        </w:tabs>
        <w:numPr>
          <w:ilvl w:val="0"/>
          <w:numId w:val="81"/>
        </w:numPr>
        <w:rPr>
          <w:rFonts w:ascii="Arial" w:cs="Arial" w:eastAsia="Arial" w:hAnsi="Arial"/>
          <w:sz w:val="22"/>
          <w:szCs w:val="22"/>
          <w:color w:val="auto"/>
        </w:rPr>
      </w:pPr>
      <w:r>
        <w:rPr>
          <w:rFonts w:ascii="Arial" w:cs="Arial" w:eastAsia="Arial" w:hAnsi="Arial"/>
          <w:sz w:val="20"/>
          <w:szCs w:val="20"/>
          <w:b w:val="1"/>
          <w:bCs w:val="1"/>
          <w:color w:val="auto"/>
        </w:rPr>
        <w:t xml:space="preserve">Choice of Law; Arbitration; Choice of Forum. </w:t>
      </w:r>
      <w:r>
        <w:rPr>
          <w:rFonts w:ascii="Arial" w:cs="Arial" w:eastAsia="Arial" w:hAnsi="Arial"/>
          <w:sz w:val="20"/>
          <w:szCs w:val="20"/>
          <w:color w:val="auto"/>
        </w:rPr>
        <w:t>This Agreement will be governed and construed and enforced in accordance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laws of the State of California without regard to its conflicts of law rules. Any controversy, dispute or claim arising out of this Agreement or relating to the Executive’s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603" w:right="339" w:bottom="1440" w:gutter="0" w:footer="0" w:header="0"/>
        </w:sectPr>
      </w:pPr>
    </w:p>
    <w:bookmarkStart w:id="101" w:name="page102"/>
    <w:bookmarkEnd w:id="101"/>
    <w:p>
      <w:pPr>
        <w:jc w:val="both"/>
        <w:ind w:left="340"/>
        <w:spacing w:after="0" w:line="254" w:lineRule="auto"/>
        <w:rPr>
          <w:sz w:val="20"/>
          <w:szCs w:val="20"/>
          <w:color w:val="auto"/>
        </w:rPr>
      </w:pPr>
      <w:r>
        <w:rPr>
          <w:rFonts w:ascii="Arial" w:cs="Arial" w:eastAsia="Arial" w:hAnsi="Arial"/>
          <w:sz w:val="18"/>
          <w:szCs w:val="18"/>
          <w:color w:val="auto"/>
        </w:rPr>
        <w:t>employment with Company shall first be settled through good faith negotiation. If the parties are unsuccessful at resolving the dispute through negotiation, except for injunctive or other equitable relief or as otherwise provided in this Agreement, any and all legal proceedings arising out of or relating to this Agreement or relating to the Executive’s employment with Company, whether sounding in contract, tort or statute, shall be resolved through a confidential arbitration administered by Judicial Arbitration &amp; Mediation Services, Inc. (“</w:t>
      </w:r>
      <w:r>
        <w:rPr>
          <w:rFonts w:ascii="Arial" w:cs="Arial" w:eastAsia="Arial" w:hAnsi="Arial"/>
          <w:sz w:val="18"/>
          <w:szCs w:val="18"/>
          <w:u w:val="single" w:color="auto"/>
          <w:color w:val="auto"/>
        </w:rPr>
        <w:t>JAMS</w:t>
      </w:r>
      <w:r>
        <w:rPr>
          <w:rFonts w:ascii="Arial" w:cs="Arial" w:eastAsia="Arial" w:hAnsi="Arial"/>
          <w:sz w:val="18"/>
          <w:szCs w:val="18"/>
          <w:color w:val="auto"/>
        </w:rPr>
        <w:t>”) pursuant to the JAMS Employment Arbitration Rules and Procedures, or successor rules then in effect and to the extent permitted by law. The rules and further information are available at www.jamsadr.com. The Federal Arbitration Act, as then in effect, shall govern the interpretation and enforcement of such arbitration proceeding. The arbitrator shall apply California State law to the merits of any dispute or claim, without reference to rules of conflict of law. Any determination or decision by the arbitrator will be final and binding upon the parties and may be enforced in any court of law. The parties agree that any arbitration will take place on an individual, and not on a class, basis. Subject to the provisions of this Section regarding arbitration, the Executive and the Company hereby submit to the exclusive jurisdiction and venue of the federal and state courts located in California for the resolution of any and all claims, causes of action or disputes arising out of, related to the enforcement, if necessary, of any arbitral award made pursuant to the provisions of this Section, and the Executive agrees to waive any claim relating to forum non conveniens.</w:t>
      </w:r>
    </w:p>
    <w:p>
      <w:pPr>
        <w:spacing w:after="0" w:line="170" w:lineRule="exact"/>
        <w:rPr>
          <w:sz w:val="20"/>
          <w:szCs w:val="20"/>
          <w:color w:val="auto"/>
        </w:rPr>
      </w:pPr>
    </w:p>
    <w:p>
      <w:pPr>
        <w:spacing w:after="0"/>
        <w:tabs>
          <w:tab w:leader="none" w:pos="1900" w:val="left"/>
        </w:tabs>
        <w:rPr>
          <w:sz w:val="20"/>
          <w:szCs w:val="20"/>
          <w:color w:val="auto"/>
        </w:rPr>
      </w:pPr>
      <w:r>
        <w:rPr>
          <w:rFonts w:ascii="Arial" w:cs="Arial" w:eastAsia="Arial" w:hAnsi="Arial"/>
          <w:sz w:val="20"/>
          <w:szCs w:val="20"/>
          <w:b w:val="1"/>
          <w:bCs w:val="1"/>
          <w:color w:val="auto"/>
        </w:rPr>
        <w:t>Executive Initials</w:t>
      </w:r>
      <w:r>
        <w:rPr>
          <w:sz w:val="20"/>
          <w:szCs w:val="20"/>
          <w:color w:val="auto"/>
        </w:rPr>
        <w:tab/>
      </w:r>
      <w:r>
        <w:rPr>
          <w:rFonts w:ascii="Arial" w:cs="Arial" w:eastAsia="Arial" w:hAnsi="Arial"/>
          <w:sz w:val="16"/>
          <w:szCs w:val="16"/>
          <w:b w:val="1"/>
          <w:bCs w:val="1"/>
          <w:color w:val="auto"/>
        </w:rPr>
        <w:t>Company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-10795</wp:posOffset>
            </wp:positionV>
            <wp:extent cx="1257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-10795</wp:posOffset>
            </wp:positionV>
            <wp:extent cx="1257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77" w:lineRule="exact"/>
        <w:rPr>
          <w:sz w:val="20"/>
          <w:szCs w:val="20"/>
          <w:color w:val="auto"/>
        </w:rPr>
      </w:pPr>
    </w:p>
    <w:p>
      <w:pPr>
        <w:jc w:val="both"/>
        <w:ind w:left="340" w:hanging="332"/>
        <w:spacing w:after="0" w:line="283" w:lineRule="auto"/>
        <w:tabs>
          <w:tab w:leader="none" w:pos="340" w:val="left"/>
        </w:tabs>
        <w:numPr>
          <w:ilvl w:val="0"/>
          <w:numId w:val="82"/>
        </w:numPr>
        <w:rPr>
          <w:rFonts w:ascii="Arial" w:cs="Arial" w:eastAsia="Arial" w:hAnsi="Arial"/>
          <w:sz w:val="21"/>
          <w:szCs w:val="21"/>
          <w:color w:val="auto"/>
        </w:rPr>
      </w:pPr>
      <w:r>
        <w:rPr>
          <w:rFonts w:ascii="Arial" w:cs="Arial" w:eastAsia="Arial" w:hAnsi="Arial"/>
          <w:sz w:val="19"/>
          <w:szCs w:val="19"/>
          <w:b w:val="1"/>
          <w:bCs w:val="1"/>
          <w:color w:val="auto"/>
        </w:rPr>
        <w:t xml:space="preserve">Entire Agreement; Construction. </w:t>
      </w:r>
      <w:r>
        <w:rPr>
          <w:rFonts w:ascii="Arial" w:cs="Arial" w:eastAsia="Arial" w:hAnsi="Arial"/>
          <w:sz w:val="19"/>
          <w:szCs w:val="19"/>
          <w:color w:val="auto"/>
        </w:rPr>
        <w:t>This Agreement contains the entire understanding of the parties relating to the subject matter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and supersedes all other prior written or oral agreements, understandings or arrangements between the parties relating to the subject matter hereof, including, without limitation, the Prior Employment Agreement. The Executive acknowledges and agrees that the compensation paid under the terms of this Agreement shall be in full satisfaction of any amounts due in connection with the Executive’s employment with the Company except as otherwise expressly agreed to in writing. The Executive acknowledges that, in entering into this Agreement, the Executive did not rely and has not relied on any statements or representations not contained in this Agreement. The parties acknowledge and agree that they have been represented by counsel and that each of the parties has participated in the drafting of this Agreement. Accordingly, it is the intention and agreement of the parties that the language, terms and conditions of this Agreement are not to be construed in any way against or in favor of any party hereto by reason of the responsibilities in connection with the preparation of this Agreement.</w:t>
      </w:r>
    </w:p>
    <w:p>
      <w:pPr>
        <w:spacing w:after="0" w:line="177" w:lineRule="exact"/>
        <w:rPr>
          <w:rFonts w:ascii="Arial" w:cs="Arial" w:eastAsia="Arial" w:hAnsi="Arial"/>
          <w:sz w:val="21"/>
          <w:szCs w:val="21"/>
          <w:color w:val="auto"/>
        </w:rPr>
      </w:pPr>
    </w:p>
    <w:p>
      <w:pPr>
        <w:jc w:val="both"/>
        <w:ind w:left="340" w:hanging="332"/>
        <w:spacing w:after="0" w:line="284" w:lineRule="auto"/>
        <w:tabs>
          <w:tab w:leader="none" w:pos="340" w:val="left"/>
        </w:tabs>
        <w:numPr>
          <w:ilvl w:val="0"/>
          <w:numId w:val="82"/>
        </w:numPr>
        <w:rPr>
          <w:rFonts w:ascii="Arial" w:cs="Arial" w:eastAsia="Arial" w:hAnsi="Arial"/>
          <w:sz w:val="21"/>
          <w:szCs w:val="21"/>
          <w:color w:val="auto"/>
        </w:rPr>
      </w:pPr>
      <w:r>
        <w:rPr>
          <w:rFonts w:ascii="Arial" w:cs="Arial" w:eastAsia="Arial" w:hAnsi="Arial"/>
          <w:sz w:val="19"/>
          <w:szCs w:val="19"/>
          <w:b w:val="1"/>
          <w:bCs w:val="1"/>
          <w:color w:val="auto"/>
        </w:rPr>
        <w:t xml:space="preserve">Severability. </w:t>
      </w:r>
      <w:r>
        <w:rPr>
          <w:rFonts w:ascii="Arial" w:cs="Arial" w:eastAsia="Arial" w:hAnsi="Arial"/>
          <w:sz w:val="19"/>
          <w:szCs w:val="19"/>
          <w:color w:val="auto"/>
        </w:rPr>
        <w:t>Any term or provision of this Agreement that is determined to be invalid or unenforceable by any court of competent</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in any jurisdiction shall,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and such invalid or unenforceable provision shall be modified by such court so that it is enforceable to the extent permitted by applicable law.</w:t>
      </w:r>
    </w:p>
    <w:p>
      <w:pPr>
        <w:spacing w:after="0" w:line="178" w:lineRule="exact"/>
        <w:rPr>
          <w:rFonts w:ascii="Arial" w:cs="Arial" w:eastAsia="Arial" w:hAnsi="Arial"/>
          <w:sz w:val="21"/>
          <w:szCs w:val="21"/>
          <w:color w:val="auto"/>
        </w:rPr>
      </w:pPr>
    </w:p>
    <w:p>
      <w:pPr>
        <w:jc w:val="both"/>
        <w:ind w:left="340" w:hanging="332"/>
        <w:spacing w:after="0" w:line="267" w:lineRule="auto"/>
        <w:tabs>
          <w:tab w:leader="none" w:pos="340" w:val="left"/>
        </w:tabs>
        <w:numPr>
          <w:ilvl w:val="0"/>
          <w:numId w:val="82"/>
        </w:numPr>
        <w:rPr>
          <w:rFonts w:ascii="Arial" w:cs="Arial" w:eastAsia="Arial" w:hAnsi="Arial"/>
          <w:sz w:val="22"/>
          <w:szCs w:val="22"/>
          <w:color w:val="auto"/>
        </w:rPr>
      </w:pPr>
      <w:r>
        <w:rPr>
          <w:rFonts w:ascii="Arial" w:cs="Arial" w:eastAsia="Arial" w:hAnsi="Arial"/>
          <w:sz w:val="20"/>
          <w:szCs w:val="20"/>
          <w:b w:val="1"/>
          <w:bCs w:val="1"/>
          <w:color w:val="auto"/>
        </w:rPr>
        <w:t xml:space="preserve">Notices. </w:t>
      </w:r>
      <w:r>
        <w:rPr>
          <w:rFonts w:ascii="Arial" w:cs="Arial" w:eastAsia="Arial" w:hAnsi="Arial"/>
          <w:sz w:val="20"/>
          <w:szCs w:val="20"/>
          <w:color w:val="auto"/>
        </w:rPr>
        <w:t>All notices, requests, claims, demands and other communications hereunder shall be in writing and shall be given or made (and</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deemed to have been duly given or made upon receipt) by delivery in person, by an internationally recognized overnight courier service, by facsimile or registered or certified mail (postage prepaid, return receipt requested) to the respective parties hereto at the latest addresses provided to the other party.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595" w:right="339" w:bottom="1440" w:gutter="0" w:footer="0" w:header="0"/>
        </w:sectPr>
      </w:pPr>
    </w:p>
    <w:bookmarkStart w:id="102" w:name="page103"/>
    <w:bookmarkEnd w:id="102"/>
    <w:p>
      <w:pPr>
        <w:jc w:val="both"/>
        <w:ind w:left="340" w:hanging="332"/>
        <w:spacing w:after="0" w:line="268" w:lineRule="auto"/>
        <w:tabs>
          <w:tab w:leader="none" w:pos="340" w:val="left"/>
        </w:tabs>
        <w:numPr>
          <w:ilvl w:val="0"/>
          <w:numId w:val="83"/>
        </w:numPr>
        <w:rPr>
          <w:rFonts w:ascii="Arial" w:cs="Arial" w:eastAsia="Arial" w:hAnsi="Arial"/>
          <w:sz w:val="22"/>
          <w:szCs w:val="22"/>
          <w:color w:val="auto"/>
        </w:rPr>
      </w:pPr>
      <w:r>
        <w:rPr>
          <w:rFonts w:ascii="Arial" w:cs="Arial" w:eastAsia="Arial" w:hAnsi="Arial"/>
          <w:sz w:val="20"/>
          <w:szCs w:val="20"/>
          <w:b w:val="1"/>
          <w:bCs w:val="1"/>
          <w:color w:val="auto"/>
        </w:rPr>
        <w:t xml:space="preserve">Affiliates. </w:t>
      </w:r>
      <w:r>
        <w:rPr>
          <w:rFonts w:ascii="Arial" w:cs="Arial" w:eastAsia="Arial" w:hAnsi="Arial"/>
          <w:sz w:val="20"/>
          <w:szCs w:val="20"/>
          <w:color w:val="auto"/>
        </w:rPr>
        <w:t>Whenever used in the Agreement, the term “Affiliates” shall refer to any parent, subsidiary, or other entity (including but not</w:t>
      </w:r>
      <w:r>
        <w:rPr>
          <w:rFonts w:ascii="Arial" w:cs="Arial" w:eastAsia="Arial" w:hAnsi="Arial"/>
          <w:sz w:val="20"/>
          <w:szCs w:val="20"/>
          <w:b w:val="1"/>
          <w:bCs w:val="1"/>
          <w:color w:val="auto"/>
        </w:rPr>
        <w:t xml:space="preserve"> </w:t>
      </w:r>
      <w:r>
        <w:rPr>
          <w:rFonts w:ascii="Arial" w:cs="Arial" w:eastAsia="Arial" w:hAnsi="Arial"/>
          <w:sz w:val="20"/>
          <w:szCs w:val="20"/>
          <w:color w:val="auto"/>
        </w:rPr>
        <w:t>limited to any parent or subsidiary of any such parent, subsidiary or other entity) connected to the Company by common ownership and control, regardless of corporate form.</w:t>
      </w:r>
    </w:p>
    <w:p>
      <w:pPr>
        <w:spacing w:after="0" w:line="202" w:lineRule="exact"/>
        <w:rPr>
          <w:rFonts w:ascii="Arial" w:cs="Arial" w:eastAsia="Arial" w:hAnsi="Arial"/>
          <w:sz w:val="22"/>
          <w:szCs w:val="22"/>
          <w:color w:val="auto"/>
        </w:rPr>
      </w:pPr>
    </w:p>
    <w:p>
      <w:pPr>
        <w:jc w:val="both"/>
        <w:ind w:left="340" w:hanging="332"/>
        <w:spacing w:after="0" w:line="283" w:lineRule="auto"/>
        <w:tabs>
          <w:tab w:leader="none" w:pos="340" w:val="left"/>
        </w:tabs>
        <w:numPr>
          <w:ilvl w:val="0"/>
          <w:numId w:val="83"/>
        </w:numPr>
        <w:rPr>
          <w:rFonts w:ascii="Arial" w:cs="Arial" w:eastAsia="Arial" w:hAnsi="Arial"/>
          <w:sz w:val="21"/>
          <w:szCs w:val="21"/>
          <w:color w:val="auto"/>
        </w:rPr>
      </w:pPr>
      <w:r>
        <w:rPr>
          <w:rFonts w:ascii="Arial" w:cs="Arial" w:eastAsia="Arial" w:hAnsi="Arial"/>
          <w:sz w:val="19"/>
          <w:szCs w:val="19"/>
          <w:b w:val="1"/>
          <w:bCs w:val="1"/>
          <w:color w:val="auto"/>
        </w:rPr>
        <w:t xml:space="preserve">Section 409A Compliance. </w:t>
      </w:r>
      <w:r>
        <w:rPr>
          <w:rFonts w:ascii="Arial" w:cs="Arial" w:eastAsia="Arial" w:hAnsi="Arial"/>
          <w:sz w:val="19"/>
          <w:szCs w:val="19"/>
          <w:color w:val="auto"/>
        </w:rPr>
        <w:t>Except as otherwise expressly provided in this Agreement, any payment that would otherwise constitute</w:t>
      </w:r>
      <w:r>
        <w:rPr>
          <w:rFonts w:ascii="Arial" w:cs="Arial" w:eastAsia="Arial" w:hAnsi="Arial"/>
          <w:sz w:val="19"/>
          <w:szCs w:val="19"/>
          <w:b w:val="1"/>
          <w:bCs w:val="1"/>
          <w:color w:val="auto"/>
        </w:rPr>
        <w:t xml:space="preserve"> </w:t>
      </w:r>
      <w:r>
        <w:rPr>
          <w:rFonts w:ascii="Arial" w:cs="Arial" w:eastAsia="Arial" w:hAnsi="Arial"/>
          <w:sz w:val="19"/>
          <w:szCs w:val="19"/>
          <w:color w:val="auto"/>
        </w:rPr>
        <w:t>deferred compensation within the meaning of Section 409A of the Internal Revenue Code of 1986 (the “Code”), as amended (“Section 409A”), shall be paid within 2 ½ months following the end of the year in which such amount has been earned, but in no case later than the December 31st following the calendar year in which such compensation is otherwise earned. Although the Company makes no guarantee with respect to the tax or other treatment of payments or benefits under this Agreement and shall not be responsible in any event with regard to this Agreement’s compliance with Section 409A, payments under this Agreement are intended to be exempt from or comply with the applicable requirements of Section 409A and will be limited, construed and interpreted in a manner so as to comply therewith. In furtherance of the foregoing:</w:t>
      </w:r>
    </w:p>
    <w:p>
      <w:pPr>
        <w:spacing w:after="0" w:line="199" w:lineRule="exact"/>
        <w:rPr>
          <w:rFonts w:ascii="Arial" w:cs="Arial" w:eastAsia="Arial" w:hAnsi="Arial"/>
          <w:sz w:val="21"/>
          <w:szCs w:val="21"/>
          <w:color w:val="auto"/>
        </w:rPr>
      </w:pPr>
    </w:p>
    <w:p>
      <w:pPr>
        <w:jc w:val="both"/>
        <w:ind w:left="660" w:hanging="409"/>
        <w:spacing w:after="0" w:line="265" w:lineRule="auto"/>
        <w:tabs>
          <w:tab w:leader="none" w:pos="660" w:val="left"/>
        </w:tabs>
        <w:numPr>
          <w:ilvl w:val="1"/>
          <w:numId w:val="83"/>
        </w:numPr>
        <w:rPr>
          <w:rFonts w:ascii="Arial" w:cs="Arial" w:eastAsia="Arial" w:hAnsi="Arial"/>
          <w:sz w:val="22"/>
          <w:szCs w:val="22"/>
          <w:color w:val="auto"/>
        </w:rPr>
      </w:pPr>
      <w:r>
        <w:rPr>
          <w:rFonts w:ascii="Arial" w:cs="Arial" w:eastAsia="Arial" w:hAnsi="Arial"/>
          <w:sz w:val="20"/>
          <w:szCs w:val="20"/>
          <w:color w:val="auto"/>
        </w:rPr>
        <w:t>notwithstanding any provision of this Agreement to the contrary, if the Executive is a “specified employee” as defined for purposes of Section 409A, then all payments to be made to the Executive hereunder due to the termination of employment will be paid, or commence to be paid, on the earlier of the date which is six (6) months after (x) the date that the Executive’s employment with the Company is terminated; or (y) the date of death;</w:t>
      </w:r>
    </w:p>
    <w:p>
      <w:pPr>
        <w:spacing w:after="0" w:line="200" w:lineRule="exact"/>
        <w:rPr>
          <w:rFonts w:ascii="Arial" w:cs="Arial" w:eastAsia="Arial" w:hAnsi="Arial"/>
          <w:sz w:val="22"/>
          <w:szCs w:val="22"/>
          <w:color w:val="auto"/>
        </w:rPr>
      </w:pPr>
    </w:p>
    <w:p>
      <w:pPr>
        <w:ind w:left="660" w:hanging="409"/>
        <w:spacing w:after="0" w:line="334" w:lineRule="auto"/>
        <w:tabs>
          <w:tab w:leader="none" w:pos="660" w:val="left"/>
        </w:tabs>
        <w:numPr>
          <w:ilvl w:val="1"/>
          <w:numId w:val="83"/>
        </w:numPr>
        <w:rPr>
          <w:rFonts w:ascii="Arial" w:cs="Arial" w:eastAsia="Arial" w:hAnsi="Arial"/>
          <w:sz w:val="19"/>
          <w:szCs w:val="19"/>
          <w:color w:val="auto"/>
        </w:rPr>
      </w:pPr>
      <w:r>
        <w:rPr>
          <w:rFonts w:ascii="Arial" w:cs="Arial" w:eastAsia="Arial" w:hAnsi="Arial"/>
          <w:sz w:val="18"/>
          <w:szCs w:val="18"/>
          <w:color w:val="auto"/>
        </w:rPr>
        <w:t>notwithstanding any provision of this Agreement to the contrary, the Executive’s employment with the Company will not be deemed to have been terminated unless and until the Executive has had a “separation from service,” as determined under Section 409A; and</w:t>
      </w:r>
    </w:p>
    <w:p>
      <w:pPr>
        <w:spacing w:after="0" w:line="134" w:lineRule="exact"/>
        <w:rPr>
          <w:rFonts w:ascii="Arial" w:cs="Arial" w:eastAsia="Arial" w:hAnsi="Arial"/>
          <w:sz w:val="19"/>
          <w:szCs w:val="19"/>
          <w:color w:val="auto"/>
        </w:rPr>
      </w:pPr>
    </w:p>
    <w:p>
      <w:pPr>
        <w:ind w:left="660" w:hanging="409"/>
        <w:spacing w:after="0"/>
        <w:tabs>
          <w:tab w:leader="none" w:pos="660" w:val="left"/>
        </w:tabs>
        <w:numPr>
          <w:ilvl w:val="1"/>
          <w:numId w:val="83"/>
        </w:numPr>
        <w:rPr>
          <w:rFonts w:ascii="Arial" w:cs="Arial" w:eastAsia="Arial" w:hAnsi="Arial"/>
          <w:sz w:val="22"/>
          <w:szCs w:val="22"/>
          <w:color w:val="auto"/>
        </w:rPr>
      </w:pPr>
      <w:r>
        <w:rPr>
          <w:rFonts w:ascii="Arial" w:cs="Arial" w:eastAsia="Arial" w:hAnsi="Arial"/>
          <w:sz w:val="20"/>
          <w:szCs w:val="20"/>
          <w:color w:val="auto"/>
        </w:rPr>
        <w:t>each payment that is part of a series of payment will be a single payment for purposes of Section 409A.</w:t>
      </w:r>
    </w:p>
    <w:p>
      <w:pPr>
        <w:spacing w:after="0" w:line="216" w:lineRule="exact"/>
        <w:rPr>
          <w:rFonts w:ascii="Arial" w:cs="Arial" w:eastAsia="Arial" w:hAnsi="Arial"/>
          <w:sz w:val="22"/>
          <w:szCs w:val="22"/>
          <w:color w:val="auto"/>
        </w:rPr>
      </w:pPr>
    </w:p>
    <w:p>
      <w:pPr>
        <w:jc w:val="both"/>
        <w:ind w:left="340" w:hanging="332"/>
        <w:spacing w:after="0" w:line="313"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7"/>
          <w:szCs w:val="17"/>
          <w:b w:val="1"/>
          <w:bCs w:val="1"/>
          <w:color w:val="auto"/>
        </w:rPr>
        <w:t xml:space="preserve">Section 280G. </w:t>
      </w:r>
      <w:r>
        <w:rPr>
          <w:rFonts w:ascii="Arial" w:cs="Arial" w:eastAsia="Arial" w:hAnsi="Arial"/>
          <w:sz w:val="17"/>
          <w:szCs w:val="17"/>
          <w:color w:val="auto"/>
        </w:rPr>
        <w:t>If any payment(s) or benefit(s) the Executive would receive pursuant to this Agreement and/or pursuant to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arrangement would (a) constitute a “parachute payment” within the meaning of Section 280G of the Code, (b) but for this Section, be subject to the excise tax imposed by Section 4999 of the Code (the “</w:t>
      </w:r>
      <w:r>
        <w:rPr>
          <w:rFonts w:ascii="Arial" w:cs="Arial" w:eastAsia="Arial" w:hAnsi="Arial"/>
          <w:sz w:val="17"/>
          <w:szCs w:val="17"/>
          <w:u w:val="single" w:color="auto"/>
          <w:color w:val="auto"/>
        </w:rPr>
        <w:t>Excise Tax</w:t>
      </w:r>
      <w:r>
        <w:rPr>
          <w:rFonts w:ascii="Arial" w:cs="Arial" w:eastAsia="Arial" w:hAnsi="Arial"/>
          <w:sz w:val="17"/>
          <w:szCs w:val="17"/>
          <w:color w:val="auto"/>
        </w:rPr>
        <w:t>”), and (c) if the net-after tax amount (taking into account all applicable taxes payable by the Executive, including any Excise Tax) that the Executive would receive with respect to such payments or benefits does not exceed the Reduced Amount, then such payment(s) or benefit(s) (collectively, “</w:t>
      </w:r>
      <w:r>
        <w:rPr>
          <w:rFonts w:ascii="Arial" w:cs="Arial" w:eastAsia="Arial" w:hAnsi="Arial"/>
          <w:sz w:val="17"/>
          <w:szCs w:val="17"/>
          <w:u w:val="single" w:color="auto"/>
          <w:color w:val="auto"/>
        </w:rPr>
        <w:t>Payments</w:t>
      </w:r>
      <w:r>
        <w:rPr>
          <w:rFonts w:ascii="Arial" w:cs="Arial" w:eastAsia="Arial" w:hAnsi="Arial"/>
          <w:sz w:val="17"/>
          <w:szCs w:val="17"/>
          <w:color w:val="auto"/>
        </w:rPr>
        <w:t>”) shall be reduced to the Reduced Amount. The “</w:t>
      </w:r>
      <w:r>
        <w:rPr>
          <w:rFonts w:ascii="Arial" w:cs="Arial" w:eastAsia="Arial" w:hAnsi="Arial"/>
          <w:sz w:val="17"/>
          <w:szCs w:val="17"/>
          <w:u w:val="single" w:color="auto"/>
          <w:color w:val="auto"/>
        </w:rPr>
        <w:t>Reduced Amount</w:t>
      </w:r>
      <w:r>
        <w:rPr>
          <w:rFonts w:ascii="Arial" w:cs="Arial" w:eastAsia="Arial" w:hAnsi="Arial"/>
          <w:sz w:val="17"/>
          <w:szCs w:val="17"/>
          <w:color w:val="auto"/>
        </w:rPr>
        <w:t>” shall be the largest portion of the Payments that can be paid or provided without causing any portion of the Payments being subject to the Excise Tax. If a reduction in payments or benefits constituting “parachute payments” is necessary so that the Payments equal the Reduced Amount, reduction shall occur in the following order: (i) first, any severance payments; (ii) second, any other cash payments due under any other agreement between the Company and the Executive;</w:t>
      </w:r>
    </w:p>
    <w:p>
      <w:pPr>
        <w:spacing w:after="0" w:line="5" w:lineRule="exact"/>
        <w:rPr>
          <w:rFonts w:ascii="Arial" w:cs="Arial" w:eastAsia="Arial" w:hAnsi="Arial"/>
          <w:sz w:val="18"/>
          <w:szCs w:val="18"/>
          <w:color w:val="auto"/>
        </w:rPr>
      </w:pPr>
    </w:p>
    <w:p>
      <w:pPr>
        <w:jc w:val="both"/>
        <w:ind w:left="340" w:hanging="8"/>
        <w:spacing w:after="0" w:line="274" w:lineRule="auto"/>
        <w:tabs>
          <w:tab w:leader="none" w:pos="698" w:val="left"/>
        </w:tabs>
        <w:numPr>
          <w:ilvl w:val="2"/>
          <w:numId w:val="83"/>
        </w:numPr>
        <w:rPr>
          <w:rFonts w:ascii="Arial" w:cs="Arial" w:eastAsia="Arial" w:hAnsi="Arial"/>
          <w:sz w:val="20"/>
          <w:szCs w:val="20"/>
          <w:color w:val="auto"/>
        </w:rPr>
      </w:pPr>
      <w:r>
        <w:rPr>
          <w:rFonts w:ascii="Arial" w:cs="Arial" w:eastAsia="Arial" w:hAnsi="Arial"/>
          <w:sz w:val="20"/>
          <w:szCs w:val="20"/>
          <w:color w:val="auto"/>
        </w:rPr>
        <w:t>third, cancellation of the acceleration of vesting of any stock options; (iv) fourth, cancellation of the acceleration of vesting of any restricted stock and restricted stock units; and (v) lastly, other non-cash forms of benefits. Calculations of the foregoing will be performed at the expense of the Company by an accounting firm selected by the Company. The determinations of such accounting firm shall be final, binding and conclusive upon the Company and the Executive.</w:t>
      </w:r>
    </w:p>
    <w:p>
      <w:pPr>
        <w:spacing w:after="0" w:line="185" w:lineRule="exact"/>
        <w:rPr>
          <w:rFonts w:ascii="Arial" w:cs="Arial" w:eastAsia="Arial" w:hAnsi="Arial"/>
          <w:sz w:val="20"/>
          <w:szCs w:val="20"/>
          <w:color w:val="auto"/>
        </w:rPr>
      </w:pPr>
    </w:p>
    <w:p>
      <w:pPr>
        <w:jc w:val="both"/>
        <w:ind w:left="340" w:hanging="332"/>
        <w:spacing w:after="0" w:line="268" w:lineRule="auto"/>
        <w:tabs>
          <w:tab w:leader="none" w:pos="340" w:val="left"/>
        </w:tabs>
        <w:numPr>
          <w:ilvl w:val="0"/>
          <w:numId w:val="83"/>
        </w:numPr>
        <w:rPr>
          <w:rFonts w:ascii="Arial" w:cs="Arial" w:eastAsia="Arial" w:hAnsi="Arial"/>
          <w:sz w:val="22"/>
          <w:szCs w:val="22"/>
          <w:color w:val="auto"/>
        </w:rPr>
      </w:pPr>
      <w:r>
        <w:rPr>
          <w:rFonts w:ascii="Arial" w:cs="Arial" w:eastAsia="Arial" w:hAnsi="Arial"/>
          <w:sz w:val="20"/>
          <w:szCs w:val="20"/>
          <w:b w:val="1"/>
          <w:bCs w:val="1"/>
          <w:color w:val="auto"/>
        </w:rPr>
        <w:t xml:space="preserve">Indemnification. </w:t>
      </w:r>
      <w:r>
        <w:rPr>
          <w:rFonts w:ascii="Arial" w:cs="Arial" w:eastAsia="Arial" w:hAnsi="Arial"/>
          <w:sz w:val="20"/>
          <w:szCs w:val="20"/>
          <w:color w:val="auto"/>
        </w:rPr>
        <w:t>The Executive shall not be liable to the Company for any loss, damage or claim incurred by reason of any act or</w:t>
      </w:r>
      <w:r>
        <w:rPr>
          <w:rFonts w:ascii="Arial" w:cs="Arial" w:eastAsia="Arial" w:hAnsi="Arial"/>
          <w:sz w:val="20"/>
          <w:szCs w:val="20"/>
          <w:b w:val="1"/>
          <w:bCs w:val="1"/>
          <w:color w:val="auto"/>
        </w:rPr>
        <w:t xml:space="preserve"> </w:t>
      </w:r>
      <w:r>
        <w:rPr>
          <w:rFonts w:ascii="Arial" w:cs="Arial" w:eastAsia="Arial" w:hAnsi="Arial"/>
          <w:sz w:val="20"/>
          <w:szCs w:val="20"/>
          <w:color w:val="auto"/>
        </w:rPr>
        <w:t>omission performed or omitted by the Executive in good faith on behalf of the Company and in a manner reasonably believed by the Executive to be within the scope of the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603" w:right="339" w:bottom="1440" w:gutter="0" w:footer="0" w:header="0"/>
        </w:sectPr>
      </w:pPr>
    </w:p>
    <w:bookmarkStart w:id="103" w:name="page104"/>
    <w:bookmarkEnd w:id="103"/>
    <w:p>
      <w:pPr>
        <w:jc w:val="both"/>
        <w:ind w:left="340"/>
        <w:spacing w:after="0" w:line="254" w:lineRule="auto"/>
        <w:rPr>
          <w:sz w:val="20"/>
          <w:szCs w:val="20"/>
          <w:color w:val="auto"/>
        </w:rPr>
      </w:pPr>
      <w:r>
        <w:rPr>
          <w:rFonts w:ascii="Arial" w:cs="Arial" w:eastAsia="Arial" w:hAnsi="Arial"/>
          <w:sz w:val="18"/>
          <w:szCs w:val="18"/>
          <w:color w:val="auto"/>
        </w:rPr>
        <w:t xml:space="preserve">authority conferred on the Executive by this Agreement, except that the Executive shall be liable for any such loss, damage or claim incurred by reason of the Executive’s fraud or intentional malfeasance. To the fullest extent permitted by applicable law, the Company shall indemnify the Executive for any loss, damage or claim incurred by the Executive by reason of any act or omission performed or omitted by the Executive in good faith on behalf of the Company and in a manner reasonably believed by the Executive to be within the scope of the authority conferred on the Executive by this Agreement, except that the Executive shall not be entitled to be indemnified in respect of any loss, damage or claim incurred by the Executive by reason of the Executive’s gross negligence or willful misconduct with respect to such acts or omissions, as determined by a final and non-appealable arbitration adjudication pursuant to the provisions of </w:t>
      </w:r>
      <w:r>
        <w:rPr>
          <w:rFonts w:ascii="Arial" w:cs="Arial" w:eastAsia="Arial" w:hAnsi="Arial"/>
          <w:sz w:val="18"/>
          <w:szCs w:val="18"/>
          <w:u w:val="single" w:color="auto"/>
          <w:color w:val="auto"/>
        </w:rPr>
        <w:t>Section 18</w:t>
      </w:r>
      <w:r>
        <w:rPr>
          <w:rFonts w:ascii="Arial" w:cs="Arial" w:eastAsia="Arial" w:hAnsi="Arial"/>
          <w:sz w:val="18"/>
          <w:szCs w:val="18"/>
          <w:color w:val="auto"/>
        </w:rPr>
        <w:t>; provided, however, that, for the avoidance of doubt, any indemnity under this Section shall be provided out of and to the extent of Company assets only, and the members of the Company shall have no personal liability on account thereof. To the fullest extent permitted by applicable law, expenses (including reasonable and documented legal fees) incurred by the Executive in defending any claim, demand, action, suit or proceeding brought by any person or entity other than Company or any Affiliate shall, from time to time, be advanced by the Company prior to the final disposition of such claim, demand, action, suit or proceeding upon receipt by the Company of an undertaking by or on behalf of the Executive to repay such amount if it shall ultimately be determined that the Executive is not entitled to be indemnified as authorized in this Section.</w:t>
      </w:r>
    </w:p>
    <w:p>
      <w:pPr>
        <w:spacing w:after="0" w:line="181" w:lineRule="exact"/>
        <w:rPr>
          <w:sz w:val="20"/>
          <w:szCs w:val="20"/>
          <w:color w:val="auto"/>
        </w:rPr>
      </w:pPr>
    </w:p>
    <w:p>
      <w:pPr>
        <w:ind w:left="340" w:hanging="332"/>
        <w:spacing w:after="0" w:line="298" w:lineRule="auto"/>
        <w:tabs>
          <w:tab w:leader="none" w:pos="340" w:val="left"/>
        </w:tabs>
        <w:numPr>
          <w:ilvl w:val="0"/>
          <w:numId w:val="84"/>
        </w:numPr>
        <w:rPr>
          <w:rFonts w:ascii="Arial" w:cs="Arial" w:eastAsia="Arial" w:hAnsi="Arial"/>
          <w:sz w:val="21"/>
          <w:szCs w:val="21"/>
          <w:color w:val="auto"/>
        </w:rPr>
      </w:pPr>
      <w:r>
        <w:rPr>
          <w:rFonts w:ascii="Arial" w:cs="Arial" w:eastAsia="Arial" w:hAnsi="Arial"/>
          <w:sz w:val="19"/>
          <w:szCs w:val="19"/>
          <w:b w:val="1"/>
          <w:bCs w:val="1"/>
          <w:color w:val="auto"/>
        </w:rPr>
        <w:t xml:space="preserve">Legal Fees of the Executive. </w:t>
      </w:r>
      <w:r>
        <w:rPr>
          <w:rFonts w:ascii="Arial" w:cs="Arial" w:eastAsia="Arial" w:hAnsi="Arial"/>
          <w:sz w:val="19"/>
          <w:szCs w:val="19"/>
          <w:color w:val="auto"/>
        </w:rPr>
        <w:t>The Company will pay, or reimburse the Executive, for the reasonable legal fees and expenses incurred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Executive’s legal counsel in connection with entering into this Agreement up to fifteen thousand dollars ($15,000).</w:t>
      </w:r>
    </w:p>
    <w:p>
      <w:pPr>
        <w:spacing w:after="0" w:line="157" w:lineRule="exact"/>
        <w:rPr>
          <w:rFonts w:ascii="Arial" w:cs="Arial" w:eastAsia="Arial" w:hAnsi="Arial"/>
          <w:sz w:val="21"/>
          <w:szCs w:val="21"/>
          <w:color w:val="auto"/>
        </w:rPr>
      </w:pPr>
    </w:p>
    <w:p>
      <w:pPr>
        <w:ind w:left="340" w:hanging="332"/>
        <w:spacing w:after="0" w:line="298" w:lineRule="auto"/>
        <w:tabs>
          <w:tab w:leader="none" w:pos="340" w:val="left"/>
        </w:tabs>
        <w:numPr>
          <w:ilvl w:val="0"/>
          <w:numId w:val="84"/>
        </w:numPr>
        <w:rPr>
          <w:rFonts w:ascii="Arial" w:cs="Arial" w:eastAsia="Arial" w:hAnsi="Arial"/>
          <w:sz w:val="21"/>
          <w:szCs w:val="21"/>
          <w:color w:val="auto"/>
        </w:rPr>
      </w:pPr>
      <w:r>
        <w:rPr>
          <w:rFonts w:ascii="Arial" w:cs="Arial" w:eastAsia="Arial" w:hAnsi="Arial"/>
          <w:sz w:val="19"/>
          <w:szCs w:val="19"/>
          <w:b w:val="1"/>
          <w:bCs w:val="1"/>
          <w:color w:val="auto"/>
        </w:rPr>
        <w:t xml:space="preserve">Survival. </w:t>
      </w:r>
      <w:r>
        <w:rPr>
          <w:rFonts w:ascii="Arial" w:cs="Arial" w:eastAsia="Arial" w:hAnsi="Arial"/>
          <w:sz w:val="19"/>
          <w:szCs w:val="19"/>
          <w:color w:val="auto"/>
        </w:rPr>
        <w:t>The covenants, agreements, representations and warranties contained in this Agreement shall survive the termination of the</w:t>
      </w:r>
      <w:r>
        <w:rPr>
          <w:rFonts w:ascii="Arial" w:cs="Arial" w:eastAsia="Arial" w:hAnsi="Arial"/>
          <w:sz w:val="19"/>
          <w:szCs w:val="19"/>
          <w:b w:val="1"/>
          <w:bCs w:val="1"/>
          <w:color w:val="auto"/>
        </w:rPr>
        <w:t xml:space="preserve"> </w:t>
      </w:r>
      <w:r>
        <w:rPr>
          <w:rFonts w:ascii="Arial" w:cs="Arial" w:eastAsia="Arial" w:hAnsi="Arial"/>
          <w:sz w:val="19"/>
          <w:szCs w:val="19"/>
          <w:color w:val="auto"/>
        </w:rPr>
        <w:t>Term and the Executive’s termination of employment with the Company or its Affiliates at any time and for any reason.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595"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9"/>
          <w:szCs w:val="19"/>
          <w:color w:val="auto"/>
        </w:rPr>
        <w:t>IN WITNESS WHEREOF, this Agreement has been executed and delivered by the parties as of the first date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160" w:type="dxa"/>
            <w:vAlign w:val="bottom"/>
          </w:tcPr>
          <w:p>
            <w:pPr>
              <w:ind w:left="40"/>
              <w:spacing w:after="0"/>
              <w:rPr>
                <w:sz w:val="20"/>
                <w:szCs w:val="20"/>
                <w:color w:val="auto"/>
              </w:rPr>
            </w:pPr>
            <w:r>
              <w:rPr>
                <w:rFonts w:ascii="Arial" w:cs="Arial" w:eastAsia="Arial" w:hAnsi="Arial"/>
                <w:sz w:val="20"/>
                <w:szCs w:val="20"/>
                <w:b w:val="1"/>
                <w:bCs w:val="1"/>
                <w:color w:val="auto"/>
              </w:rPr>
              <w:t>EXECUTIVE:</w:t>
            </w:r>
          </w:p>
        </w:tc>
        <w:tc>
          <w:tcPr>
            <w:tcW w:w="7080" w:type="dxa"/>
            <w:vAlign w:val="bottom"/>
            <w:gridSpan w:val="2"/>
          </w:tcPr>
          <w:p>
            <w:pPr>
              <w:ind w:left="1840"/>
              <w:spacing w:after="0"/>
              <w:rPr>
                <w:sz w:val="20"/>
                <w:szCs w:val="20"/>
                <w:color w:val="auto"/>
              </w:rPr>
            </w:pPr>
            <w:r>
              <w:rPr>
                <w:rFonts w:ascii="Arial" w:cs="Arial" w:eastAsia="Arial" w:hAnsi="Arial"/>
                <w:sz w:val="20"/>
                <w:szCs w:val="20"/>
                <w:b w:val="1"/>
                <w:bCs w:val="1"/>
                <w:color w:val="auto"/>
              </w:rPr>
              <w:t>SUTTER ROCK CAPITAL CORP.</w:t>
            </w:r>
          </w:p>
        </w:tc>
      </w:tr>
      <w:tr>
        <w:trPr>
          <w:trHeight w:val="608"/>
        </w:trPr>
        <w:tc>
          <w:tcPr>
            <w:tcW w:w="4160" w:type="dxa"/>
            <w:vAlign w:val="bottom"/>
          </w:tcPr>
          <w:p>
            <w:pPr>
              <w:ind w:left="40"/>
              <w:spacing w:after="0"/>
              <w:rPr>
                <w:sz w:val="20"/>
                <w:szCs w:val="20"/>
                <w:color w:val="auto"/>
              </w:rPr>
            </w:pPr>
            <w:r>
              <w:rPr>
                <w:rFonts w:ascii="Arial" w:cs="Arial" w:eastAsia="Arial" w:hAnsi="Arial"/>
                <w:sz w:val="20"/>
                <w:szCs w:val="20"/>
                <w:color w:val="auto"/>
              </w:rPr>
              <w:t>/s/ Allison Green</w:t>
            </w:r>
          </w:p>
        </w:tc>
        <w:tc>
          <w:tcPr>
            <w:tcW w:w="2700" w:type="dxa"/>
            <w:vAlign w:val="bottom"/>
          </w:tcPr>
          <w:p>
            <w:pPr>
              <w:ind w:left="1840"/>
              <w:spacing w:after="0"/>
              <w:rPr>
                <w:sz w:val="20"/>
                <w:szCs w:val="20"/>
                <w:color w:val="auto"/>
              </w:rPr>
            </w:pPr>
            <w:r>
              <w:rPr>
                <w:rFonts w:ascii="Arial" w:cs="Arial" w:eastAsia="Arial" w:hAnsi="Arial"/>
                <w:sz w:val="20"/>
                <w:szCs w:val="20"/>
                <w:color w:val="auto"/>
              </w:rPr>
              <w:t>By:</w:t>
            </w:r>
          </w:p>
        </w:tc>
        <w:tc>
          <w:tcPr>
            <w:tcW w:w="4380" w:type="dxa"/>
            <w:vAlign w:val="bottom"/>
          </w:tcPr>
          <w:p>
            <w:pPr>
              <w:ind w:left="40"/>
              <w:spacing w:after="0"/>
              <w:rPr>
                <w:sz w:val="20"/>
                <w:szCs w:val="20"/>
                <w:color w:val="auto"/>
              </w:rPr>
            </w:pPr>
            <w:r>
              <w:rPr>
                <w:rFonts w:ascii="Arial" w:cs="Arial" w:eastAsia="Arial" w:hAnsi="Arial"/>
                <w:sz w:val="20"/>
                <w:szCs w:val="20"/>
                <w:color w:val="auto"/>
              </w:rPr>
              <w:t>/s/ Mark D. Klein</w:t>
            </w:r>
          </w:p>
        </w:tc>
      </w:tr>
      <w:tr>
        <w:trPr>
          <w:trHeight w:val="23"/>
        </w:trPr>
        <w:tc>
          <w:tcPr>
            <w:tcW w:w="4160" w:type="dxa"/>
            <w:vAlign w:val="bottom"/>
            <w:tcBorders>
              <w:bottom w:val="single" w:sz="8" w:color="auto"/>
            </w:tcBorders>
          </w:tcPr>
          <w:p>
            <w:pPr>
              <w:spacing w:after="0"/>
              <w:rPr>
                <w:sz w:val="2"/>
                <w:szCs w:val="2"/>
                <w:color w:val="auto"/>
              </w:rPr>
            </w:pPr>
          </w:p>
        </w:tc>
        <w:tc>
          <w:tcPr>
            <w:tcW w:w="2700" w:type="dxa"/>
            <w:vAlign w:val="bottom"/>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r>
      <w:tr>
        <w:trPr>
          <w:trHeight w:val="254"/>
        </w:trPr>
        <w:tc>
          <w:tcPr>
            <w:tcW w:w="4160" w:type="dxa"/>
            <w:vAlign w:val="bottom"/>
          </w:tcPr>
          <w:p>
            <w:pPr>
              <w:ind w:left="40"/>
              <w:spacing w:after="0"/>
              <w:rPr>
                <w:sz w:val="20"/>
                <w:szCs w:val="20"/>
                <w:color w:val="auto"/>
              </w:rPr>
            </w:pPr>
            <w:r>
              <w:rPr>
                <w:rFonts w:ascii="Arial" w:cs="Arial" w:eastAsia="Arial" w:hAnsi="Arial"/>
                <w:sz w:val="20"/>
                <w:szCs w:val="20"/>
                <w:color w:val="auto"/>
              </w:rPr>
              <w:t>Allison Green</w:t>
            </w:r>
          </w:p>
        </w:tc>
        <w:tc>
          <w:tcPr>
            <w:tcW w:w="2700" w:type="dxa"/>
            <w:vAlign w:val="bottom"/>
          </w:tcPr>
          <w:p>
            <w:pPr>
              <w:ind w:left="1840"/>
              <w:spacing w:after="0"/>
              <w:rPr>
                <w:sz w:val="20"/>
                <w:szCs w:val="20"/>
                <w:color w:val="auto"/>
              </w:rPr>
            </w:pPr>
            <w:r>
              <w:rPr>
                <w:rFonts w:ascii="Arial" w:cs="Arial" w:eastAsia="Arial" w:hAnsi="Arial"/>
                <w:sz w:val="20"/>
                <w:szCs w:val="20"/>
                <w:color w:val="auto"/>
              </w:rPr>
              <w:t>Name:</w:t>
            </w:r>
          </w:p>
        </w:tc>
        <w:tc>
          <w:tcPr>
            <w:tcW w:w="4380" w:type="dxa"/>
            <w:vAlign w:val="bottom"/>
          </w:tcPr>
          <w:p>
            <w:pPr>
              <w:ind w:left="40"/>
              <w:spacing w:after="0"/>
              <w:rPr>
                <w:sz w:val="20"/>
                <w:szCs w:val="20"/>
                <w:color w:val="auto"/>
              </w:rPr>
            </w:pPr>
            <w:r>
              <w:rPr>
                <w:rFonts w:ascii="Arial" w:cs="Arial" w:eastAsia="Arial" w:hAnsi="Arial"/>
                <w:sz w:val="20"/>
                <w:szCs w:val="20"/>
                <w:color w:val="auto"/>
              </w:rPr>
              <w:t>Mark D. Klein</w:t>
            </w:r>
          </w:p>
        </w:tc>
      </w:tr>
      <w:tr>
        <w:trPr>
          <w:trHeight w:val="283"/>
        </w:trPr>
        <w:tc>
          <w:tcPr>
            <w:tcW w:w="4160" w:type="dxa"/>
            <w:vAlign w:val="bottom"/>
          </w:tcPr>
          <w:p>
            <w:pPr>
              <w:spacing w:after="0"/>
              <w:rPr>
                <w:sz w:val="24"/>
                <w:szCs w:val="24"/>
                <w:color w:val="auto"/>
              </w:rPr>
            </w:pPr>
          </w:p>
        </w:tc>
        <w:tc>
          <w:tcPr>
            <w:tcW w:w="2700" w:type="dxa"/>
            <w:vAlign w:val="bottom"/>
          </w:tcPr>
          <w:p>
            <w:pPr>
              <w:ind w:left="1840"/>
              <w:spacing w:after="0"/>
              <w:rPr>
                <w:sz w:val="20"/>
                <w:szCs w:val="20"/>
                <w:color w:val="auto"/>
              </w:rPr>
            </w:pPr>
            <w:r>
              <w:rPr>
                <w:rFonts w:ascii="Arial" w:cs="Arial" w:eastAsia="Arial" w:hAnsi="Arial"/>
                <w:sz w:val="20"/>
                <w:szCs w:val="20"/>
                <w:color w:val="auto"/>
              </w:rPr>
              <w:t>Title:</w:t>
            </w:r>
          </w:p>
        </w:tc>
        <w:tc>
          <w:tcPr>
            <w:tcW w:w="4380" w:type="dxa"/>
            <w:vAlign w:val="bottom"/>
          </w:tcPr>
          <w:p>
            <w:pPr>
              <w:ind w:left="40"/>
              <w:spacing w:after="0"/>
              <w:rPr>
                <w:sz w:val="20"/>
                <w:szCs w:val="20"/>
                <w:color w:val="auto"/>
              </w:rPr>
            </w:pPr>
            <w:r>
              <w:rPr>
                <w:rFonts w:ascii="Arial" w:cs="Arial" w:eastAsia="Arial" w:hAnsi="Arial"/>
                <w:sz w:val="20"/>
                <w:szCs w:val="20"/>
                <w:color w:val="auto"/>
              </w:rPr>
              <w:t>President &amp; Chief Executive Officer</w:t>
            </w:r>
          </w:p>
        </w:tc>
      </w:tr>
    </w:tbl>
    <w:p>
      <w:pPr>
        <w:sectPr>
          <w:pgSz w:w="11900" w:h="16838" w:orient="portrait"/>
          <w:cols w:equalWidth="0" w:num="1">
            <w:col w:w="11240"/>
          </w:cols>
          <w:pgMar w:left="320" w:top="595"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Permitted Activities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page has been intentionally left blank.</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9019"/>
          </w:cols>
          <w:pgMar w:left="1440" w:top="589" w:right="1440"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20"/>
          <w:szCs w:val="20"/>
          <w:b w:val="1"/>
          <w:bCs w:val="1"/>
          <w:u w:val="single" w:color="auto"/>
          <w:color w:val="auto"/>
        </w:rPr>
        <w:t>Exhibit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u w:val="single" w:color="auto"/>
          <w:color w:val="auto"/>
        </w:rPr>
        <w:t>FORM RELEASE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This Release Agreement (“</w:t>
      </w:r>
      <w:r>
        <w:rPr>
          <w:rFonts w:ascii="Arial" w:cs="Arial" w:eastAsia="Arial" w:hAnsi="Arial"/>
          <w:sz w:val="20"/>
          <w:szCs w:val="20"/>
          <w:b w:val="1"/>
          <w:bCs w:val="1"/>
          <w:color w:val="auto"/>
        </w:rPr>
        <w:t>Release</w:t>
      </w:r>
      <w:r>
        <w:rPr>
          <w:rFonts w:ascii="Arial" w:cs="Arial" w:eastAsia="Arial" w:hAnsi="Arial"/>
          <w:sz w:val="20"/>
          <w:szCs w:val="20"/>
          <w:color w:val="auto"/>
        </w:rPr>
        <w:t>”) is entered into by and between Sutter Rock Capital Corp., together with its parents, subsidiaries, predecessors, successors and affiliates (the “</w:t>
      </w:r>
      <w:r>
        <w:rPr>
          <w:rFonts w:ascii="Arial" w:cs="Arial" w:eastAsia="Arial" w:hAnsi="Arial"/>
          <w:sz w:val="20"/>
          <w:szCs w:val="20"/>
          <w:b w:val="1"/>
          <w:bCs w:val="1"/>
          <w:color w:val="auto"/>
        </w:rPr>
        <w:t>Company</w:t>
      </w:r>
      <w:r>
        <w:rPr>
          <w:rFonts w:ascii="Arial" w:cs="Arial" w:eastAsia="Arial" w:hAnsi="Arial"/>
          <w:sz w:val="20"/>
          <w:szCs w:val="20"/>
          <w:color w:val="auto"/>
        </w:rPr>
        <w:t>”) and Allison Green (the “</w:t>
      </w:r>
      <w:r>
        <w:rPr>
          <w:rFonts w:ascii="Arial" w:cs="Arial" w:eastAsia="Arial" w:hAnsi="Arial"/>
          <w:sz w:val="20"/>
          <w:szCs w:val="20"/>
          <w:b w:val="1"/>
          <w:bCs w:val="1"/>
          <w:color w:val="auto"/>
        </w:rPr>
        <w:t>Executive</w:t>
      </w:r>
      <w:r>
        <w:rPr>
          <w:rFonts w:ascii="Arial" w:cs="Arial" w:eastAsia="Arial" w:hAnsi="Arial"/>
          <w:sz w:val="20"/>
          <w:szCs w:val="20"/>
          <w:color w:val="auto"/>
        </w:rPr>
        <w:t>”) (each a “</w:t>
      </w:r>
      <w:r>
        <w:rPr>
          <w:rFonts w:ascii="Arial" w:cs="Arial" w:eastAsia="Arial" w:hAnsi="Arial"/>
          <w:sz w:val="20"/>
          <w:szCs w:val="20"/>
          <w:b w:val="1"/>
          <w:bCs w:val="1"/>
          <w:color w:val="auto"/>
        </w:rPr>
        <w:t>Party</w:t>
      </w:r>
      <w:r>
        <w:rPr>
          <w:rFonts w:ascii="Arial" w:cs="Arial" w:eastAsia="Arial" w:hAnsi="Arial"/>
          <w:sz w:val="20"/>
          <w:szCs w:val="20"/>
          <w:color w:val="auto"/>
        </w:rPr>
        <w:t>,” collectively,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20"/>
          <w:szCs w:val="20"/>
          <w:color w:val="auto"/>
        </w:rPr>
        <w:t>WHEREAS, the Executive is currently employed by the Company as the ______________ of the Company;</w:t>
      </w:r>
    </w:p>
    <w:p>
      <w:pPr>
        <w:spacing w:after="0" w:line="223"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20"/>
          <w:szCs w:val="20"/>
          <w:color w:val="auto"/>
        </w:rPr>
        <w:t>WHEREAS, the Parties have entered into that certain employment agreement effective as of April 28th, 2020 (the “</w:t>
      </w:r>
      <w:r>
        <w:rPr>
          <w:rFonts w:ascii="Arial" w:cs="Arial" w:eastAsia="Arial" w:hAnsi="Arial"/>
          <w:sz w:val="20"/>
          <w:szCs w:val="20"/>
          <w:b w:val="1"/>
          <w:bCs w:val="1"/>
          <w:color w:val="auto"/>
        </w:rPr>
        <w:t>Employment</w:t>
      </w:r>
      <w:r>
        <w:rPr>
          <w:rFonts w:ascii="Arial" w:cs="Arial" w:eastAsia="Arial" w:hAnsi="Arial"/>
          <w:sz w:val="20"/>
          <w:szCs w:val="20"/>
          <w:color w:val="auto"/>
        </w:rPr>
        <w:t xml:space="preserv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77"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0"/>
          <w:szCs w:val="20"/>
          <w:color w:val="auto"/>
        </w:rPr>
        <w:t xml:space="preserve">WHEREAS, [the Company wishes to terminate the Executive’s employment without Cause </w:t>
      </w:r>
      <w:r>
        <w:rPr>
          <w:rFonts w:ascii="Arial" w:cs="Arial" w:eastAsia="Arial" w:hAnsi="Arial"/>
          <w:sz w:val="20"/>
          <w:szCs w:val="20"/>
          <w:b w:val="1"/>
          <w:bCs w:val="1"/>
          <w:color w:val="auto"/>
        </w:rPr>
        <w:t>OR</w:t>
      </w:r>
      <w:r>
        <w:rPr>
          <w:rFonts w:ascii="Arial" w:cs="Arial" w:eastAsia="Arial" w:hAnsi="Arial"/>
          <w:sz w:val="20"/>
          <w:szCs w:val="20"/>
          <w:color w:val="auto"/>
        </w:rPr>
        <w:t xml:space="preserve"> the Executive wishes to terminate employment for Good Reason (each as defined in the Employment Agreement) </w:t>
      </w:r>
      <w:r>
        <w:rPr>
          <w:rFonts w:ascii="Arial" w:cs="Arial" w:eastAsia="Arial" w:hAnsi="Arial"/>
          <w:sz w:val="20"/>
          <w:szCs w:val="20"/>
          <w:b w:val="1"/>
          <w:bCs w:val="1"/>
          <w:color w:val="auto"/>
        </w:rPr>
        <w:t>OR</w:t>
      </w:r>
      <w:r>
        <w:rPr>
          <w:rFonts w:ascii="Arial" w:cs="Arial" w:eastAsia="Arial" w:hAnsi="Arial"/>
          <w:sz w:val="20"/>
          <w:szCs w:val="20"/>
          <w:color w:val="auto"/>
        </w:rPr>
        <w:t xml:space="preserve"> the Executive’s employment has been terminated due to Disability (as defined in the Employment Agreement) </w:t>
      </w:r>
      <w:r>
        <w:rPr>
          <w:rFonts w:ascii="Arial" w:cs="Arial" w:eastAsia="Arial" w:hAnsi="Arial"/>
          <w:sz w:val="20"/>
          <w:szCs w:val="20"/>
          <w:b w:val="1"/>
          <w:bCs w:val="1"/>
          <w:color w:val="auto"/>
        </w:rPr>
        <w:t>OR</w:t>
      </w:r>
      <w:r>
        <w:rPr>
          <w:rFonts w:ascii="Arial" w:cs="Arial" w:eastAsia="Arial" w:hAnsi="Arial"/>
          <w:sz w:val="20"/>
          <w:szCs w:val="20"/>
          <w:color w:val="auto"/>
        </w:rPr>
        <w:t xml:space="preserve"> the Executive’s employment has been terminated due to the Executive’s death]; and</w:t>
      </w:r>
    </w:p>
    <w:p>
      <w:pPr>
        <w:spacing w:after="0" w:line="203"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WHEREAS, the Executive’s right to receive certain severance benefits as set forth in the Employment Agreement is conditioned on the Executive executing this Release.</w:t>
      </w:r>
    </w:p>
    <w:p>
      <w:pPr>
        <w:spacing w:after="0" w:line="190"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20"/>
          <w:szCs w:val="20"/>
          <w:color w:val="auto"/>
        </w:rPr>
        <w:t>In consideration of the mutual covenants and promises each Party has made to the other as set forth in this Release and the Employment Agreement, the Parties agree as follows:</w:t>
      </w:r>
    </w:p>
    <w:p>
      <w:pPr>
        <w:spacing w:after="0" w:line="190" w:lineRule="exact"/>
        <w:rPr>
          <w:sz w:val="20"/>
          <w:szCs w:val="20"/>
          <w:color w:val="auto"/>
        </w:rPr>
      </w:pPr>
    </w:p>
    <w:p>
      <w:pPr>
        <w:jc w:val="both"/>
        <w:ind w:left="340" w:hanging="332"/>
        <w:spacing w:after="0" w:line="260" w:lineRule="auto"/>
        <w:tabs>
          <w:tab w:leader="none" w:pos="340"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Separation Date</w:t>
      </w:r>
      <w:r>
        <w:rPr>
          <w:rFonts w:ascii="Arial" w:cs="Arial" w:eastAsia="Arial" w:hAnsi="Arial"/>
          <w:sz w:val="19"/>
          <w:szCs w:val="19"/>
          <w:color w:val="auto"/>
        </w:rPr>
        <w:t>. The Executive agrees that the Executive’s employment with the Company shall end as of [_____________________] (the “</w:t>
      </w:r>
      <w:r>
        <w:rPr>
          <w:rFonts w:ascii="Arial" w:cs="Arial" w:eastAsia="Arial" w:hAnsi="Arial"/>
          <w:sz w:val="19"/>
          <w:szCs w:val="19"/>
          <w:b w:val="1"/>
          <w:bCs w:val="1"/>
          <w:color w:val="auto"/>
        </w:rPr>
        <w:t>Separation Date</w:t>
      </w:r>
      <w:r>
        <w:rPr>
          <w:rFonts w:ascii="Arial" w:cs="Arial" w:eastAsia="Arial" w:hAnsi="Arial"/>
          <w:sz w:val="19"/>
          <w:szCs w:val="19"/>
          <w:color w:val="auto"/>
        </w:rPr>
        <w:t>”). As of the Separation Date, the Executive (a) shall cease to be an employee of the Company, and (b) shall no longer be authorized to bind the Company or to hold himself or herself out as an employee or agent of the Company. [During the Executive’s employment through the Separation Date, the Executive agrees that the Executive will reasonably assist in the transition of his or her duties and responsibilities as reasonably directed by the Company.]</w:t>
      </w:r>
    </w:p>
    <w:p>
      <w:pPr>
        <w:spacing w:after="0" w:line="193" w:lineRule="exact"/>
        <w:rPr>
          <w:rFonts w:ascii="Arial" w:cs="Arial" w:eastAsia="Arial" w:hAnsi="Arial"/>
          <w:sz w:val="19"/>
          <w:szCs w:val="19"/>
          <w:color w:val="auto"/>
        </w:rPr>
      </w:pPr>
    </w:p>
    <w:p>
      <w:pPr>
        <w:ind w:left="340" w:hanging="332"/>
        <w:spacing w:after="0"/>
        <w:tabs>
          <w:tab w:leader="none" w:pos="340"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Accrued Compensation and Benefits</w:t>
      </w:r>
      <w:r>
        <w:rPr>
          <w:rFonts w:ascii="Arial" w:cs="Arial" w:eastAsia="Arial" w:hAnsi="Arial"/>
          <w:sz w:val="20"/>
          <w:szCs w:val="20"/>
          <w:color w:val="auto"/>
        </w:rPr>
        <w:t>.</w:t>
      </w:r>
    </w:p>
    <w:p>
      <w:pPr>
        <w:spacing w:after="0" w:line="237" w:lineRule="exact"/>
        <w:rPr>
          <w:rFonts w:ascii="Arial" w:cs="Arial" w:eastAsia="Arial" w:hAnsi="Arial"/>
          <w:sz w:val="20"/>
          <w:szCs w:val="20"/>
          <w:color w:val="auto"/>
        </w:rPr>
      </w:pPr>
    </w:p>
    <w:p>
      <w:pPr>
        <w:jc w:val="both"/>
        <w:ind w:left="660" w:hanging="409"/>
        <w:spacing w:after="0" w:line="309" w:lineRule="auto"/>
        <w:tabs>
          <w:tab w:leader="none" w:pos="660" w:val="left"/>
        </w:tabs>
        <w:numPr>
          <w:ilvl w:val="1"/>
          <w:numId w:val="85"/>
        </w:numPr>
        <w:rPr>
          <w:rFonts w:ascii="Arial" w:cs="Arial" w:eastAsia="Arial" w:hAnsi="Arial"/>
          <w:sz w:val="20"/>
          <w:szCs w:val="20"/>
          <w:color w:val="auto"/>
        </w:rPr>
      </w:pPr>
      <w:r>
        <w:rPr>
          <w:rFonts w:ascii="Arial" w:cs="Arial" w:eastAsia="Arial" w:hAnsi="Arial"/>
          <w:sz w:val="18"/>
          <w:szCs w:val="18"/>
          <w:color w:val="auto"/>
        </w:rPr>
        <w:t xml:space="preserve">Even if the Executive does not sign this Agreement, (A) the Company shall pay the Executive, through the Separation Date, </w:t>
      </w:r>
      <w:r>
        <w:rPr>
          <w:rFonts w:ascii="Arial" w:cs="Arial" w:eastAsia="Arial" w:hAnsi="Arial"/>
          <w:sz w:val="19"/>
          <w:szCs w:val="19"/>
          <w:color w:val="auto"/>
        </w:rPr>
        <w:t>the</w:t>
      </w:r>
      <w:r>
        <w:rPr>
          <w:rFonts w:ascii="Arial" w:cs="Arial" w:eastAsia="Arial" w:hAnsi="Arial"/>
          <w:sz w:val="18"/>
          <w:szCs w:val="18"/>
          <w:color w:val="auto"/>
        </w:rPr>
        <w:t xml:space="preserve"> Executive’s Accrued Benefits (as defined in the Employment Agreement), and (B) (a) the Company shall offer the Executive benefits to which the Executive is entitled under the Consolidated Omnibus Budget Reconciliation Act of 1985 ("COBRA"), and (b) the Executive shall retain all benefits under the Company's 401(k) plan in accordance with terms of such plan.</w:t>
      </w:r>
    </w:p>
    <w:p>
      <w:pPr>
        <w:spacing w:after="0" w:line="178" w:lineRule="exact"/>
        <w:rPr>
          <w:rFonts w:ascii="Arial" w:cs="Arial" w:eastAsia="Arial" w:hAnsi="Arial"/>
          <w:sz w:val="20"/>
          <w:szCs w:val="20"/>
          <w:color w:val="auto"/>
        </w:rPr>
      </w:pPr>
    </w:p>
    <w:p>
      <w:pPr>
        <w:jc w:val="both"/>
        <w:ind w:left="660" w:hanging="409"/>
        <w:spacing w:after="0" w:line="265" w:lineRule="auto"/>
        <w:tabs>
          <w:tab w:leader="none" w:pos="660" w:val="left"/>
        </w:tabs>
        <w:numPr>
          <w:ilvl w:val="1"/>
          <w:numId w:val="85"/>
        </w:numPr>
        <w:rPr>
          <w:rFonts w:ascii="Arial" w:cs="Arial" w:eastAsia="Arial" w:hAnsi="Arial"/>
          <w:sz w:val="22"/>
          <w:szCs w:val="22"/>
          <w:color w:val="auto"/>
        </w:rPr>
      </w:pPr>
      <w:r>
        <w:rPr>
          <w:rFonts w:ascii="Arial" w:cs="Arial" w:eastAsia="Arial" w:hAnsi="Arial"/>
          <w:sz w:val="20"/>
          <w:szCs w:val="20"/>
          <w:color w:val="auto"/>
        </w:rPr>
        <w:t>As of the Separation Date, the Executive shall cease to be entitled to any further compensation, monies or other benefits from the Company, including coverage under any benefits plans or programs sponsored by the Company as of the Separation Date, except as otherwise expressly provided in this Release or otherwise required by law.</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589" w:right="339" w:bottom="1440" w:gutter="0" w:footer="0" w:header="0"/>
        </w:sectPr>
      </w:pPr>
    </w:p>
    <w:bookmarkStart w:id="107" w:name="page108"/>
    <w:bookmarkEnd w:id="107"/>
    <w:p>
      <w:pPr>
        <w:spacing w:after="0" w:line="357" w:lineRule="exact"/>
        <w:rPr>
          <w:sz w:val="20"/>
          <w:szCs w:val="20"/>
          <w:color w:val="auto"/>
        </w:rPr>
      </w:pPr>
    </w:p>
    <w:p>
      <w:pPr>
        <w:ind w:left="332" w:hanging="332"/>
        <w:spacing w:after="0"/>
        <w:tabs>
          <w:tab w:leader="none" w:pos="332"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Severance Benefits.</w:t>
      </w:r>
    </w:p>
    <w:p>
      <w:pPr>
        <w:spacing w:after="0" w:line="242" w:lineRule="exact"/>
        <w:rPr>
          <w:rFonts w:ascii="Arial" w:cs="Arial" w:eastAsia="Arial" w:hAnsi="Arial"/>
          <w:sz w:val="20"/>
          <w:szCs w:val="20"/>
          <w:color w:val="auto"/>
        </w:rPr>
      </w:pPr>
    </w:p>
    <w:p>
      <w:pPr>
        <w:jc w:val="both"/>
        <w:ind w:left="652" w:hanging="409"/>
        <w:spacing w:after="0" w:line="265" w:lineRule="auto"/>
        <w:tabs>
          <w:tab w:leader="none" w:pos="652" w:val="left"/>
        </w:tabs>
        <w:numPr>
          <w:ilvl w:val="1"/>
          <w:numId w:val="86"/>
        </w:numPr>
        <w:rPr>
          <w:rFonts w:ascii="Arial" w:cs="Arial" w:eastAsia="Arial" w:hAnsi="Arial"/>
          <w:sz w:val="22"/>
          <w:szCs w:val="22"/>
          <w:color w:val="auto"/>
        </w:rPr>
      </w:pPr>
      <w:r>
        <w:rPr>
          <w:rFonts w:ascii="Arial" w:cs="Arial" w:eastAsia="Arial" w:hAnsi="Arial"/>
          <w:sz w:val="20"/>
          <w:szCs w:val="20"/>
          <w:color w:val="auto"/>
        </w:rPr>
        <w:t xml:space="preserve">Subject to the execution [and non-revocation] of this Release, and following the Effective Date of this Release (as defined below), the Company will pay the Executive the [(Severance Benefits as defined in, and in the accordance with the terms set forth in, the Employment Agreement) </w:t>
      </w:r>
      <w:r>
        <w:rPr>
          <w:rFonts w:ascii="Arial" w:cs="Arial" w:eastAsia="Arial" w:hAnsi="Arial"/>
          <w:sz w:val="20"/>
          <w:szCs w:val="20"/>
          <w:b w:val="1"/>
          <w:bCs w:val="1"/>
          <w:color w:val="auto"/>
        </w:rPr>
        <w:t>OR</w:t>
      </w:r>
      <w:r>
        <w:rPr>
          <w:rFonts w:ascii="Arial" w:cs="Arial" w:eastAsia="Arial" w:hAnsi="Arial"/>
          <w:sz w:val="20"/>
          <w:szCs w:val="20"/>
          <w:color w:val="auto"/>
        </w:rPr>
        <w:t xml:space="preserve"> (the Annual Bonus, Pro-Rated Bonus, and accelerated vesting of equity as set forth in Section 8(a) OR Section 8(b) of the Employment Agreement (“Severance Payment”)].</w:t>
      </w:r>
    </w:p>
    <w:p>
      <w:pPr>
        <w:spacing w:after="0" w:line="208" w:lineRule="exact"/>
        <w:rPr>
          <w:rFonts w:ascii="Arial" w:cs="Arial" w:eastAsia="Arial" w:hAnsi="Arial"/>
          <w:sz w:val="22"/>
          <w:szCs w:val="22"/>
          <w:color w:val="auto"/>
        </w:rPr>
      </w:pPr>
    </w:p>
    <w:p>
      <w:pPr>
        <w:jc w:val="both"/>
        <w:ind w:left="652" w:hanging="409"/>
        <w:spacing w:after="0" w:line="283" w:lineRule="auto"/>
        <w:tabs>
          <w:tab w:leader="none" w:pos="652" w:val="left"/>
        </w:tabs>
        <w:numPr>
          <w:ilvl w:val="1"/>
          <w:numId w:val="86"/>
        </w:numPr>
        <w:rPr>
          <w:rFonts w:ascii="Arial" w:cs="Arial" w:eastAsia="Arial" w:hAnsi="Arial"/>
          <w:sz w:val="21"/>
          <w:szCs w:val="21"/>
          <w:color w:val="auto"/>
        </w:rPr>
      </w:pPr>
      <w:r>
        <w:rPr>
          <w:rFonts w:ascii="Arial" w:cs="Arial" w:eastAsia="Arial" w:hAnsi="Arial"/>
          <w:sz w:val="19"/>
          <w:szCs w:val="19"/>
          <w:color w:val="auto"/>
        </w:rPr>
        <w:t xml:space="preserve">The Executive acknowledges and agrees that the [Severance Benefits </w:t>
      </w:r>
      <w:r>
        <w:rPr>
          <w:rFonts w:ascii="Arial" w:cs="Arial" w:eastAsia="Arial" w:hAnsi="Arial"/>
          <w:sz w:val="19"/>
          <w:szCs w:val="19"/>
          <w:b w:val="1"/>
          <w:bCs w:val="1"/>
          <w:color w:val="auto"/>
        </w:rPr>
        <w:t>OR</w:t>
      </w:r>
      <w:r>
        <w:rPr>
          <w:rFonts w:ascii="Arial" w:cs="Arial" w:eastAsia="Arial" w:hAnsi="Arial"/>
          <w:sz w:val="19"/>
          <w:szCs w:val="19"/>
          <w:color w:val="auto"/>
        </w:rPr>
        <w:t xml:space="preserve"> Severance Payment] (except the payments set forth in Section 2(a) hereof) are in lieu of any other compensation due or payable to the Executive in connection with his or her termination of employment, including, without limitation, any severance, bonus, pay in lieu of notice, short or long-term incentive or any other compensation or remuneration of any type. The Executive further acknowledges and agrees that the compensation set forth in this Section is sufficient consideration for the releases set forth herein, and that the Executive is not otherwise entitled to this consideration. In the event that the Executive does not sign[, or revokes,] this Release, the Executive shall not be entitled to any portion of the [Severance Benefits </w:t>
      </w:r>
      <w:r>
        <w:rPr>
          <w:rFonts w:ascii="Arial" w:cs="Arial" w:eastAsia="Arial" w:hAnsi="Arial"/>
          <w:sz w:val="19"/>
          <w:szCs w:val="19"/>
          <w:b w:val="1"/>
          <w:bCs w:val="1"/>
          <w:color w:val="auto"/>
        </w:rPr>
        <w:t>OR</w:t>
      </w:r>
      <w:r>
        <w:rPr>
          <w:rFonts w:ascii="Arial" w:cs="Arial" w:eastAsia="Arial" w:hAnsi="Arial"/>
          <w:sz w:val="19"/>
          <w:szCs w:val="19"/>
          <w:color w:val="auto"/>
        </w:rPr>
        <w:t xml:space="preserve"> Severance Payment].</w:t>
      </w:r>
    </w:p>
    <w:p>
      <w:pPr>
        <w:spacing w:after="0" w:line="186" w:lineRule="exact"/>
        <w:rPr>
          <w:rFonts w:ascii="Arial" w:cs="Arial" w:eastAsia="Arial" w:hAnsi="Arial"/>
          <w:sz w:val="21"/>
          <w:szCs w:val="21"/>
          <w:color w:val="auto"/>
        </w:rPr>
      </w:pPr>
    </w:p>
    <w:p>
      <w:pPr>
        <w:jc w:val="both"/>
        <w:ind w:left="332" w:hanging="332"/>
        <w:spacing w:after="0" w:line="268" w:lineRule="auto"/>
        <w:tabs>
          <w:tab w:leader="none" w:pos="33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Release of Claims</w:t>
      </w:r>
      <w:r>
        <w:rPr>
          <w:rFonts w:ascii="Arial" w:cs="Arial" w:eastAsia="Arial" w:hAnsi="Arial"/>
          <w:sz w:val="18"/>
          <w:szCs w:val="18"/>
          <w:color w:val="auto"/>
        </w:rPr>
        <w:t>. In exchange for the consideration provided in this Release, the Executive, on behalf of the Executive and the Executive’s heirs, executors, representatives, agents, insurers, administrators, successors and assigns, irrevocably and unconditionally fully and forever waives, releases and discharges the Company and its current and former parent companies, subsidiaries and any affiliated companies as well as any of their respective current and former insurers, directors, officers, agents, shareholders, and employees, or any of their predecessors, successors or assigns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from any and all claims, demands, actions, causes of actions, obligations, judgments, rights, fees, damages, debts, obligations, liabilities and expenses (inclusive of attorneys’ fees) of any kind whatsoever (collectively, “</w:t>
      </w:r>
      <w:r>
        <w:rPr>
          <w:rFonts w:ascii="Arial" w:cs="Arial" w:eastAsia="Arial" w:hAnsi="Arial"/>
          <w:sz w:val="18"/>
          <w:szCs w:val="18"/>
          <w:b w:val="1"/>
          <w:bCs w:val="1"/>
          <w:color w:val="auto"/>
        </w:rPr>
        <w:t>Claims</w:t>
      </w:r>
      <w:r>
        <w:rPr>
          <w:rFonts w:ascii="Arial" w:cs="Arial" w:eastAsia="Arial" w:hAnsi="Arial"/>
          <w:sz w:val="18"/>
          <w:szCs w:val="18"/>
          <w:color w:val="auto"/>
        </w:rPr>
        <w:t>”), whether known or unknown, from the beginning of time to the date of the Executive’s execution of this Release, including, without limitation, any claims under any federal, state, local or foreign law, that the Executive may have, have ever had or may in the future have arising out of, or in any way related to, including but not limited to, (i) the Executive’s hire, benefits, employment, termination or separation from employment with the Company and any actual or alleged act, omission, transaction, practice, conduct, occurrence or other matter; (ii) any and all claims for compensation of any type whatsoever, including but not limited to claims for salary, wages, bonuses, commissions, incentive compensation, vacation and/or severance (excluding claims under any tax-qualified retirement plan or fully-insured welfare benefit plan); and (iii) any and all claims arising under tort, contract and/or quasi-contract law, including but not limited to claims of breach of an expressed or implied contract, tortious interference with contract or prospective business advantage, breach of the covenant of good faith and fair dealing, promissory estoppel, detrimental reliance, invasion of privacy, nonphysical injury, personal injury or sickness or any other harm, wrongful or retaliatory discharge, fraud, defamation, slander, libel, false imprisonment, negligent or intentional infliction of emotional distress. The Executive acknowledges and agrees that the Executive is releasing the Released Parties from all claims relating to or arising from the Executive’s employment with the Company to the fullest extent permitted by law. The Executive further acknowledges and agrees that this release provision includes, but is not limited to, rights and claims arising under Title VII of the Civil Rights Act, the Age Discrimination in Employment Act, the Older Workers Benefit Protection Act, the Americans with Disabilities Act, the Genetic Information Nondiscrimination Act, the Family and Medical Leave Act, and any state, municipal, or</w:t>
      </w:r>
    </w:p>
    <w:p>
      <w:pPr>
        <w:spacing w:after="0" w:line="188" w:lineRule="exact"/>
        <w:rPr>
          <w:rFonts w:ascii="Arial" w:cs="Arial" w:eastAsia="Arial" w:hAnsi="Arial"/>
          <w:sz w:val="18"/>
          <w:szCs w:val="18"/>
          <w:color w:val="auto"/>
        </w:rPr>
      </w:pPr>
    </w:p>
    <w:p>
      <w:pPr>
        <w:ind w:left="4332" w:hanging="120"/>
        <w:spacing w:after="0"/>
        <w:tabs>
          <w:tab w:leader="none" w:pos="4332" w:val="left"/>
        </w:tabs>
        <w:numPr>
          <w:ilvl w:val="2"/>
          <w:numId w:val="86"/>
        </w:numPr>
        <w:rPr>
          <w:rFonts w:ascii="Arial" w:cs="Arial" w:eastAsia="Arial" w:hAnsi="Arial"/>
          <w:sz w:val="22"/>
          <w:szCs w:val="22"/>
          <w:color w:val="auto"/>
        </w:rPr>
      </w:pPr>
      <w:r>
        <w:rPr>
          <w:rFonts w:ascii="Arial" w:cs="Arial" w:eastAsia="Arial" w:hAnsi="Arial"/>
          <w:sz w:val="22"/>
          <w:szCs w:val="22"/>
          <w:color w:val="auto"/>
        </w:rPr>
        <w:t>2 -</w:t>
      </w:r>
    </w:p>
    <w:p>
      <w:pPr>
        <w:sectPr>
          <w:pgSz w:w="11900" w:h="16838" w:orient="portrait"/>
          <w:cols w:equalWidth="0" w:num="1">
            <w:col w:w="11232"/>
          </w:cols>
          <w:pgMar w:left="328" w:top="1440" w:right="339" w:bottom="1440" w:gutter="0" w:footer="0" w:header="0"/>
        </w:sectPr>
      </w:pPr>
    </w:p>
    <w:bookmarkStart w:id="108" w:name="page109"/>
    <w:bookmarkEnd w:id="108"/>
    <w:p>
      <w:pPr>
        <w:ind w:left="332"/>
        <w:spacing w:after="0"/>
        <w:rPr>
          <w:sz w:val="20"/>
          <w:szCs w:val="20"/>
          <w:color w:val="auto"/>
        </w:rPr>
      </w:pPr>
      <w:r>
        <w:rPr>
          <w:rFonts w:ascii="Arial" w:cs="Arial" w:eastAsia="Arial" w:hAnsi="Arial"/>
          <w:sz w:val="20"/>
          <w:szCs w:val="20"/>
          <w:color w:val="auto"/>
        </w:rPr>
        <w:t>local statute, law, regulation or ordinance relating to employment, disputed wages, discrimination, retaliation, or leave.</w:t>
      </w:r>
    </w:p>
    <w:p>
      <w:pPr>
        <w:spacing w:after="0" w:line="216" w:lineRule="exact"/>
        <w:rPr>
          <w:sz w:val="20"/>
          <w:szCs w:val="20"/>
          <w:color w:val="auto"/>
        </w:rPr>
      </w:pPr>
    </w:p>
    <w:p>
      <w:pPr>
        <w:jc w:val="both"/>
        <w:ind w:left="332" w:hanging="332"/>
        <w:spacing w:after="0" w:line="273" w:lineRule="auto"/>
        <w:tabs>
          <w:tab w:leader="none" w:pos="33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Release of Unknown Claims</w:t>
      </w:r>
      <w:r>
        <w:rPr>
          <w:rFonts w:ascii="Arial" w:cs="Arial" w:eastAsia="Arial" w:hAnsi="Arial"/>
          <w:sz w:val="18"/>
          <w:szCs w:val="18"/>
          <w:color w:val="auto"/>
        </w:rPr>
        <w:t>. For the purpose of implementing a full and complete release, the Executive expressly acknowledges that the release in this Release is intended to include in its effect, without limitation, claims that the Executive did not know or suspect to exist in his or her favor at the time of the execution of this Release, regardless of whether the knowledge of such claims, or the facts upon which they might be based, would materially have affected this Release, and that the consideration given under this Release was also for the release of those claims and contemplates the extinguishment of any such unknown claims. The Executive does hereby specifically assume such risk and agrees that this Release and, except as otherwise set forth in the Release, the releases contained herein shall and do apply to all unknown or unanticipated results of any and all matters caused by or connected with his or her employment with and separation from the Company, as well as those currently known or anticipated.</w:t>
      </w:r>
    </w:p>
    <w:p>
      <w:pPr>
        <w:spacing w:after="0" w:line="181" w:lineRule="exact"/>
        <w:rPr>
          <w:rFonts w:ascii="Arial" w:cs="Arial" w:eastAsia="Arial" w:hAnsi="Arial"/>
          <w:sz w:val="18"/>
          <w:szCs w:val="18"/>
          <w:color w:val="auto"/>
        </w:rPr>
      </w:pPr>
    </w:p>
    <w:p>
      <w:pPr>
        <w:ind w:left="332" w:hanging="332"/>
        <w:spacing w:after="0"/>
        <w:tabs>
          <w:tab w:leader="none" w:pos="332"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Waiver of Rights and Excluded Claims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52" w:hanging="409"/>
        <w:spacing w:after="0" w:line="266" w:lineRule="auto"/>
        <w:tabs>
          <w:tab w:leader="none" w:pos="652" w:val="left"/>
        </w:tabs>
        <w:numPr>
          <w:ilvl w:val="1"/>
          <w:numId w:val="87"/>
        </w:numPr>
        <w:rPr>
          <w:rFonts w:ascii="Arial" w:cs="Arial" w:eastAsia="Arial" w:hAnsi="Arial"/>
          <w:sz w:val="22"/>
          <w:szCs w:val="22"/>
          <w:color w:val="auto"/>
        </w:rPr>
      </w:pPr>
      <w:r>
        <w:rPr>
          <w:rFonts w:ascii="Arial" w:cs="Arial" w:eastAsia="Arial" w:hAnsi="Arial"/>
          <w:sz w:val="20"/>
          <w:szCs w:val="20"/>
          <w:color w:val="auto"/>
        </w:rPr>
        <w:t>The Executive waives any right to recover in a civil suit or proceeding brought by any governmental agency or other individual on the Executive’s behalf against the Company based on any act or omission arising or occurring prior to the date of the execution of this Release, whether known or unknown at the time of execution, or to participate in any such action brought by another individual. The Executive acknowledges and agrees that under no circumstances will the Executive be entitled to recover money damages or any other monies from the Company other than those described in this Release. The Executive waives all rights to monetary damages or individual relief resulting from any such charge or complaint brought before the EEOC or equivalent state or local employment rights agency.</w:t>
      </w:r>
    </w:p>
    <w:p>
      <w:pPr>
        <w:spacing w:after="0" w:line="215" w:lineRule="exact"/>
        <w:rPr>
          <w:rFonts w:ascii="Arial" w:cs="Arial" w:eastAsia="Arial" w:hAnsi="Arial"/>
          <w:sz w:val="22"/>
          <w:szCs w:val="22"/>
          <w:color w:val="auto"/>
        </w:rPr>
      </w:pPr>
    </w:p>
    <w:p>
      <w:pPr>
        <w:jc w:val="both"/>
        <w:ind w:left="652" w:hanging="409"/>
        <w:spacing w:after="0" w:line="265" w:lineRule="auto"/>
        <w:tabs>
          <w:tab w:leader="none" w:pos="652" w:val="left"/>
        </w:tabs>
        <w:numPr>
          <w:ilvl w:val="1"/>
          <w:numId w:val="87"/>
        </w:numPr>
        <w:rPr>
          <w:rFonts w:ascii="Arial" w:cs="Arial" w:eastAsia="Arial" w:hAnsi="Arial"/>
          <w:sz w:val="22"/>
          <w:szCs w:val="22"/>
          <w:color w:val="auto"/>
        </w:rPr>
      </w:pPr>
      <w:r>
        <w:rPr>
          <w:rFonts w:ascii="Arial" w:cs="Arial" w:eastAsia="Arial" w:hAnsi="Arial"/>
          <w:sz w:val="20"/>
          <w:szCs w:val="20"/>
          <w:color w:val="auto"/>
        </w:rPr>
        <w:t>Notwithstanding the foregoing or anything to the contrary in this Release, nothing contained in this Release (A) waives or releases the Executive’s right to (i) file a charge or complaint, participate in proceedings conducted by, or communicate with a government agency, (ii) to bring future claims arising after the Separation Date, and/or (B) limits the Executive’s right to enforce the terms of this Release.</w:t>
      </w:r>
    </w:p>
    <w:p>
      <w:pPr>
        <w:spacing w:after="0" w:line="200" w:lineRule="exact"/>
        <w:rPr>
          <w:rFonts w:ascii="Arial" w:cs="Arial" w:eastAsia="Arial" w:hAnsi="Arial"/>
          <w:sz w:val="22"/>
          <w:szCs w:val="22"/>
          <w:color w:val="auto"/>
        </w:rPr>
      </w:pPr>
    </w:p>
    <w:p>
      <w:pPr>
        <w:jc w:val="both"/>
        <w:ind w:left="332" w:hanging="332"/>
        <w:spacing w:after="0" w:line="246" w:lineRule="auto"/>
        <w:tabs>
          <w:tab w:leader="none" w:pos="332"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Return of Property</w:t>
      </w:r>
      <w:r>
        <w:rPr>
          <w:rFonts w:ascii="Arial" w:cs="Arial" w:eastAsia="Arial" w:hAnsi="Arial"/>
          <w:sz w:val="20"/>
          <w:szCs w:val="20"/>
          <w:color w:val="auto"/>
        </w:rPr>
        <w:t>. By signing this Release, the Executive represents that the Executive has returned all Company property, including car, identification cards or badges, access codes or devices, keys, laptops, computers, telephones, mobile phones, hand-held electronic devices, credit cards, electronically stored documents or files, physical files and any other Company property previously in the Executive’s possession.</w:t>
      </w:r>
    </w:p>
    <w:p>
      <w:pPr>
        <w:spacing w:after="0" w:line="204" w:lineRule="exact"/>
        <w:rPr>
          <w:rFonts w:ascii="Arial" w:cs="Arial" w:eastAsia="Arial" w:hAnsi="Arial"/>
          <w:sz w:val="20"/>
          <w:szCs w:val="20"/>
          <w:color w:val="auto"/>
        </w:rPr>
      </w:pPr>
    </w:p>
    <w:p>
      <w:pPr>
        <w:jc w:val="both"/>
        <w:ind w:left="332" w:hanging="332"/>
        <w:spacing w:after="0" w:line="272" w:lineRule="auto"/>
        <w:tabs>
          <w:tab w:leader="none" w:pos="332"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The Executive represents that the Executive is the only person able to assert any right or claim arising out of the Executive’s employment with or separation from the Company. The Executive represents that the Executive has not: (i) brought a charge or suit against the Company in connection with any of the Claims, including, but not limited to, any claim or charge before the EEOC, or</w:t>
      </w:r>
    </w:p>
    <w:p>
      <w:pPr>
        <w:ind w:left="332" w:hanging="8"/>
        <w:spacing w:after="0" w:line="244" w:lineRule="auto"/>
        <w:tabs>
          <w:tab w:leader="none" w:pos="630" w:val="left"/>
        </w:tabs>
        <w:numPr>
          <w:ilvl w:val="2"/>
          <w:numId w:val="87"/>
        </w:numPr>
        <w:rPr>
          <w:rFonts w:ascii="Arial" w:cs="Arial" w:eastAsia="Arial" w:hAnsi="Arial"/>
          <w:sz w:val="20"/>
          <w:szCs w:val="20"/>
          <w:color w:val="auto"/>
        </w:rPr>
      </w:pPr>
      <w:r>
        <w:rPr>
          <w:rFonts w:ascii="Arial" w:cs="Arial" w:eastAsia="Arial" w:hAnsi="Arial"/>
          <w:sz w:val="20"/>
          <w:szCs w:val="20"/>
          <w:color w:val="auto"/>
        </w:rPr>
        <w:t>assigned or transferred or purported to assign or transfer, to any person or entity, any Claim or any portion thereof or interest therein which the Executive may have against the Company.</w:t>
      </w:r>
    </w:p>
    <w:p>
      <w:pPr>
        <w:spacing w:after="0" w:line="204" w:lineRule="exact"/>
        <w:rPr>
          <w:rFonts w:ascii="Arial" w:cs="Arial" w:eastAsia="Arial" w:hAnsi="Arial"/>
          <w:sz w:val="20"/>
          <w:szCs w:val="20"/>
          <w:color w:val="auto"/>
        </w:rPr>
      </w:pPr>
    </w:p>
    <w:p>
      <w:pPr>
        <w:ind w:left="332" w:hanging="332"/>
        <w:spacing w:after="0"/>
        <w:tabs>
          <w:tab w:leader="none" w:pos="332"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Notice and Revocation</w:t>
      </w:r>
      <w:r>
        <w:rPr>
          <w:rFonts w:ascii="Arial" w:cs="Arial" w:eastAsia="Arial" w:hAnsi="Arial"/>
          <w:sz w:val="20"/>
          <w:szCs w:val="20"/>
          <w:color w:val="auto"/>
        </w:rPr>
        <w:t>.</w:t>
      </w:r>
    </w:p>
    <w:p>
      <w:pPr>
        <w:spacing w:after="0" w:line="223" w:lineRule="exact"/>
        <w:rPr>
          <w:rFonts w:ascii="Arial" w:cs="Arial" w:eastAsia="Arial" w:hAnsi="Arial"/>
          <w:sz w:val="20"/>
          <w:szCs w:val="20"/>
          <w:color w:val="auto"/>
        </w:rPr>
      </w:pPr>
    </w:p>
    <w:p>
      <w:pPr>
        <w:ind w:left="652" w:right="20" w:hanging="409"/>
        <w:spacing w:after="0" w:line="267" w:lineRule="auto"/>
        <w:tabs>
          <w:tab w:leader="none" w:pos="652" w:val="left"/>
        </w:tabs>
        <w:numPr>
          <w:ilvl w:val="1"/>
          <w:numId w:val="87"/>
        </w:numPr>
        <w:rPr>
          <w:rFonts w:ascii="Arial" w:cs="Arial" w:eastAsia="Arial" w:hAnsi="Arial"/>
          <w:sz w:val="20"/>
          <w:szCs w:val="20"/>
          <w:color w:val="auto"/>
        </w:rPr>
      </w:pPr>
      <w:r>
        <w:rPr>
          <w:rFonts w:ascii="Arial" w:cs="Arial" w:eastAsia="Arial" w:hAnsi="Arial"/>
          <w:sz w:val="20"/>
          <w:szCs w:val="20"/>
          <w:color w:val="auto"/>
        </w:rPr>
        <w:t xml:space="preserve">The Executive acknowledges that the Executive was given at least [twenty-one (21) </w:t>
      </w:r>
      <w:r>
        <w:rPr>
          <w:rFonts w:ascii="Arial" w:cs="Arial" w:eastAsia="Arial" w:hAnsi="Arial"/>
          <w:sz w:val="20"/>
          <w:szCs w:val="20"/>
          <w:b w:val="1"/>
          <w:bCs w:val="1"/>
          <w:color w:val="auto"/>
        </w:rPr>
        <w:t>OR</w:t>
      </w:r>
      <w:r>
        <w:rPr>
          <w:rFonts w:ascii="Arial" w:cs="Arial" w:eastAsia="Arial" w:hAnsi="Arial"/>
          <w:sz w:val="20"/>
          <w:szCs w:val="20"/>
          <w:color w:val="auto"/>
        </w:rPr>
        <w:t xml:space="preserve"> forty-five (45)] days to consider the terms of this Release and consult with an attorney of the Executive’s</w:t>
      </w:r>
    </w:p>
    <w:p>
      <w:pPr>
        <w:spacing w:after="0" w:line="178" w:lineRule="exact"/>
        <w:rPr>
          <w:rFonts w:ascii="Arial" w:cs="Arial" w:eastAsia="Arial" w:hAnsi="Arial"/>
          <w:sz w:val="20"/>
          <w:szCs w:val="20"/>
          <w:color w:val="auto"/>
        </w:rPr>
      </w:pPr>
    </w:p>
    <w:p>
      <w:pPr>
        <w:ind w:left="4332" w:hanging="120"/>
        <w:spacing w:after="0"/>
        <w:tabs>
          <w:tab w:leader="none" w:pos="4332" w:val="left"/>
        </w:tabs>
        <w:numPr>
          <w:ilvl w:val="3"/>
          <w:numId w:val="87"/>
        </w:numPr>
        <w:rPr>
          <w:rFonts w:ascii="Arial" w:cs="Arial" w:eastAsia="Arial" w:hAnsi="Arial"/>
          <w:sz w:val="22"/>
          <w:szCs w:val="22"/>
          <w:color w:val="auto"/>
        </w:rPr>
      </w:pPr>
      <w:r>
        <w:rPr>
          <w:rFonts w:ascii="Arial" w:cs="Arial" w:eastAsia="Arial" w:hAnsi="Arial"/>
          <w:sz w:val="22"/>
          <w:szCs w:val="22"/>
          <w:color w:val="auto"/>
        </w:rPr>
        <w:t>3 -</w:t>
      </w:r>
    </w:p>
    <w:p>
      <w:pPr>
        <w:sectPr>
          <w:pgSz w:w="11900" w:h="16838" w:orient="portrait"/>
          <w:cols w:equalWidth="0" w:num="1">
            <w:col w:w="11232"/>
          </w:cols>
          <w:pgMar w:left="328" w:top="1108" w:right="339" w:bottom="1440" w:gutter="0" w:footer="0" w:header="0"/>
        </w:sectPr>
      </w:pPr>
    </w:p>
    <w:bookmarkStart w:id="109" w:name="page110"/>
    <w:bookmarkEnd w:id="109"/>
    <w:p>
      <w:pPr>
        <w:jc w:val="both"/>
        <w:ind w:left="652"/>
        <w:spacing w:after="0" w:line="287" w:lineRule="auto"/>
        <w:rPr>
          <w:sz w:val="20"/>
          <w:szCs w:val="20"/>
          <w:color w:val="auto"/>
        </w:rPr>
      </w:pPr>
      <w:r>
        <w:rPr>
          <w:rFonts w:ascii="Arial" w:cs="Arial" w:eastAsia="Arial" w:hAnsi="Arial"/>
          <w:sz w:val="16"/>
          <w:szCs w:val="16"/>
          <w:color w:val="auto"/>
        </w:rPr>
        <w:t xml:space="preserve">choice. To the extent that the Executive elects to enter into this Release prior to the expiration of such period, the Executive acknowledges that the Executive has done so voluntarily and has knowingly waived the balance of such consideration period. </w:t>
      </w:r>
      <w:r>
        <w:rPr>
          <w:rFonts w:ascii="Arial" w:cs="Arial" w:eastAsia="Arial" w:hAnsi="Arial"/>
          <w:sz w:val="16"/>
          <w:szCs w:val="16"/>
          <w:b w:val="1"/>
          <w:bCs w:val="1"/>
          <w:color w:val="auto"/>
        </w:rPr>
        <w:t>The</w:t>
      </w:r>
      <w:r>
        <w:rPr>
          <w:rFonts w:ascii="Arial" w:cs="Arial" w:eastAsia="Arial" w:hAnsi="Arial"/>
          <w:sz w:val="16"/>
          <w:szCs w:val="16"/>
          <w:color w:val="auto"/>
        </w:rPr>
        <w:t xml:space="preserve"> </w:t>
      </w:r>
      <w:r>
        <w:rPr>
          <w:rFonts w:ascii="Arial" w:cs="Arial" w:eastAsia="Arial" w:hAnsi="Arial"/>
          <w:sz w:val="16"/>
          <w:szCs w:val="16"/>
          <w:b w:val="1"/>
          <w:bCs w:val="1"/>
          <w:color w:val="auto"/>
        </w:rPr>
        <w:t>Executive understands that, to be eligible for the [Severance Benefits OR Severance Payment</w:t>
      </w:r>
      <w:r>
        <w:rPr>
          <w:rFonts w:ascii="Arial" w:cs="Arial" w:eastAsia="Arial" w:hAnsi="Arial"/>
          <w:sz w:val="16"/>
          <w:szCs w:val="16"/>
          <w:color w:val="auto"/>
        </w:rPr>
        <w:t>]</w:t>
      </w:r>
      <w:r>
        <w:rPr>
          <w:rFonts w:ascii="Arial" w:cs="Arial" w:eastAsia="Arial" w:hAnsi="Arial"/>
          <w:sz w:val="16"/>
          <w:szCs w:val="16"/>
          <w:b w:val="1"/>
          <w:bCs w:val="1"/>
          <w:color w:val="auto"/>
        </w:rPr>
        <w:t>, the Executive must return this</w:t>
      </w:r>
    </w:p>
    <w:p>
      <w:pPr>
        <w:spacing w:after="0" w:line="1" w:lineRule="exact"/>
        <w:rPr>
          <w:sz w:val="20"/>
          <w:szCs w:val="20"/>
          <w:color w:val="auto"/>
        </w:rPr>
      </w:pPr>
    </w:p>
    <w:p>
      <w:pPr>
        <w:jc w:val="both"/>
        <w:ind w:left="652" w:right="20"/>
        <w:spacing w:after="0" w:line="210" w:lineRule="auto"/>
        <w:rPr>
          <w:sz w:val="20"/>
          <w:szCs w:val="20"/>
          <w:color w:val="auto"/>
        </w:rPr>
      </w:pPr>
      <w:r>
        <w:rPr>
          <w:rFonts w:ascii="Arial" w:cs="Arial" w:eastAsia="Arial" w:hAnsi="Arial"/>
          <w:sz w:val="20"/>
          <w:szCs w:val="20"/>
          <w:b w:val="1"/>
          <w:bCs w:val="1"/>
          <w:color w:val="auto"/>
        </w:rPr>
        <w:t>Release, signed and dated, no later than 11:59pm ET on the [twenty-first (21</w:t>
      </w:r>
      <w:r>
        <w:rPr>
          <w:rFonts w:ascii="Arial" w:cs="Arial" w:eastAsia="Arial" w:hAnsi="Arial"/>
          <w:sz w:val="25"/>
          <w:szCs w:val="25"/>
          <w:b w:val="1"/>
          <w:bCs w:val="1"/>
          <w:color w:val="auto"/>
          <w:vertAlign w:val="superscript"/>
        </w:rPr>
        <w:t>st</w:t>
      </w:r>
      <w:r>
        <w:rPr>
          <w:rFonts w:ascii="Arial" w:cs="Arial" w:eastAsia="Arial" w:hAnsi="Arial"/>
          <w:sz w:val="20"/>
          <w:szCs w:val="20"/>
          <w:b w:val="1"/>
          <w:bCs w:val="1"/>
          <w:color w:val="auto"/>
        </w:rPr>
        <w:t>) OR forty-fifth (45</w:t>
      </w:r>
      <w:r>
        <w:rPr>
          <w:rFonts w:ascii="Arial" w:cs="Arial" w:eastAsia="Arial" w:hAnsi="Arial"/>
          <w:sz w:val="25"/>
          <w:szCs w:val="25"/>
          <w:b w:val="1"/>
          <w:bCs w:val="1"/>
          <w:color w:val="auto"/>
          <w:vertAlign w:val="superscript"/>
        </w:rPr>
        <w:t>th</w:t>
      </w:r>
      <w:r>
        <w:rPr>
          <w:rFonts w:ascii="Arial" w:cs="Arial" w:eastAsia="Arial" w:hAnsi="Arial"/>
          <w:sz w:val="20"/>
          <w:szCs w:val="20"/>
          <w:b w:val="1"/>
          <w:bCs w:val="1"/>
          <w:color w:val="auto"/>
        </w:rPr>
        <w:t>)] day after Executive receives this Release, to the Company at: [ADDRESS].</w:t>
      </w:r>
    </w:p>
    <w:p>
      <w:pPr>
        <w:spacing w:after="0" w:line="190" w:lineRule="exact"/>
        <w:rPr>
          <w:sz w:val="20"/>
          <w:szCs w:val="20"/>
          <w:color w:val="auto"/>
        </w:rPr>
      </w:pPr>
    </w:p>
    <w:p>
      <w:pPr>
        <w:jc w:val="both"/>
        <w:ind w:left="652" w:hanging="409"/>
        <w:spacing w:after="0" w:line="232" w:lineRule="auto"/>
        <w:tabs>
          <w:tab w:leader="none" w:pos="652" w:val="left"/>
        </w:tabs>
        <w:numPr>
          <w:ilvl w:val="1"/>
          <w:numId w:val="88"/>
        </w:numPr>
        <w:rPr>
          <w:rFonts w:ascii="Arial" w:cs="Arial" w:eastAsia="Arial" w:hAnsi="Arial"/>
          <w:sz w:val="20"/>
          <w:szCs w:val="20"/>
          <w:color w:val="auto"/>
        </w:rPr>
      </w:pPr>
      <w:r>
        <w:rPr>
          <w:rFonts w:ascii="Arial" w:cs="Arial" w:eastAsia="Arial" w:hAnsi="Arial"/>
          <w:sz w:val="20"/>
          <w:szCs w:val="20"/>
          <w:b w:val="1"/>
          <w:bCs w:val="1"/>
          <w:color w:val="auto"/>
        </w:rPr>
        <w:t xml:space="preserve">The Executive understands that Executive has seven (7) days from the date the Executive signs this Release to revoke the Release by delivering notice of revocation by 11:59pm ET to [ADDRESS] before the end of such seven-day period, </w:t>
      </w:r>
      <w:r>
        <w:rPr>
          <w:rFonts w:ascii="Arial" w:cs="Arial" w:eastAsia="Arial" w:hAnsi="Arial"/>
          <w:sz w:val="20"/>
          <w:szCs w:val="20"/>
          <w:color w:val="auto"/>
        </w:rPr>
        <w:t>and that</w:t>
      </w:r>
      <w:r>
        <w:rPr>
          <w:rFonts w:ascii="Arial" w:cs="Arial" w:eastAsia="Arial" w:hAnsi="Arial"/>
          <w:sz w:val="20"/>
          <w:szCs w:val="20"/>
          <w:b w:val="1"/>
          <w:bCs w:val="1"/>
          <w:color w:val="auto"/>
        </w:rPr>
        <w:t xml:space="preserve"> </w:t>
      </w:r>
      <w:r>
        <w:rPr>
          <w:rFonts w:ascii="Arial" w:cs="Arial" w:eastAsia="Arial" w:hAnsi="Arial"/>
          <w:sz w:val="20"/>
          <w:szCs w:val="20"/>
          <w:color w:val="auto"/>
        </w:rPr>
        <w:t>this Release will not become effective until the eighth (8</w:t>
      </w:r>
      <w:r>
        <w:rPr>
          <w:rFonts w:ascii="Arial" w:cs="Arial" w:eastAsia="Arial" w:hAnsi="Arial"/>
          <w:sz w:val="25"/>
          <w:szCs w:val="25"/>
          <w:color w:val="auto"/>
          <w:vertAlign w:val="superscript"/>
        </w:rPr>
        <w:t>th</w:t>
      </w:r>
      <w:r>
        <w:rPr>
          <w:rFonts w:ascii="Arial" w:cs="Arial" w:eastAsia="Arial" w:hAnsi="Arial"/>
          <w:sz w:val="20"/>
          <w:szCs w:val="20"/>
          <w:color w:val="auto"/>
        </w:rPr>
        <w:t>) day after the Executive has delivered this Release, signed and dated, to the Company without revoking the Release (“</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202" w:lineRule="exact"/>
        <w:rPr>
          <w:rFonts w:ascii="Arial" w:cs="Arial" w:eastAsia="Arial" w:hAnsi="Arial"/>
          <w:sz w:val="20"/>
          <w:szCs w:val="20"/>
          <w:color w:val="auto"/>
        </w:rPr>
      </w:pPr>
    </w:p>
    <w:p>
      <w:pPr>
        <w:jc w:val="both"/>
        <w:ind w:left="332" w:hanging="332"/>
        <w:spacing w:after="0" w:line="272" w:lineRule="auto"/>
        <w:tabs>
          <w:tab w:leader="none" w:pos="332"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xml:space="preserve">. The Executive acknowledges that, as a condition of receipt of the [Severance Benefits </w:t>
      </w:r>
      <w:r>
        <w:rPr>
          <w:rFonts w:ascii="Arial" w:cs="Arial" w:eastAsia="Arial" w:hAnsi="Arial"/>
          <w:sz w:val="19"/>
          <w:szCs w:val="19"/>
          <w:b w:val="1"/>
          <w:bCs w:val="1"/>
          <w:color w:val="auto"/>
        </w:rPr>
        <w:t>OR</w:t>
      </w:r>
      <w:r>
        <w:rPr>
          <w:rFonts w:ascii="Arial" w:cs="Arial" w:eastAsia="Arial" w:hAnsi="Arial"/>
          <w:sz w:val="19"/>
          <w:szCs w:val="19"/>
          <w:color w:val="auto"/>
        </w:rPr>
        <w:t xml:space="preserve"> Severance Payment], the Executive shall continue to be bound by the covenants and obligations in the Employment Agreement, to the extent that such covenants and obligations are meant to survive the termination of the Executive’s employment.</w:t>
      </w:r>
    </w:p>
    <w:p>
      <w:pPr>
        <w:spacing w:after="0" w:line="181" w:lineRule="exact"/>
        <w:rPr>
          <w:rFonts w:ascii="Arial" w:cs="Arial" w:eastAsia="Arial" w:hAnsi="Arial"/>
          <w:sz w:val="19"/>
          <w:szCs w:val="19"/>
          <w:color w:val="auto"/>
        </w:rPr>
      </w:pPr>
    </w:p>
    <w:p>
      <w:pPr>
        <w:jc w:val="both"/>
        <w:ind w:left="332" w:hanging="332"/>
        <w:spacing w:after="0" w:line="250" w:lineRule="auto"/>
        <w:tabs>
          <w:tab w:leader="none" w:pos="332"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Confidentiality of Release</w:t>
      </w:r>
      <w:r>
        <w:rPr>
          <w:rFonts w:ascii="Arial" w:cs="Arial" w:eastAsia="Arial" w:hAnsi="Arial"/>
          <w:sz w:val="20"/>
          <w:szCs w:val="20"/>
          <w:color w:val="auto"/>
        </w:rPr>
        <w:t>. The Executive understands and agrees that the terms of this Release are strictly confidential and shall not be disclosed to any third party (other than the Executive’s immediate family, the Company, or legal advisors or as required by law) without the prior written consent of the Company.</w:t>
      </w:r>
    </w:p>
    <w:p>
      <w:pPr>
        <w:spacing w:after="0" w:line="199" w:lineRule="exact"/>
        <w:rPr>
          <w:rFonts w:ascii="Arial" w:cs="Arial" w:eastAsia="Arial" w:hAnsi="Arial"/>
          <w:sz w:val="20"/>
          <w:szCs w:val="20"/>
          <w:color w:val="auto"/>
        </w:rPr>
      </w:pPr>
    </w:p>
    <w:p>
      <w:pPr>
        <w:jc w:val="both"/>
        <w:ind w:left="332" w:hanging="332"/>
        <w:spacing w:after="0" w:line="246" w:lineRule="auto"/>
        <w:tabs>
          <w:tab w:leader="none" w:pos="332"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No Admission of Liability.</w:t>
      </w:r>
      <w:r>
        <w:rPr>
          <w:rFonts w:ascii="Arial" w:cs="Arial" w:eastAsia="Arial" w:hAnsi="Arial"/>
          <w:sz w:val="20"/>
          <w:szCs w:val="20"/>
          <w:color w:val="auto"/>
        </w:rPr>
        <w:t xml:space="preserve"> The Executive agrees that the Company does not admit any allegations made against it in any claims, charges, complaints, actions, causes of action, suits, grievances, controversies, disputes, or demands. Nothing contained in this Release, nor any of the acts taken thereunder, will be deemed or construed as an admission of liability of any violation of any applicable law, statute, ordinance, order, regulation, or constitution of any kind.</w:t>
      </w:r>
    </w:p>
    <w:p>
      <w:pPr>
        <w:spacing w:after="0" w:line="204" w:lineRule="exact"/>
        <w:rPr>
          <w:rFonts w:ascii="Arial" w:cs="Arial" w:eastAsia="Arial" w:hAnsi="Arial"/>
          <w:sz w:val="20"/>
          <w:szCs w:val="20"/>
          <w:color w:val="auto"/>
        </w:rPr>
      </w:pPr>
    </w:p>
    <w:p>
      <w:pPr>
        <w:jc w:val="both"/>
        <w:ind w:left="332" w:hanging="332"/>
        <w:spacing w:after="0" w:line="291" w:lineRule="auto"/>
        <w:tabs>
          <w:tab w:leader="none" w:pos="332"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Reimbursement of Costs</w:t>
      </w:r>
      <w:r>
        <w:rPr>
          <w:rFonts w:ascii="Arial" w:cs="Arial" w:eastAsia="Arial" w:hAnsi="Arial"/>
          <w:sz w:val="18"/>
          <w:szCs w:val="18"/>
          <w:color w:val="auto"/>
        </w:rPr>
        <w:t>. The Executive agrees that, if the Executive violates the terms of this release or brings suit against the Company based on events occurring prior to the Executive signing this Release (other than to enforce the terms of this Release), the Executive will reimburse the Company for any attorney fees, costs, or other damages arising from the Executive’s breach of the release.</w:t>
      </w:r>
    </w:p>
    <w:p>
      <w:pPr>
        <w:spacing w:after="0" w:line="165" w:lineRule="exact"/>
        <w:rPr>
          <w:rFonts w:ascii="Arial" w:cs="Arial" w:eastAsia="Arial" w:hAnsi="Arial"/>
          <w:sz w:val="18"/>
          <w:szCs w:val="18"/>
          <w:color w:val="auto"/>
        </w:rPr>
      </w:pPr>
    </w:p>
    <w:p>
      <w:pPr>
        <w:jc w:val="both"/>
        <w:ind w:left="332" w:hanging="332"/>
        <w:spacing w:after="0" w:line="255" w:lineRule="auto"/>
        <w:tabs>
          <w:tab w:leader="none" w:pos="332"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Governing Law, Arbitration, and Forum</w:t>
      </w:r>
      <w:r>
        <w:rPr>
          <w:rFonts w:ascii="Arial" w:cs="Arial" w:eastAsia="Arial" w:hAnsi="Arial"/>
          <w:sz w:val="19"/>
          <w:szCs w:val="19"/>
          <w:color w:val="auto"/>
        </w:rPr>
        <w:t>. This Release will be governed and construed and enforced in accordance with the laws of the State of California without regard to its conflicts of law rules. Any controversy, dispute or claim arising out of this Release shall first be settled through good faith negotiation. If the parties are unsuccessful at resolving the dispute through negotiation, except for injunctive or other equitable relief or as otherwise provided in this Release, any and all legal proceedings arising out of or relating to this Release shall be resolved through a confidential arbitration administered by Judicial Arbitration &amp; Mediation Services, Inc. (“</w:t>
      </w:r>
      <w:r>
        <w:rPr>
          <w:rFonts w:ascii="Arial" w:cs="Arial" w:eastAsia="Arial" w:hAnsi="Arial"/>
          <w:sz w:val="19"/>
          <w:szCs w:val="19"/>
          <w:u w:val="single" w:color="auto"/>
          <w:color w:val="auto"/>
        </w:rPr>
        <w:t>JAMS</w:t>
      </w:r>
      <w:r>
        <w:rPr>
          <w:rFonts w:ascii="Arial" w:cs="Arial" w:eastAsia="Arial" w:hAnsi="Arial"/>
          <w:sz w:val="19"/>
          <w:szCs w:val="19"/>
          <w:color w:val="auto"/>
        </w:rPr>
        <w:t>”) pursuant to the JAMS Employment Arbitration Rules and Procedures, or successor rules then in effect and to the extent permitted by law. The rules and further information are available at www.jamsadr.com. The Federal Arbitration Act, as then in effect, shall govern the interpretation and enforcement of such arbitration proceeding. The arbitrator shall apply California State law to the merits of any dispute or claim, without reference to rules of conflict of law. Any determination or decision by the arbitrator will be final and binding upon the parties and may be enforced in any court of law. The parties agree that any arbitration will take place on an individual, and not on a class, basis. Subject to the provisions of this Section regarding arbitration, the Executive and the Company hereby submit to the exclusive jurisdiction and venue of the federal and</w:t>
      </w:r>
    </w:p>
    <w:p>
      <w:pPr>
        <w:spacing w:after="0" w:line="193" w:lineRule="exact"/>
        <w:rPr>
          <w:rFonts w:ascii="Arial" w:cs="Arial" w:eastAsia="Arial" w:hAnsi="Arial"/>
          <w:sz w:val="19"/>
          <w:szCs w:val="19"/>
          <w:color w:val="auto"/>
        </w:rPr>
      </w:pPr>
    </w:p>
    <w:p>
      <w:pPr>
        <w:ind w:left="4332" w:hanging="120"/>
        <w:spacing w:after="0"/>
        <w:tabs>
          <w:tab w:leader="none" w:pos="4332" w:val="left"/>
        </w:tabs>
        <w:numPr>
          <w:ilvl w:val="2"/>
          <w:numId w:val="89"/>
        </w:numPr>
        <w:rPr>
          <w:rFonts w:ascii="Arial" w:cs="Arial" w:eastAsia="Arial" w:hAnsi="Arial"/>
          <w:sz w:val="22"/>
          <w:szCs w:val="22"/>
          <w:color w:val="auto"/>
        </w:rPr>
      </w:pPr>
      <w:r>
        <w:rPr>
          <w:rFonts w:ascii="Arial" w:cs="Arial" w:eastAsia="Arial" w:hAnsi="Arial"/>
          <w:sz w:val="22"/>
          <w:szCs w:val="22"/>
          <w:color w:val="auto"/>
        </w:rPr>
        <w:t>4 -</w:t>
      </w:r>
    </w:p>
    <w:p>
      <w:pPr>
        <w:sectPr>
          <w:pgSz w:w="11900" w:h="16838" w:orient="portrait"/>
          <w:cols w:equalWidth="0" w:num="1">
            <w:col w:w="11232"/>
          </w:cols>
          <w:pgMar w:left="328" w:top="1108" w:right="339" w:bottom="1440" w:gutter="0" w:footer="0" w:header="0"/>
        </w:sectPr>
      </w:pPr>
    </w:p>
    <w:bookmarkStart w:id="110" w:name="page111"/>
    <w:bookmarkEnd w:id="110"/>
    <w:p>
      <w:pPr>
        <w:jc w:val="both"/>
        <w:ind w:left="340"/>
        <w:spacing w:after="0" w:line="237" w:lineRule="auto"/>
        <w:rPr>
          <w:sz w:val="20"/>
          <w:szCs w:val="20"/>
          <w:color w:val="auto"/>
        </w:rPr>
      </w:pPr>
      <w:r>
        <w:rPr>
          <w:rFonts w:ascii="Arial" w:cs="Arial" w:eastAsia="Arial" w:hAnsi="Arial"/>
          <w:sz w:val="20"/>
          <w:szCs w:val="20"/>
          <w:color w:val="auto"/>
        </w:rPr>
        <w:t>state courts located in California for the resolution of any and all claims, causes of action or disputes arising out of, related to the enforcement, if necessary, of any arbitral award made pursuant to the provisions of this Section, and the Executive agrees to waive any claim relating to forum non conveniens.</w:t>
      </w:r>
    </w:p>
    <w:p>
      <w:pPr>
        <w:spacing w:after="0" w:line="190" w:lineRule="exact"/>
        <w:rPr>
          <w:sz w:val="20"/>
          <w:szCs w:val="20"/>
          <w:color w:val="auto"/>
        </w:rPr>
      </w:pPr>
    </w:p>
    <w:p>
      <w:pPr>
        <w:spacing w:after="0"/>
        <w:tabs>
          <w:tab w:leader="none" w:pos="1900" w:val="left"/>
        </w:tabs>
        <w:rPr>
          <w:sz w:val="20"/>
          <w:szCs w:val="20"/>
          <w:color w:val="auto"/>
        </w:rPr>
      </w:pPr>
      <w:r>
        <w:rPr>
          <w:rFonts w:ascii="Arial" w:cs="Arial" w:eastAsia="Arial" w:hAnsi="Arial"/>
          <w:sz w:val="20"/>
          <w:szCs w:val="20"/>
          <w:b w:val="1"/>
          <w:bCs w:val="1"/>
          <w:color w:val="auto"/>
        </w:rPr>
        <w:t>Executive Initials</w:t>
      </w:r>
      <w:r>
        <w:rPr>
          <w:sz w:val="20"/>
          <w:szCs w:val="20"/>
          <w:color w:val="auto"/>
        </w:rPr>
        <w:tab/>
      </w:r>
      <w:r>
        <w:rPr>
          <w:rFonts w:ascii="Arial" w:cs="Arial" w:eastAsia="Arial" w:hAnsi="Arial"/>
          <w:sz w:val="16"/>
          <w:szCs w:val="16"/>
          <w:b w:val="1"/>
          <w:bCs w:val="1"/>
          <w:color w:val="auto"/>
        </w:rPr>
        <w:t>Company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968375</wp:posOffset>
            </wp:positionH>
            <wp:positionV relativeFrom="paragraph">
              <wp:posOffset>-10795</wp:posOffset>
            </wp:positionV>
            <wp:extent cx="1257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2606040</wp:posOffset>
            </wp:positionH>
            <wp:positionV relativeFrom="paragraph">
              <wp:posOffset>-10795</wp:posOffset>
            </wp:positionV>
            <wp:extent cx="1257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69" w:lineRule="exact"/>
        <w:rPr>
          <w:sz w:val="20"/>
          <w:szCs w:val="20"/>
          <w:color w:val="auto"/>
        </w:rPr>
      </w:pPr>
    </w:p>
    <w:p>
      <w:pPr>
        <w:jc w:val="both"/>
        <w:ind w:left="340" w:hanging="332"/>
        <w:spacing w:after="0" w:line="244" w:lineRule="auto"/>
        <w:tabs>
          <w:tab w:leader="none" w:pos="340"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term or provision of this Release that is determined to be invalid or unenforceable by any court of competent jurisdiction in any jurisdiction shall, as to such jurisdiction, be ineffective to the extent of such invalidity or unenforceability without rendering invalid or unenforceable the remaining terms and provisions of this Release or affecting the validity or enforceability of any of the terms or provisions of this Release in any other jurisdiction, and such invalid or unenforceable provision shall be modified by such court so that it is enforceable to the extent permitted by applicable law.</w:t>
      </w:r>
    </w:p>
    <w:p>
      <w:pPr>
        <w:spacing w:after="0" w:line="207" w:lineRule="exact"/>
        <w:rPr>
          <w:rFonts w:ascii="Arial" w:cs="Arial" w:eastAsia="Arial" w:hAnsi="Arial"/>
          <w:sz w:val="20"/>
          <w:szCs w:val="20"/>
          <w:color w:val="auto"/>
        </w:rPr>
      </w:pPr>
    </w:p>
    <w:p>
      <w:pPr>
        <w:jc w:val="both"/>
        <w:ind w:left="340" w:hanging="332"/>
        <w:spacing w:after="0" w:line="244" w:lineRule="auto"/>
        <w:tabs>
          <w:tab w:leader="none" w:pos="340"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Counterpart</w:t>
      </w:r>
      <w:r>
        <w:rPr>
          <w:rFonts w:ascii="Arial" w:cs="Arial" w:eastAsia="Arial" w:hAnsi="Arial"/>
          <w:sz w:val="20"/>
          <w:szCs w:val="20"/>
          <w:color w:val="auto"/>
        </w:rPr>
        <w:t>s. This Release may be executed in one or more counterparts, each of which shall be deemed an original but all of which shall together be one and the same agreement. The Parties agree that signatures transmitted by facsimile or electronic mail will be deemed originals and that a facsimile, photocopy, or scanned image of this Release, including without limitation counterparts and any signature(s) or other marks thereon, shall be admissible in any legal, administrative, or other proceeding related to this Release with the same weight and binding effect as an original.</w:t>
      </w:r>
    </w:p>
    <w:p>
      <w:pPr>
        <w:spacing w:after="0" w:line="207" w:lineRule="exact"/>
        <w:rPr>
          <w:rFonts w:ascii="Arial" w:cs="Arial" w:eastAsia="Arial" w:hAnsi="Arial"/>
          <w:sz w:val="20"/>
          <w:szCs w:val="20"/>
          <w:color w:val="auto"/>
        </w:rPr>
      </w:pPr>
    </w:p>
    <w:p>
      <w:pPr>
        <w:jc w:val="both"/>
        <w:ind w:left="340" w:hanging="332"/>
        <w:spacing w:after="0" w:line="278"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Waiver; Amendments</w:t>
      </w:r>
      <w:r>
        <w:rPr>
          <w:rFonts w:ascii="Arial" w:cs="Arial" w:eastAsia="Arial" w:hAnsi="Arial"/>
          <w:sz w:val="18"/>
          <w:szCs w:val="18"/>
          <w:color w:val="auto"/>
        </w:rPr>
        <w:t>. Any waiver by either Party of a breach of any provision of this Release will not operate as, or be construed to be, a waiver of any other breach of such provision of this Release. The failure of either Party to insist on strict adherence to any term of this Release on one or more occasions will not be considered a waiver or deprive either Party of the right thereafter to insist on strict adherence to that term or any other term of this Release. Neither this Release nor any part of it may be waived, changed, or terminated orally. Any waiver, amendment or modification must be in a writing signed by both the Executive and the Company.</w:t>
      </w:r>
    </w:p>
    <w:p>
      <w:pPr>
        <w:spacing w:after="0" w:line="178" w:lineRule="exact"/>
        <w:rPr>
          <w:rFonts w:ascii="Arial" w:cs="Arial" w:eastAsia="Arial" w:hAnsi="Arial"/>
          <w:sz w:val="18"/>
          <w:szCs w:val="18"/>
          <w:color w:val="auto"/>
        </w:rPr>
      </w:pPr>
    </w:p>
    <w:p>
      <w:pPr>
        <w:jc w:val="both"/>
        <w:ind w:left="340" w:hanging="332"/>
        <w:spacing w:after="0" w:line="282"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Entire Agreement; Construction</w:t>
      </w:r>
      <w:r>
        <w:rPr>
          <w:rFonts w:ascii="Arial" w:cs="Arial" w:eastAsia="Arial" w:hAnsi="Arial"/>
          <w:sz w:val="18"/>
          <w:szCs w:val="18"/>
          <w:color w:val="auto"/>
        </w:rPr>
        <w:t>. This Release, together with the Employment Agreement, contains the entire understanding of the Parties relating to the subject matter of this Release and supersedes all other prior written or oral agreements, understandings or arrangements between the Parties relating to the subject matter of this Release. The Executive acknowledges that, in entering into this Release, the Executive did not rely and has not relied on any statements or representations not contained in this Release.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 Page Follows]</w:t>
      </w:r>
    </w:p>
    <w:p>
      <w:pPr>
        <w:spacing w:after="0" w:line="200" w:lineRule="exact"/>
        <w:rPr>
          <w:sz w:val="20"/>
          <w:szCs w:val="20"/>
          <w:color w:val="auto"/>
        </w:rPr>
      </w:pPr>
    </w:p>
    <w:p>
      <w:pPr>
        <w:spacing w:after="0" w:line="260"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40"/>
          </w:cols>
          <w:pgMar w:left="320" w:top="1108" w:right="339" w:bottom="1440" w:gutter="0" w:footer="0" w:header="0"/>
        </w:sectPr>
      </w:pPr>
    </w:p>
    <w:bookmarkStart w:id="111" w:name="page112"/>
    <w:bookmarkEnd w:id="111"/>
    <w:p>
      <w:pPr>
        <w:spacing w:after="0" w:line="108" w:lineRule="exact"/>
        <w:rPr>
          <w:sz w:val="20"/>
          <w:szCs w:val="20"/>
          <w:color w:val="auto"/>
        </w:rPr>
      </w:pPr>
    </w:p>
    <w:p>
      <w:pPr>
        <w:ind w:left="2880"/>
        <w:spacing w:after="0"/>
        <w:rPr>
          <w:sz w:val="20"/>
          <w:szCs w:val="20"/>
          <w:color w:val="auto"/>
        </w:rPr>
      </w:pPr>
      <w:r>
        <w:rPr>
          <w:rFonts w:ascii="Arial" w:cs="Arial" w:eastAsia="Arial" w:hAnsi="Arial"/>
          <w:sz w:val="20"/>
          <w:szCs w:val="20"/>
          <w:b w:val="1"/>
          <w:bCs w:val="1"/>
          <w:color w:val="auto"/>
        </w:rPr>
        <w:t>Executive’s Acknowledgment of Knowing and Voluntary Release</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BY EXECUTING THIS RELEASE, I ACKNOWLEDGE: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 HAVE CAREFULLY READ THIS RELEASE AND I FULLY UNDERSTAND ALL OF THE PROVISIONS OF THIS RELEASE.</w:t>
      </w:r>
    </w:p>
    <w:p>
      <w:pPr>
        <w:spacing w:after="0" w:line="22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 HAVE BEEN ENCOURAGED AND ADVISED IN WRITING TO SEEK ADVICE FROM COUNSEL OF MY CHOOSING REGARDING THIS RELEASE AND HAVE DONE SO TO THE EXTENT I DEEM APPROPRIATE.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 HAVE BEEN GIVEN ADEQUATE TIME, TWENTY ONE (21) BUSINESS DAYS, TO REVIEW THE RELEASE.]</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SIGNING THIS RELEASE, I AM NOT RELYING ON ANY REPRESENTATION OR STATEMENT (WRITTEN OR ORAL) NOT SPECIFICALLY SET FORTH HEREIN BY THE EMPLOYER OR ANY OF ITS REPRESENTATIVES WITH REGARD TO THE SUBJECT MATTER, BASIS, OR EFFECT OF THIS RELEASE OR OTHERWISE.</w:t>
      </w:r>
    </w:p>
    <w:p>
      <w:pPr>
        <w:spacing w:after="0" w:line="199"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 WAS NOT COERCED, THREATENED, OR OTHERWISE FORCED TO SIGN THIS RELEASE. I AM VOLUNTARILY SIGNING AND DELIVERING THIS RELEASE.</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I UNDERSTAND THAT BY SIGNING THIS RELEASE I ACCEPT THE EMPLOYER’S OFFER.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_________</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IN WITNESS WHEREOF, the Parties have executed this Release Agreement.</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AGREED TO AND ACCEPTED:</w:t>
      </w:r>
    </w:p>
    <w:p>
      <w:pPr>
        <w:sectPr>
          <w:pgSz w:w="11900" w:h="16838" w:orient="portrait"/>
          <w:cols w:equalWidth="0" w:num="1">
            <w:col w:w="11240"/>
          </w:cols>
          <w:pgMar w:left="320" w:top="1440" w:right="339" w:bottom="1440" w:gutter="0" w:footer="0" w:header="0"/>
        </w:sect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By Executive:</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Company:</w:t>
      </w:r>
    </w:p>
    <w:p>
      <w:pPr>
        <w:spacing w:after="0" w:line="200" w:lineRule="exact"/>
        <w:rPr>
          <w:sz w:val="20"/>
          <w:szCs w:val="20"/>
          <w:color w:val="auto"/>
        </w:rPr>
      </w:pPr>
    </w:p>
    <w:p>
      <w:pPr>
        <w:sectPr>
          <w:pgSz w:w="11900" w:h="16838" w:orient="portrait"/>
          <w:cols w:equalWidth="0" w:num="2">
            <w:col w:w="4640" w:space="720"/>
            <w:col w:w="5880"/>
          </w:cols>
          <w:pgMar w:left="320" w:top="1440" w:right="339" w:bottom="1440" w:gutter="0" w:footer="0" w:header="0"/>
          <w:type w:val="continuous"/>
        </w:sectPr>
      </w:pPr>
    </w:p>
    <w:p>
      <w:pPr>
        <w:spacing w:after="0" w:line="58"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By:</w:t>
      </w:r>
    </w:p>
    <w:p>
      <w:pPr>
        <w:sectPr>
          <w:pgSz w:w="11900" w:h="16838" w:orient="portrait"/>
          <w:cols w:equalWidth="0" w:num="1">
            <w:col w:w="11240"/>
          </w:cols>
          <w:pgMar w:left="320" w:top="1440" w:right="339" w:bottom="1440" w:gutter="0" w:footer="0" w:header="0"/>
          <w:type w:val="continuous"/>
        </w:sectPr>
      </w:pPr>
    </w:p>
    <w:p>
      <w:pPr>
        <w:spacing w:after="0" w:line="229" w:lineRule="exact"/>
        <w:rPr>
          <w:sz w:val="20"/>
          <w:szCs w:val="20"/>
          <w:color w:val="auto"/>
        </w:rPr>
      </w:pPr>
    </w:p>
    <w:p>
      <w:pPr>
        <w:ind w:left="120" w:right="760"/>
        <w:spacing w:after="0" w:line="385" w:lineRule="auto"/>
        <w:rPr>
          <w:sz w:val="20"/>
          <w:szCs w:val="20"/>
          <w:color w:val="auto"/>
        </w:rPr>
      </w:pPr>
      <w:r>
        <w:rPr>
          <w:rFonts w:ascii="Arial" w:cs="Arial" w:eastAsia="Arial" w:hAnsi="Arial"/>
          <w:sz w:val="16"/>
          <w:szCs w:val="16"/>
          <w:color w:val="auto"/>
        </w:rPr>
        <w:t>______________________________________ Allison Green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Representative’s Signature</w:t>
      </w:r>
    </w:p>
    <w:p>
      <w:pPr>
        <w:spacing w:after="0" w:line="212" w:lineRule="exact"/>
        <w:rPr>
          <w:sz w:val="20"/>
          <w:szCs w:val="20"/>
          <w:color w:val="auto"/>
        </w:rPr>
      </w:pPr>
    </w:p>
    <w:p>
      <w:pPr>
        <w:sectPr>
          <w:pgSz w:w="11900" w:h="16838" w:orient="portrait"/>
          <w:cols w:equalWidth="0" w:num="2">
            <w:col w:w="4640" w:space="720"/>
            <w:col w:w="5880"/>
          </w:cols>
          <w:pgMar w:left="320" w:top="1440" w:right="339" w:bottom="1440" w:gutter="0" w:footer="0" w:header="0"/>
          <w:type w:val="continuous"/>
        </w:sect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Name, Title</w:t>
      </w:r>
    </w:p>
    <w:p>
      <w:pPr>
        <w:spacing w:after="0" w:line="200" w:lineRule="exact"/>
        <w:rPr>
          <w:sz w:val="20"/>
          <w:szCs w:val="20"/>
          <w:color w:val="auto"/>
        </w:rPr>
      </w:pPr>
    </w:p>
    <w:p>
      <w:pPr>
        <w:sectPr>
          <w:pgSz w:w="11900" w:h="16838" w:orient="portrait"/>
          <w:cols w:equalWidth="0" w:num="2">
            <w:col w:w="4640" w:space="720"/>
            <w:col w:w="5880"/>
          </w:cols>
          <w:pgMar w:left="320" w:top="1440" w:right="339" w:bottom="1440" w:gutter="0" w:footer="0" w:header="0"/>
          <w:type w:val="continuous"/>
        </w:sectPr>
      </w:pPr>
    </w:p>
    <w:p>
      <w:pPr>
        <w:spacing w:after="0" w:line="243"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DATE: _____________________________</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- 6 -</w:t>
      </w:r>
    </w:p>
    <w:p>
      <w:pPr>
        <w:sectPr>
          <w:pgSz w:w="11900" w:h="16838" w:orient="portrait"/>
          <w:cols w:equalWidth="0" w:num="1">
            <w:col w:w="11240"/>
          </w:cols>
          <w:pgMar w:left="320" w:top="1440" w:right="33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10.3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5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4840" w:type="dxa"/>
            <w:vAlign w:val="bottom"/>
          </w:tcPr>
          <w:p>
            <w:pPr>
              <w:jc w:val="right"/>
              <w:ind w:right="672"/>
              <w:spacing w:after="0"/>
              <w:rPr>
                <w:sz w:val="20"/>
                <w:szCs w:val="20"/>
                <w:color w:val="auto"/>
              </w:rPr>
            </w:pPr>
            <w:r>
              <w:rPr>
                <w:rFonts w:ascii="Arial" w:cs="Arial" w:eastAsia="Arial" w:hAnsi="Arial"/>
                <w:sz w:val="22"/>
                <w:szCs w:val="22"/>
                <w:b w:val="1"/>
                <w:bCs w:val="1"/>
                <w:color w:val="auto"/>
              </w:rPr>
              <w:t>SUTTER ROCK CAPITAL CORP.</w:t>
            </w:r>
          </w:p>
        </w:tc>
      </w:tr>
      <w:tr>
        <w:trPr>
          <w:trHeight w:val="230"/>
        </w:trPr>
        <w:tc>
          <w:tcPr>
            <w:tcW w:w="1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840" w:type="dxa"/>
            <w:vAlign w:val="bottom"/>
            <w:tcBorders>
              <w:bottom w:val="single" w:sz="8" w:color="auto"/>
            </w:tcBorders>
          </w:tcPr>
          <w:p>
            <w:pPr>
              <w:jc w:val="right"/>
              <w:spacing w:after="0" w:line="230" w:lineRule="exact"/>
              <w:rPr>
                <w:sz w:val="20"/>
                <w:szCs w:val="20"/>
                <w:color w:val="auto"/>
              </w:rPr>
            </w:pPr>
            <w:r>
              <w:rPr>
                <w:rFonts w:ascii="Arial" w:cs="Arial" w:eastAsia="Arial" w:hAnsi="Arial"/>
                <w:sz w:val="22"/>
                <w:szCs w:val="22"/>
                <w:b w:val="1"/>
                <w:bCs w:val="1"/>
                <w:color w:val="auto"/>
              </w:rPr>
              <w:t>FORM OPTION CANCELLATION AGREEMENT</w:t>
            </w:r>
          </w:p>
        </w:tc>
      </w:tr>
      <w:tr>
        <w:trPr>
          <w:trHeight w:val="520"/>
        </w:trPr>
        <w:tc>
          <w:tcPr>
            <w:tcW w:w="1560" w:type="dxa"/>
            <w:vAlign w:val="bottom"/>
          </w:tcPr>
          <w:p>
            <w:pPr>
              <w:spacing w:after="0"/>
              <w:rPr>
                <w:sz w:val="20"/>
                <w:szCs w:val="20"/>
                <w:color w:val="auto"/>
              </w:rPr>
            </w:pPr>
            <w:r>
              <w:rPr>
                <w:rFonts w:ascii="Arial" w:cs="Arial" w:eastAsia="Arial" w:hAnsi="Arial"/>
                <w:sz w:val="22"/>
                <w:szCs w:val="22"/>
                <w:b w:val="1"/>
                <w:bCs w:val="1"/>
                <w:color w:val="auto"/>
              </w:rPr>
              <w:t>Company:</w:t>
            </w:r>
          </w:p>
        </w:tc>
        <w:tc>
          <w:tcPr>
            <w:tcW w:w="6480" w:type="dxa"/>
            <w:vAlign w:val="bottom"/>
            <w:gridSpan w:val="2"/>
          </w:tcPr>
          <w:p>
            <w:pPr>
              <w:jc w:val="right"/>
              <w:ind w:right="4012"/>
              <w:spacing w:after="0"/>
              <w:rPr>
                <w:sz w:val="20"/>
                <w:szCs w:val="20"/>
                <w:color w:val="auto"/>
              </w:rPr>
            </w:pPr>
            <w:r>
              <w:rPr>
                <w:rFonts w:ascii="Arial" w:cs="Arial" w:eastAsia="Arial" w:hAnsi="Arial"/>
                <w:sz w:val="22"/>
                <w:szCs w:val="22"/>
                <w:color w:val="auto"/>
                <w:w w:val="93"/>
              </w:rPr>
              <w:t>Sutter Rock Capital Corp.</w:t>
            </w:r>
          </w:p>
        </w:tc>
      </w:tr>
      <w:tr>
        <w:trPr>
          <w:trHeight w:val="257"/>
        </w:trPr>
        <w:tc>
          <w:tcPr>
            <w:tcW w:w="1560" w:type="dxa"/>
            <w:vAlign w:val="bottom"/>
          </w:tcPr>
          <w:p>
            <w:pPr>
              <w:spacing w:after="0"/>
              <w:rPr>
                <w:sz w:val="20"/>
                <w:szCs w:val="20"/>
                <w:color w:val="auto"/>
              </w:rPr>
            </w:pPr>
            <w:r>
              <w:rPr>
                <w:rFonts w:ascii="Arial" w:cs="Arial" w:eastAsia="Arial" w:hAnsi="Arial"/>
                <w:sz w:val="22"/>
                <w:szCs w:val="22"/>
                <w:b w:val="1"/>
                <w:bCs w:val="1"/>
                <w:color w:val="auto"/>
                <w:w w:val="99"/>
              </w:rPr>
              <w:t>Option Holder:</w:t>
            </w:r>
          </w:p>
        </w:tc>
        <w:tc>
          <w:tcPr>
            <w:tcW w:w="6480" w:type="dxa"/>
            <w:vAlign w:val="bottom"/>
            <w:gridSpan w:val="2"/>
          </w:tcPr>
          <w:p>
            <w:pPr>
              <w:jc w:val="right"/>
              <w:ind w:right="3912"/>
              <w:spacing w:after="0"/>
              <w:rPr>
                <w:sz w:val="20"/>
                <w:szCs w:val="20"/>
                <w:color w:val="auto"/>
              </w:rPr>
            </w:pPr>
            <w:r>
              <w:rPr>
                <w:rFonts w:ascii="Arial" w:cs="Arial" w:eastAsia="Arial" w:hAnsi="Arial"/>
                <w:sz w:val="22"/>
                <w:szCs w:val="22"/>
                <w:b w:val="1"/>
                <w:bCs w:val="1"/>
                <w:color w:val="auto"/>
                <w:w w:val="99"/>
              </w:rPr>
              <w:t>____________________</w:t>
            </w:r>
          </w:p>
        </w:tc>
      </w:tr>
      <w:tr>
        <w:trPr>
          <w:trHeight w:val="256"/>
        </w:trPr>
        <w:tc>
          <w:tcPr>
            <w:tcW w:w="1560" w:type="dxa"/>
            <w:vAlign w:val="bottom"/>
          </w:tcPr>
          <w:p>
            <w:pPr>
              <w:spacing w:after="0"/>
              <w:rPr>
                <w:sz w:val="20"/>
                <w:szCs w:val="20"/>
                <w:color w:val="auto"/>
              </w:rPr>
            </w:pPr>
            <w:r>
              <w:rPr>
                <w:rFonts w:ascii="Arial" w:cs="Arial" w:eastAsia="Arial" w:hAnsi="Arial"/>
                <w:sz w:val="22"/>
                <w:szCs w:val="22"/>
                <w:b w:val="1"/>
                <w:bCs w:val="1"/>
                <w:color w:val="auto"/>
                <w:w w:val="96"/>
              </w:rPr>
              <w:t>No. of Options:</w:t>
            </w:r>
          </w:p>
        </w:tc>
        <w:tc>
          <w:tcPr>
            <w:tcW w:w="6480" w:type="dxa"/>
            <w:vAlign w:val="bottom"/>
            <w:gridSpan w:val="2"/>
          </w:tcPr>
          <w:p>
            <w:pPr>
              <w:jc w:val="right"/>
              <w:ind w:right="3912"/>
              <w:spacing w:after="0"/>
              <w:rPr>
                <w:sz w:val="20"/>
                <w:szCs w:val="20"/>
                <w:color w:val="auto"/>
              </w:rPr>
            </w:pPr>
            <w:r>
              <w:rPr>
                <w:rFonts w:ascii="Arial" w:cs="Arial" w:eastAsia="Arial" w:hAnsi="Arial"/>
                <w:sz w:val="22"/>
                <w:szCs w:val="22"/>
                <w:b w:val="1"/>
                <w:bCs w:val="1"/>
                <w:color w:val="auto"/>
                <w:w w:val="99"/>
              </w:rPr>
              <w:t>____________________</w:t>
            </w:r>
          </w:p>
        </w:tc>
      </w:tr>
      <w:tr>
        <w:trPr>
          <w:trHeight w:val="280"/>
        </w:trPr>
        <w:tc>
          <w:tcPr>
            <w:tcW w:w="1560" w:type="dxa"/>
            <w:vAlign w:val="bottom"/>
          </w:tcPr>
          <w:p>
            <w:pPr>
              <w:spacing w:after="0"/>
              <w:rPr>
                <w:sz w:val="20"/>
                <w:szCs w:val="20"/>
                <w:color w:val="auto"/>
              </w:rPr>
            </w:pPr>
            <w:r>
              <w:rPr>
                <w:rFonts w:ascii="Arial" w:cs="Arial" w:eastAsia="Arial" w:hAnsi="Arial"/>
                <w:sz w:val="22"/>
                <w:szCs w:val="22"/>
                <w:b w:val="1"/>
                <w:bCs w:val="1"/>
                <w:color w:val="auto"/>
              </w:rPr>
              <w:t>Effective Date:</w:t>
            </w:r>
          </w:p>
        </w:tc>
        <w:tc>
          <w:tcPr>
            <w:tcW w:w="6480" w:type="dxa"/>
            <w:vAlign w:val="bottom"/>
            <w:gridSpan w:val="2"/>
          </w:tcPr>
          <w:p>
            <w:pPr>
              <w:jc w:val="right"/>
              <w:ind w:right="3952"/>
              <w:spacing w:after="0"/>
              <w:rPr>
                <w:sz w:val="20"/>
                <w:szCs w:val="20"/>
                <w:color w:val="auto"/>
              </w:rPr>
            </w:pPr>
            <w:r>
              <w:rPr>
                <w:rFonts w:ascii="Arial" w:cs="Arial" w:eastAsia="Arial" w:hAnsi="Arial"/>
                <w:sz w:val="22"/>
                <w:szCs w:val="22"/>
                <w:color w:val="auto"/>
                <w:w w:val="98"/>
              </w:rPr>
              <w:t>____________________</w:t>
            </w:r>
          </w:p>
        </w:tc>
      </w:tr>
    </w:tbl>
    <w:p>
      <w:pPr>
        <w:spacing w:after="0" w:line="23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Option Cancellation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the Effective Date, by and between the Company and the Option Holder. For purposes of this Agreement, references to “</w:t>
      </w:r>
      <w:r>
        <w:rPr>
          <w:rFonts w:ascii="Arial" w:cs="Arial" w:eastAsia="Arial" w:hAnsi="Arial"/>
          <w:sz w:val="19"/>
          <w:szCs w:val="19"/>
          <w:u w:val="single" w:color="auto"/>
          <w:color w:val="auto"/>
        </w:rPr>
        <w:t>Parties</w:t>
      </w:r>
      <w:r>
        <w:rPr>
          <w:rFonts w:ascii="Arial" w:cs="Arial" w:eastAsia="Arial" w:hAnsi="Arial"/>
          <w:sz w:val="19"/>
          <w:szCs w:val="19"/>
          <w:color w:val="auto"/>
        </w:rPr>
        <w:t>” shall mean the Company and the Option Holder collectively, and references to a “</w:t>
      </w:r>
      <w:r>
        <w:rPr>
          <w:rFonts w:ascii="Arial" w:cs="Arial" w:eastAsia="Arial" w:hAnsi="Arial"/>
          <w:sz w:val="19"/>
          <w:szCs w:val="19"/>
          <w:u w:val="single" w:color="auto"/>
          <w:color w:val="auto"/>
        </w:rPr>
        <w:t>Party</w:t>
      </w:r>
      <w:r>
        <w:rPr>
          <w:rFonts w:ascii="Arial" w:cs="Arial" w:eastAsia="Arial" w:hAnsi="Arial"/>
          <w:sz w:val="19"/>
          <w:szCs w:val="19"/>
          <w:color w:val="auto"/>
        </w:rPr>
        <w:t>” are intended to refer to the respective Parties individually.</w:t>
      </w:r>
    </w:p>
    <w:p>
      <w:pPr>
        <w:spacing w:after="0" w:line="168"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Company previously granted the Option Holder options to purchase the number of shares of common</w:t>
      </w:r>
      <w:r>
        <w:rPr>
          <w:rFonts w:ascii="Arial" w:cs="Arial" w:eastAsia="Arial" w:hAnsi="Arial"/>
          <w:sz w:val="19"/>
          <w:szCs w:val="19"/>
          <w:b w:val="1"/>
          <w:bCs w:val="1"/>
          <w:color w:val="auto"/>
        </w:rPr>
        <w:t xml:space="preserve"> </w:t>
      </w:r>
      <w:r>
        <w:rPr>
          <w:rFonts w:ascii="Arial" w:cs="Arial" w:eastAsia="Arial" w:hAnsi="Arial"/>
          <w:sz w:val="19"/>
          <w:szCs w:val="19"/>
          <w:color w:val="auto"/>
        </w:rPr>
        <w:t>stock of the Company described above (the “</w:t>
      </w:r>
      <w:r>
        <w:rPr>
          <w:rFonts w:ascii="Arial" w:cs="Arial" w:eastAsia="Arial" w:hAnsi="Arial"/>
          <w:sz w:val="19"/>
          <w:szCs w:val="19"/>
          <w:u w:val="single" w:color="auto"/>
          <w:color w:val="auto"/>
        </w:rPr>
        <w:t>Options</w:t>
      </w:r>
      <w:r>
        <w:rPr>
          <w:rFonts w:ascii="Arial" w:cs="Arial" w:eastAsia="Arial" w:hAnsi="Arial"/>
          <w:sz w:val="19"/>
          <w:szCs w:val="19"/>
          <w:color w:val="auto"/>
        </w:rPr>
        <w:t>”) pursuant to the Company’s 2019 Equity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and that certain Non-Qualified Stock Option Award, dated as of ________________, 2019 (the “</w:t>
      </w:r>
      <w:r>
        <w:rPr>
          <w:rFonts w:ascii="Arial" w:cs="Arial" w:eastAsia="Arial" w:hAnsi="Arial"/>
          <w:sz w:val="19"/>
          <w:szCs w:val="19"/>
          <w:u w:val="single" w:color="auto"/>
          <w:color w:val="auto"/>
        </w:rPr>
        <w:t>Option Agreement</w:t>
      </w:r>
      <w:r>
        <w:rPr>
          <w:rFonts w:ascii="Arial" w:cs="Arial" w:eastAsia="Arial" w:hAnsi="Arial"/>
          <w:sz w:val="19"/>
          <w:szCs w:val="19"/>
          <w:color w:val="auto"/>
        </w:rPr>
        <w:t>”);</w:t>
      </w:r>
    </w:p>
    <w:p>
      <w:pPr>
        <w:spacing w:after="0" w:line="16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Company’s Compensation Committee has determined that the Options are not an effective means of</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incentivizing the Option Holder to advance the interests of the shareholders of the Company and has determined other types of compensation would be a better method of incentivizing the Option Holder to advance the interests of the shareholders of the Company (the “</w:t>
      </w:r>
      <w:r>
        <w:rPr>
          <w:rFonts w:ascii="Arial" w:cs="Arial" w:eastAsia="Arial" w:hAnsi="Arial"/>
          <w:sz w:val="22"/>
          <w:szCs w:val="22"/>
          <w:u w:val="single" w:color="auto"/>
          <w:color w:val="auto"/>
        </w:rPr>
        <w:t>Other Compensation</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Compensation Committee wishes to cancel the Options and the Option Agreement for no payment;</w:t>
      </w:r>
    </w:p>
    <w:p>
      <w:pPr>
        <w:spacing w:after="0" w:line="295" w:lineRule="exact"/>
        <w:rPr>
          <w:sz w:val="20"/>
          <w:szCs w:val="20"/>
          <w:color w:val="auto"/>
        </w:rPr>
      </w:pPr>
    </w:p>
    <w:p>
      <w:pPr>
        <w:jc w:val="both"/>
        <w:ind w:firstLine="648"/>
        <w:spacing w:after="0" w:line="34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Option Holder agrees with the Compensation Committee’s determination and agrees to voluntarily</w:t>
      </w:r>
      <w:r>
        <w:rPr>
          <w:rFonts w:ascii="Arial" w:cs="Arial" w:eastAsia="Arial" w:hAnsi="Arial"/>
          <w:sz w:val="19"/>
          <w:szCs w:val="19"/>
          <w:b w:val="1"/>
          <w:bCs w:val="1"/>
          <w:color w:val="auto"/>
        </w:rPr>
        <w:t xml:space="preserve"> </w:t>
      </w:r>
      <w:r>
        <w:rPr>
          <w:rFonts w:ascii="Arial" w:cs="Arial" w:eastAsia="Arial" w:hAnsi="Arial"/>
          <w:sz w:val="19"/>
          <w:szCs w:val="19"/>
          <w:color w:val="auto"/>
        </w:rPr>
        <w:t>surrender and cancel the Options and the Option Agreement for no payment in exchange for the Other Compensation;</w:t>
      </w:r>
    </w:p>
    <w:p>
      <w:pPr>
        <w:spacing w:after="0" w:line="13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promises, covenants and agreements contained herein, and for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is hereby acknowledged, the Parties do hereby agree as follows:</w:t>
      </w:r>
    </w:p>
    <w:p>
      <w:pPr>
        <w:spacing w:after="0" w:line="223" w:lineRule="exact"/>
        <w:rPr>
          <w:sz w:val="20"/>
          <w:szCs w:val="20"/>
          <w:color w:val="auto"/>
        </w:rPr>
      </w:pPr>
    </w:p>
    <w:p>
      <w:pPr>
        <w:jc w:val="both"/>
        <w:ind w:left="660" w:hanging="328"/>
        <w:spacing w:after="0" w:line="259" w:lineRule="auto"/>
        <w:tabs>
          <w:tab w:leader="none" w:pos="66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Surrender and Cancellation of Options</w:t>
      </w:r>
      <w:r>
        <w:rPr>
          <w:rFonts w:ascii="Arial" w:cs="Arial" w:eastAsia="Arial" w:hAnsi="Arial"/>
          <w:sz w:val="22"/>
          <w:szCs w:val="22"/>
          <w:color w:val="auto"/>
        </w:rPr>
        <w:t>. The Option Holder hereby forfeits and surrenders the Options for cancellation, and the Company hereby accepts such forfeiture, surrender and cancellation, effective as of the Effective Date. The Parties acknowledge and agree that the Option Agreement and the Options, and any and all rights of the Option Holder and any and all liabilities and obligations of the Company to the Option Holder thereunder, are hereby terminated in all respects and that Option Holder shall have no further rights to exercise the Options or to acquire membership interests in the Company pursuant to the Option Agreement. Any attempt to exercise the Options on or after the Effective Date shall be null and void.</w:t>
      </w:r>
    </w:p>
    <w:p>
      <w:pPr>
        <w:sectPr>
          <w:pgSz w:w="11900" w:h="16838" w:orient="portrait"/>
          <w:cols w:equalWidth="0" w:num="1">
            <w:col w:w="11240"/>
          </w:cols>
          <w:pgMar w:left="320" w:top="342" w:right="339" w:bottom="1440" w:gutter="0" w:footer="0" w:header="0"/>
        </w:sectPr>
      </w:pPr>
    </w:p>
    <w:bookmarkStart w:id="113" w:name="page114"/>
    <w:bookmarkEnd w:id="113"/>
    <w:p>
      <w:pPr>
        <w:jc w:val="both"/>
        <w:ind w:left="328" w:hanging="328"/>
        <w:spacing w:after="0" w:line="311" w:lineRule="auto"/>
        <w:tabs>
          <w:tab w:leader="none" w:pos="328"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Consideration</w:t>
      </w:r>
      <w:r>
        <w:rPr>
          <w:rFonts w:ascii="Arial" w:cs="Arial" w:eastAsia="Arial" w:hAnsi="Arial"/>
          <w:sz w:val="19"/>
          <w:szCs w:val="19"/>
          <w:color w:val="auto"/>
        </w:rPr>
        <w:t>. In exchange for the cancellation and surrender of the Options and the release of claims contained herein, the Company shall provide for the Other Compensation as provided for in a separate agreement between the Option Holder and the Company. The Option Holder hereby acknowledges that the Other Compensation shall be in lieu of whatever benefits, if any, Option Holder may have otherwise been entitled to under the Option Agreement and shall constitute full satisfaction of the Company’s obligations with respect to all of Option Holder’s Options.</w:t>
      </w:r>
    </w:p>
    <w:p>
      <w:pPr>
        <w:spacing w:after="0" w:line="190" w:lineRule="exact"/>
        <w:rPr>
          <w:rFonts w:ascii="Arial" w:cs="Arial" w:eastAsia="Arial" w:hAnsi="Arial"/>
          <w:sz w:val="19"/>
          <w:szCs w:val="19"/>
          <w:color w:val="auto"/>
        </w:rPr>
      </w:pPr>
    </w:p>
    <w:p>
      <w:pPr>
        <w:jc w:val="both"/>
        <w:ind w:left="328" w:hanging="328"/>
        <w:spacing w:after="0" w:line="304" w:lineRule="auto"/>
        <w:tabs>
          <w:tab w:leader="none" w:pos="328"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Waiver and Release</w:t>
      </w:r>
      <w:r>
        <w:rPr>
          <w:rFonts w:ascii="Arial" w:cs="Arial" w:eastAsia="Arial" w:hAnsi="Arial"/>
          <w:sz w:val="19"/>
          <w:szCs w:val="19"/>
          <w:color w:val="auto"/>
        </w:rPr>
        <w:t>. In exchange for the consideration provided to Option Holder hereunder, Option Holder hereby unconditionally and irrevocably waives, releases and forever discharges the Company, its affiliates, successors and assigns, and the Company’s, its affiliates’, successors and assigns’ current and former officers, directors, managers, partners, members, shareholders, employees, agents and representatives (collectively,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from any and all claims or potential claims for relief, causes of action and liabilities, losses, damages, costs, expenses, judgments, charges, demands, orders and other obligations of whatever kind or nature, whether known or unknown, direct or indirect, actual or contingent, matured or not matured, that Option Holder now has, ever had or may have against the Released Parties relating to the Options or the Option Agreement, and agrees not to bring or threaten to bring or otherwise join in any claim, suit, action or other proceeding against the Released Parties or any of them relating thereto.</w:t>
      </w:r>
    </w:p>
    <w:p>
      <w:pPr>
        <w:spacing w:after="0" w:line="195" w:lineRule="exact"/>
        <w:rPr>
          <w:rFonts w:ascii="Arial" w:cs="Arial" w:eastAsia="Arial" w:hAnsi="Arial"/>
          <w:sz w:val="19"/>
          <w:szCs w:val="19"/>
          <w:color w:val="auto"/>
        </w:rPr>
      </w:pPr>
    </w:p>
    <w:p>
      <w:pPr>
        <w:jc w:val="both"/>
        <w:ind w:left="328" w:hanging="328"/>
        <w:spacing w:after="0" w:line="303" w:lineRule="auto"/>
        <w:tabs>
          <w:tab w:leader="none" w:pos="328"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Option Holder</w:t>
      </w:r>
      <w:r>
        <w:rPr>
          <w:rFonts w:ascii="Arial" w:cs="Arial" w:eastAsia="Arial" w:hAnsi="Arial"/>
          <w:sz w:val="19"/>
          <w:szCs w:val="19"/>
          <w:color w:val="auto"/>
        </w:rPr>
        <w:t>. Option Holder hereby represents, warrants and covenants that, as of the Effective Date: (i) Option Holder is the sole beneficial and record owner and holder of the Options, which Options are free and clear of any liens, claims, options, charges, third party rights or other encumbrances (including, without limitation, restrictions on rights of disposition other than those imposed by applicable law); (ii) the Option Holder has not exercised any of the Options and has not sold, transferred, given, pledged, assigned or otherwise disposed of (including by gift) (collectively, “</w:t>
      </w:r>
      <w:r>
        <w:rPr>
          <w:rFonts w:ascii="Arial" w:cs="Arial" w:eastAsia="Arial" w:hAnsi="Arial"/>
          <w:sz w:val="19"/>
          <w:szCs w:val="19"/>
          <w:u w:val="single" w:color="auto"/>
          <w:color w:val="auto"/>
        </w:rPr>
        <w:t>Transfer</w:t>
      </w:r>
      <w:r>
        <w:rPr>
          <w:rFonts w:ascii="Arial" w:cs="Arial" w:eastAsia="Arial" w:hAnsi="Arial"/>
          <w:sz w:val="19"/>
          <w:szCs w:val="19"/>
          <w:color w:val="auto"/>
        </w:rPr>
        <w:t>”), or consented to any Transfer of, any or all of the Options or any interest therein, or entered into any agreement, contract, option or other arrangement (including any profit sharing arrangement) with respect to the Transfer of the Options to any person or entity other than the Company; (iii) Option Holder has full power and authority to make, enter into and carry out the terms of this Agreement; (iv) Option Holder has duly executed and delivered this Agreement; and (v) this Agreement constitutes a valid and binding obligation of Option Holder, enforceable against Option Holder in accordance with its terms.</w:t>
      </w:r>
    </w:p>
    <w:p>
      <w:pPr>
        <w:spacing w:after="0" w:line="200" w:lineRule="exact"/>
        <w:rPr>
          <w:rFonts w:ascii="Arial" w:cs="Arial" w:eastAsia="Arial" w:hAnsi="Arial"/>
          <w:sz w:val="19"/>
          <w:szCs w:val="19"/>
          <w:color w:val="auto"/>
        </w:rPr>
      </w:pPr>
    </w:p>
    <w:p>
      <w:pPr>
        <w:spacing w:after="0" w:line="268" w:lineRule="exact"/>
        <w:rPr>
          <w:rFonts w:ascii="Arial" w:cs="Arial" w:eastAsia="Arial" w:hAnsi="Arial"/>
          <w:sz w:val="19"/>
          <w:szCs w:val="19"/>
          <w:color w:val="auto"/>
        </w:rPr>
      </w:pPr>
    </w:p>
    <w:p>
      <w:pPr>
        <w:jc w:val="both"/>
        <w:ind w:left="328" w:hanging="328"/>
        <w:spacing w:after="0" w:line="308" w:lineRule="auto"/>
        <w:tabs>
          <w:tab w:leader="none" w:pos="328"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Acknowledgement; Review</w:t>
      </w:r>
      <w:r>
        <w:rPr>
          <w:rFonts w:ascii="Arial" w:cs="Arial" w:eastAsia="Arial" w:hAnsi="Arial"/>
          <w:sz w:val="19"/>
          <w:szCs w:val="19"/>
          <w:color w:val="auto"/>
        </w:rPr>
        <w:t>. Option Holder has entered into this Agreement of Option Holder’s own free will and not under any duress or undue influence. Option Holder has carefully reviewed this Agreement and has been given the opportunity to consult with independent legal counsel and tax, financial and business advisors regarding Option Holder’s rights and obligations under this Agreement. Option Holder has consulted with such independent legal counsel or tax, financial and business advisors regarding the foregoing (or after carefully reviewing this Agreement, has freely decided not to consult with such counsel or advisors) and fully understands the terms and conditions contained in this</w:t>
      </w:r>
    </w:p>
    <w:p>
      <w:pPr>
        <w:sectPr>
          <w:pgSz w:w="11900" w:h="16838" w:orient="portrait"/>
          <w:cols w:equalWidth="0" w:num="1">
            <w:col w:w="10908"/>
          </w:cols>
          <w:pgMar w:left="652" w:top="348" w:right="339" w:bottom="1440" w:gutter="0" w:footer="0" w:header="0"/>
        </w:sectPr>
      </w:pPr>
    </w:p>
    <w:bookmarkStart w:id="114" w:name="page115"/>
    <w:bookmarkEnd w:id="114"/>
    <w:p>
      <w:pPr>
        <w:jc w:val="both"/>
        <w:ind w:left="660"/>
        <w:spacing w:after="0" w:line="231" w:lineRule="auto"/>
        <w:rPr>
          <w:sz w:val="20"/>
          <w:szCs w:val="20"/>
          <w:color w:val="auto"/>
        </w:rPr>
      </w:pPr>
      <w:r>
        <w:rPr>
          <w:rFonts w:ascii="Arial" w:cs="Arial" w:eastAsia="Arial" w:hAnsi="Arial"/>
          <w:sz w:val="22"/>
          <w:szCs w:val="22"/>
          <w:color w:val="auto"/>
        </w:rPr>
        <w:t>Agreement. Option Holder has had the opportunity to ask questions and receive answers concerning the terms and conditions of this Agreement and has had full access to such other information concerning the Company and the transactions referenced in this Agreement as Option Holder has requested.</w:t>
      </w:r>
    </w:p>
    <w:p>
      <w:pPr>
        <w:spacing w:after="0" w:line="228" w:lineRule="exact"/>
        <w:rPr>
          <w:sz w:val="20"/>
          <w:szCs w:val="20"/>
          <w:color w:val="auto"/>
        </w:rPr>
      </w:pPr>
    </w:p>
    <w:p>
      <w:pPr>
        <w:jc w:val="both"/>
        <w:ind w:left="660" w:hanging="328"/>
        <w:spacing w:after="0" w:line="279" w:lineRule="auto"/>
        <w:tabs>
          <w:tab w:leader="none" w:pos="660" w:val="left"/>
        </w:tabs>
        <w:numPr>
          <w:ilvl w:val="1"/>
          <w:numId w:val="93"/>
        </w:numPr>
        <w:rPr>
          <w:rFonts w:ascii="Arial" w:cs="Arial" w:eastAsia="Arial" w:hAnsi="Arial"/>
          <w:sz w:val="21"/>
          <w:szCs w:val="21"/>
          <w:color w:val="auto"/>
        </w:rPr>
      </w:pPr>
      <w:r>
        <w:rPr>
          <w:rFonts w:ascii="Arial" w:cs="Arial" w:eastAsia="Arial" w:hAnsi="Arial"/>
          <w:sz w:val="21"/>
          <w:szCs w:val="21"/>
          <w:u w:val="single" w:color="auto"/>
          <w:color w:val="auto"/>
        </w:rPr>
        <w:t>Indemnity</w:t>
      </w:r>
      <w:r>
        <w:rPr>
          <w:rFonts w:ascii="Arial" w:cs="Arial" w:eastAsia="Arial" w:hAnsi="Arial"/>
          <w:sz w:val="21"/>
          <w:szCs w:val="21"/>
          <w:color w:val="auto"/>
        </w:rPr>
        <w:t>. Option Holder shall indemnify and hold wholly harmless each of the Released Parties from and against any liability, loss or expense of any kind or nature and all reasonable attorneys’ fees incurred in connection therewith, that may be incurred by an Indemnified Party in connection with any non-fulfillment, inaccuracy or breach of any covenant, agreement, representation or warranty of Option Holder under this Agreement.</w:t>
      </w:r>
    </w:p>
    <w:p>
      <w:pPr>
        <w:spacing w:after="0" w:line="213" w:lineRule="exact"/>
        <w:rPr>
          <w:rFonts w:ascii="Arial" w:cs="Arial" w:eastAsia="Arial" w:hAnsi="Arial"/>
          <w:sz w:val="21"/>
          <w:szCs w:val="21"/>
          <w:color w:val="auto"/>
        </w:rPr>
      </w:pPr>
    </w:p>
    <w:p>
      <w:pPr>
        <w:jc w:val="both"/>
        <w:ind w:left="660" w:hanging="423"/>
        <w:spacing w:after="0" w:line="327" w:lineRule="auto"/>
        <w:tabs>
          <w:tab w:leader="none" w:pos="660"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Option Holder agrees to execute and/or cause to be delivered to the Company such instruments and other documents, and shall take such other actions, as the Company may reasonably request for the purpose of carrying out or evidencing the cancellation of the Options and termination of the Option Agreement.</w:t>
      </w:r>
    </w:p>
    <w:p>
      <w:pPr>
        <w:spacing w:after="0" w:line="173" w:lineRule="exact"/>
        <w:rPr>
          <w:rFonts w:ascii="Arial" w:cs="Arial" w:eastAsia="Arial" w:hAnsi="Arial"/>
          <w:sz w:val="19"/>
          <w:szCs w:val="19"/>
          <w:color w:val="auto"/>
        </w:rPr>
      </w:pPr>
    </w:p>
    <w:p>
      <w:pPr>
        <w:jc w:val="both"/>
        <w:ind w:left="660" w:hanging="328"/>
        <w:spacing w:after="0" w:line="266" w:lineRule="auto"/>
        <w:tabs>
          <w:tab w:leader="none" w:pos="660"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governed by and construed in accordance with the laws of the State of Maryland without regard to principles of conflicts of law. The Parties hereby submit to the exclusive jurisdiction of the federal and state courts serving the County of [________], Maryland.</w:t>
      </w:r>
    </w:p>
    <w:p>
      <w:pPr>
        <w:spacing w:after="0" w:line="225" w:lineRule="exact"/>
        <w:rPr>
          <w:rFonts w:ascii="Arial" w:cs="Arial" w:eastAsia="Arial" w:hAnsi="Arial"/>
          <w:sz w:val="22"/>
          <w:szCs w:val="22"/>
          <w:color w:val="auto"/>
        </w:rPr>
      </w:pPr>
    </w:p>
    <w:p>
      <w:pPr>
        <w:ind w:left="660" w:hanging="328"/>
        <w:spacing w:after="0" w:line="276" w:lineRule="auto"/>
        <w:tabs>
          <w:tab w:leader="none" w:pos="660"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This Agreement shall be binding upon and shall inure to the benefit of the Parties and their respective successors and permitted assigns.</w:t>
      </w:r>
    </w:p>
    <w:p>
      <w:pPr>
        <w:spacing w:after="0" w:line="214" w:lineRule="exact"/>
        <w:rPr>
          <w:rFonts w:ascii="Arial" w:cs="Arial" w:eastAsia="Arial" w:hAnsi="Arial"/>
          <w:sz w:val="22"/>
          <w:szCs w:val="22"/>
          <w:color w:val="auto"/>
        </w:rPr>
      </w:pPr>
    </w:p>
    <w:p>
      <w:pPr>
        <w:ind w:left="660" w:hanging="328"/>
        <w:spacing w:after="0" w:line="276" w:lineRule="auto"/>
        <w:tabs>
          <w:tab w:leader="none" w:pos="660"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Captions and Headings</w:t>
      </w:r>
      <w:r>
        <w:rPr>
          <w:rFonts w:ascii="Arial" w:cs="Arial" w:eastAsia="Arial" w:hAnsi="Arial"/>
          <w:sz w:val="22"/>
          <w:szCs w:val="22"/>
          <w:color w:val="auto"/>
        </w:rPr>
        <w:t>. The captions or headings of the sections of this Agreement are for reference only and are not to be construed in any way as part of this Agreement.</w:t>
      </w:r>
    </w:p>
    <w:p>
      <w:pPr>
        <w:spacing w:after="0" w:line="214" w:lineRule="exact"/>
        <w:rPr>
          <w:rFonts w:ascii="Arial" w:cs="Arial" w:eastAsia="Arial" w:hAnsi="Arial"/>
          <w:sz w:val="22"/>
          <w:szCs w:val="22"/>
          <w:color w:val="auto"/>
        </w:rPr>
      </w:pPr>
    </w:p>
    <w:p>
      <w:pPr>
        <w:ind w:left="660" w:hanging="328"/>
        <w:spacing w:after="0" w:line="276" w:lineRule="auto"/>
        <w:tabs>
          <w:tab w:leader="none" w:pos="660" w:val="left"/>
        </w:tabs>
        <w:numPr>
          <w:ilvl w:val="1"/>
          <w:numId w:val="94"/>
        </w:numPr>
        <w:rPr>
          <w:rFonts w:ascii="Arial" w:cs="Arial" w:eastAsia="Arial" w:hAnsi="Arial"/>
          <w:sz w:val="22"/>
          <w:szCs w:val="22"/>
          <w:color w:val="auto"/>
        </w:rPr>
      </w:pPr>
      <w:r>
        <w:rPr>
          <w:rFonts w:ascii="Arial" w:cs="Arial" w:eastAsia="Arial" w:hAnsi="Arial"/>
          <w:sz w:val="22"/>
          <w:szCs w:val="22"/>
          <w:u w:val="single" w:color="auto"/>
          <w:color w:val="auto"/>
        </w:rPr>
        <w:t>Legal Counsel</w:t>
      </w:r>
      <w:r>
        <w:rPr>
          <w:rFonts w:ascii="Arial" w:cs="Arial" w:eastAsia="Arial" w:hAnsi="Arial"/>
          <w:sz w:val="22"/>
          <w:szCs w:val="22"/>
          <w:color w:val="auto"/>
        </w:rPr>
        <w:t>. Each Party has either been advised by legal counsel of such Party’s own choosing or has freely chosen not to seek such advice.</w:t>
      </w:r>
    </w:p>
    <w:p>
      <w:pPr>
        <w:spacing w:after="0" w:line="214" w:lineRule="exact"/>
        <w:rPr>
          <w:rFonts w:ascii="Arial" w:cs="Arial" w:eastAsia="Arial" w:hAnsi="Arial"/>
          <w:sz w:val="22"/>
          <w:szCs w:val="22"/>
          <w:color w:val="auto"/>
        </w:rPr>
      </w:pPr>
    </w:p>
    <w:p>
      <w:pPr>
        <w:jc w:val="both"/>
        <w:ind w:left="660" w:hanging="328"/>
        <w:spacing w:after="0" w:line="327" w:lineRule="auto"/>
        <w:tabs>
          <w:tab w:leader="none" w:pos="660"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each of which shall be an original, but all of which together shall constitute one instrument. A Party may deliver this Agreement by transmitting a facsimile copy, or other electronically signed or transmitted copy, of the signed signature page to the other Party.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have executed this Option Cancellation Agreement as of the Effective Date.</w:t>
      </w:r>
    </w:p>
    <w:p>
      <w:pPr>
        <w:sectPr>
          <w:pgSz w:w="11900" w:h="16838" w:orient="portrait"/>
          <w:cols w:equalWidth="0" w:num="1">
            <w:col w:w="11240"/>
          </w:cols>
          <w:pgMar w:left="320" w:top="334" w:right="339" w:bottom="1440" w:gutter="0" w:footer="0" w:header="0"/>
        </w:sectPr>
      </w:pP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COMPANY:</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color w:val="auto"/>
        </w:rPr>
        <w:t>OPTION HOLDER:</w:t>
      </w:r>
    </w:p>
    <w:p>
      <w:pPr>
        <w:spacing w:after="0" w:line="200" w:lineRule="exact"/>
        <w:rPr>
          <w:sz w:val="20"/>
          <w:szCs w:val="20"/>
          <w:color w:val="auto"/>
        </w:rPr>
      </w:pPr>
    </w:p>
    <w:p>
      <w:pPr>
        <w:sectPr>
          <w:pgSz w:w="11900" w:h="16838" w:orient="portrait"/>
          <w:cols w:equalWidth="0" w:num="2">
            <w:col w:w="1900" w:space="720"/>
            <w:col w:w="8620"/>
          </w:cols>
          <w:pgMar w:left="320" w:top="334" w:right="339" w:bottom="1440" w:gutter="0" w:footer="0" w:header="0"/>
          <w:type w:val="continuous"/>
        </w:sect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w:t>
      </w:r>
    </w:p>
    <w:p>
      <w:pPr>
        <w:spacing w:after="0" w:line="56" w:lineRule="exact"/>
        <w:rPr>
          <w:sz w:val="20"/>
          <w:szCs w:val="20"/>
          <w:color w:val="auto"/>
        </w:rPr>
      </w:pPr>
    </w:p>
    <w:p>
      <w:pPr>
        <w:sectPr>
          <w:pgSz w:w="11900" w:h="16838" w:orient="portrait"/>
          <w:cols w:equalWidth="0" w:num="2">
            <w:col w:w="2860" w:space="720"/>
            <w:col w:w="7660"/>
          </w:cols>
          <w:pgMar w:left="320" w:top="334" w:right="339" w:bottom="1440" w:gutter="0" w:footer="0" w:header="0"/>
          <w:type w:val="continuous"/>
        </w:sectPr>
      </w:pPr>
    </w:p>
    <w:p>
      <w:pPr>
        <w:spacing w:after="0"/>
        <w:rPr>
          <w:sz w:val="20"/>
          <w:szCs w:val="20"/>
          <w:color w:val="auto"/>
        </w:rPr>
      </w:pPr>
      <w:r>
        <w:rPr>
          <w:rFonts w:ascii="Arial" w:cs="Arial" w:eastAsia="Arial" w:hAnsi="Arial"/>
          <w:sz w:val="19"/>
          <w:szCs w:val="19"/>
          <w:color w:val="auto"/>
        </w:rPr>
        <w:t>Sutter Rock Capital Corp.</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Its:</w:t>
      </w:r>
    </w:p>
    <w:p>
      <w:pPr>
        <w:sectPr>
          <w:pgSz w:w="11900" w:h="16838" w:orient="portrait"/>
          <w:cols w:equalWidth="0" w:num="1">
            <w:col w:w="11240"/>
          </w:cols>
          <w:pgMar w:left="320" w:top="334" w:right="339" w:bottom="1440" w:gutter="0" w:footer="0" w:header="0"/>
          <w:type w:val="continuous"/>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of Sutter Rock Capital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D. Klein, certify that:</w:t>
      </w:r>
    </w:p>
    <w:p>
      <w:pPr>
        <w:spacing w:after="0" w:line="225"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Sutter Rock Capital Corp.;</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00" w:hanging="328"/>
        <w:spacing w:after="0" w:line="263"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right="100" w:hanging="324"/>
        <w:spacing w:after="0" w:line="263" w:lineRule="auto"/>
        <w:tabs>
          <w:tab w:leader="none" w:pos="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80" w:hanging="324"/>
        <w:spacing w:after="0" w:line="263" w:lineRule="auto"/>
        <w:tabs>
          <w:tab w:leader="none" w:pos="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9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520" w:hanging="324"/>
        <w:spacing w:after="0" w:line="277" w:lineRule="auto"/>
        <w:tabs>
          <w:tab w:leader="none" w:pos="9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8th day of May,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31750</wp:posOffset>
            </wp:positionV>
            <wp:extent cx="1440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Mark D. Klein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553"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of Sutter Rock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Allison Green, certify that:</w:t>
      </w:r>
    </w:p>
    <w:p>
      <w:pPr>
        <w:spacing w:after="0" w:line="225"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Sutter Rock Capital Corp.;</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300" w:hanging="328"/>
        <w:spacing w:after="0" w:line="263"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right="100" w:hanging="324"/>
        <w:spacing w:after="0" w:line="263" w:lineRule="auto"/>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80" w:hanging="324"/>
        <w:spacing w:after="0" w:line="263" w:lineRule="auto"/>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520" w:hanging="324"/>
        <w:spacing w:after="0" w:line="277" w:lineRule="auto"/>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8th day of May,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31750</wp:posOffset>
            </wp:positionV>
            <wp:extent cx="170561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Allison Green</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553"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In connection with the quarterly report on Form 10-Q for the three months ended March 31, 2020 (the “Report”) of Sutter Rock Capital Corp. (the “Registrant”), as filed with the Securities and Exchange Commission on the date hereof, I, Mark D. Klein, the Chief Executive Officer of the Registrant, hereby certify, to the best of my knowledge, that:</w:t>
      </w:r>
    </w:p>
    <w:p>
      <w:pPr>
        <w:spacing w:after="0" w:line="184"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31750</wp:posOffset>
            </wp:positionV>
            <wp:extent cx="3497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53"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Name: Mark D. Klein</w:t>
      </w:r>
    </w:p>
    <w:p>
      <w:pPr>
        <w:spacing w:after="0" w:line="6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Date: May 8, 2020</w:t>
      </w:r>
    </w:p>
    <w:p>
      <w:pPr>
        <w:sectPr>
          <w:pgSz w:w="11900" w:h="16838" w:orient="portrait"/>
          <w:cols w:equalWidth="0" w:num="1">
            <w:col w:w="11240"/>
          </w:cols>
          <w:pgMar w:left="320" w:top="553"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1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connection with the quarterly report on Form 10-Q for the three months ended March 31, 2020 (the “Report”) of Sutter Rock Capital Corp. (the “Registrant”), as filed with the Securities and Exchange Commission on the date hereof, I, Allison Green, the Chief Financial Officer of the Registrant, hereby certify, to the best of my knowledge, that:</w:t>
      </w:r>
    </w:p>
    <w:p>
      <w:pPr>
        <w:spacing w:after="0" w:line="184" w:lineRule="exact"/>
        <w:rPr>
          <w:sz w:val="20"/>
          <w:szCs w:val="20"/>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9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31750</wp:posOffset>
            </wp:positionV>
            <wp:extent cx="34886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5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Name: Allison Green</w:t>
      </w:r>
    </w:p>
    <w:p>
      <w:pPr>
        <w:spacing w:after="0" w:line="6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Date: May 8, 2020</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1)"/>
      <w:numFmt w:val="decimal"/>
      <w:start w:val="1"/>
    </w:lvl>
  </w:abstractNum>
  <w:abstractNum w:abstractNumId="2">
    <w:nsid w:val="3DC240FB"/>
    <w:multiLevelType w:val="hybridMultilevel"/>
    <w:lvl w:ilvl="0">
      <w:lvlJc w:val="left"/>
      <w:lvlText w:val="(%1)"/>
      <w:numFmt w:val="decimal"/>
      <w:start w:val="1"/>
    </w:lvl>
  </w:abstractNum>
  <w:abstractNum w:abstractNumId="3">
    <w:nsid w:val="1BA026FA"/>
    <w:multiLevelType w:val="hybridMultilevel"/>
    <w:lvl w:ilvl="0">
      <w:lvlJc w:val="left"/>
      <w:lvlText w:val="(%1)"/>
      <w:numFmt w:val="decimal"/>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1)"/>
      <w:numFmt w:val="decimal"/>
      <w:start w:val="1"/>
    </w:lvl>
  </w:abstractNum>
  <w:abstractNum w:abstractNumId="8">
    <w:nsid w:val="520EEDD1"/>
    <w:multiLevelType w:val="hybridMultilevel"/>
    <w:lvl w:ilvl="0">
      <w:lvlJc w:val="left"/>
      <w:lvlText w:val="(%1)"/>
      <w:numFmt w:val="decimal"/>
      <w:start w:val="7"/>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1)"/>
      <w:numFmt w:val="decimal"/>
      <w:start w:val="8"/>
    </w:lvl>
  </w:abstractNum>
  <w:abstractNum w:abstractNumId="14">
    <w:nsid w:val="39386575"/>
    <w:multiLevelType w:val="hybridMultilevel"/>
    <w:lvl w:ilvl="0">
      <w:lvlJc w:val="left"/>
      <w:lvlText w:val="%1."/>
      <w:numFmt w:val="decimal"/>
      <w:start w:val="1"/>
    </w:lvl>
  </w:abstractNum>
  <w:abstractNum w:abstractNumId="15">
    <w:nsid w:val="1CF10FD8"/>
    <w:multiLevelType w:val="hybridMultilevel"/>
    <w:lvl w:ilvl="0">
      <w:lvlJc w:val="left"/>
      <w:lvlText w:val="%1."/>
      <w:numFmt w:val="decimal"/>
      <w:start w:val="5"/>
    </w:lvl>
  </w:abstractNum>
  <w:abstractNum w:abstractNumId="16">
    <w:nsid w:val="180115BE"/>
    <w:multiLevelType w:val="hybridMultilevel"/>
    <w:lvl w:ilvl="0">
      <w:lvlJc w:val="left"/>
      <w:lvlText w:val="(%1)"/>
      <w:numFmt w:val="decimal"/>
      <w:start w:val="1"/>
    </w:lvl>
  </w:abstractNum>
  <w:abstractNum w:abstractNumId="17">
    <w:nsid w:val="235BA861"/>
    <w:multiLevelType w:val="hybridMultilevel"/>
    <w:lvl w:ilvl="0">
      <w:lvlJc w:val="left"/>
      <w:lvlText w:val="(%1)"/>
      <w:numFmt w:val="decimal"/>
      <w:start w:val="1"/>
    </w:lvl>
  </w:abstractNum>
  <w:abstractNum w:abstractNumId="18">
    <w:nsid w:val="47398C89"/>
    <w:multiLevelType w:val="hybridMultilevel"/>
    <w:lvl w:ilvl="0">
      <w:lvlJc w:val="left"/>
      <w:lvlText w:val="(%1)"/>
      <w:numFmt w:val="decimal"/>
      <w:start w:val="2"/>
    </w:lvl>
  </w:abstractNum>
  <w:abstractNum w:abstractNumId="19">
    <w:nsid w:val="354FE9F9"/>
    <w:multiLevelType w:val="hybridMultilevel"/>
    <w:lvl w:ilvl="0">
      <w:lvlJc w:val="left"/>
      <w:lvlText w:val="(%1)"/>
      <w:numFmt w:val="decimal"/>
      <w:start w:val="1"/>
    </w:lvl>
  </w:abstractNum>
  <w:abstractNum w:abstractNumId="20">
    <w:nsid w:val="15B5AF5C"/>
    <w:multiLevelType w:val="hybridMultilevel"/>
    <w:lvl w:ilvl="0">
      <w:lvlJc w:val="left"/>
      <w:lvlText w:val="(%1)"/>
      <w:numFmt w:val="decimal"/>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1)"/>
      <w:numFmt w:val="decimal"/>
      <w:start w:val="1"/>
    </w:lvl>
  </w:abstractNum>
  <w:abstractNum w:abstractNumId="25">
    <w:nsid w:val="61574095"/>
    <w:multiLevelType w:val="hybridMultilevel"/>
    <w:lvl w:ilvl="0">
      <w:lvlJc w:val="left"/>
      <w:lvlText w:val="(%1)"/>
      <w:numFmt w:val="decimal"/>
      <w:start w:val="2"/>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1)"/>
      <w:numFmt w:val="decimal"/>
      <w:start w:val="1"/>
    </w:lvl>
  </w:abstractNum>
  <w:abstractNum w:abstractNumId="30">
    <w:nsid w:val="5FF87E05"/>
    <w:multiLevelType w:val="hybridMultilevel"/>
    <w:lvl w:ilvl="0">
      <w:lvlJc w:val="left"/>
      <w:lvlText w:val="(%1)"/>
      <w:numFmt w:val="decimal"/>
      <w:start w:val="1"/>
    </w:lvl>
  </w:abstractNum>
  <w:abstractNum w:abstractNumId="31">
    <w:nsid w:val="2F305DEF"/>
    <w:multiLevelType w:val="hybridMultilevel"/>
    <w:lvl w:ilvl="0">
      <w:lvlJc w:val="left"/>
      <w:lvlText w:val="(%1)"/>
      <w:numFmt w:val="decimal"/>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1)"/>
      <w:numFmt w:val="decimal"/>
      <w:start w:val="1"/>
    </w:lvl>
  </w:abstractNum>
  <w:abstractNum w:abstractNumId="35">
    <w:nsid w:val="1F48EAA1"/>
    <w:multiLevelType w:val="hybridMultilevel"/>
    <w:lvl w:ilvl="0">
      <w:lvlJc w:val="left"/>
      <w:lvlText w:val="(%1)"/>
      <w:numFmt w:val="decimal"/>
      <w:start w:val="1"/>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1)"/>
      <w:numFmt w:val="decimal"/>
      <w:start w:val="1"/>
    </w:lvl>
  </w:abstractNum>
  <w:abstractNum w:abstractNumId="39">
    <w:nsid w:val="6590700B"/>
    <w:multiLevelType w:val="hybridMultilevel"/>
    <w:lvl w:ilvl="0">
      <w:lvlJc w:val="left"/>
      <w:lvlText w:val="(%1)"/>
      <w:numFmt w:val="decimal"/>
      <w:start w:val="1"/>
    </w:lvl>
  </w:abstractNum>
  <w:abstractNum w:abstractNumId="40">
    <w:nsid w:val="15014ACB"/>
    <w:multiLevelType w:val="hybridMultilevel"/>
    <w:lvl w:ilvl="0">
      <w:lvlJc w:val="left"/>
      <w:lvlText w:val="(%1)"/>
      <w:numFmt w:val="decimal"/>
      <w:start w:val="2"/>
    </w:lvl>
  </w:abstractNum>
  <w:abstractNum w:abstractNumId="41">
    <w:nsid w:val="5F5E7FD0"/>
    <w:multiLevelType w:val="hybridMultilevel"/>
    <w:lvl w:ilvl="0">
      <w:lvlJc w:val="left"/>
      <w:lvlText w:val="(%1)"/>
      <w:numFmt w:val="decimal"/>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1."/>
      <w:numFmt w:val="decimal"/>
      <w:start w:val="1"/>
    </w:lvl>
  </w:abstractNum>
  <w:abstractNum w:abstractNumId="44">
    <w:nsid w:val="6B94764"/>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lvl w:ilvl="3">
      <w:lvlJc w:val="left"/>
      <w:lvlText w:val="%4."/>
      <w:numFmt w:val="lowerLetter"/>
      <w:start w:val="4"/>
    </w:lvl>
  </w:abstractNum>
  <w:abstractNum w:abstractNumId="45">
    <w:nsid w:val="42C296BD"/>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6">
    <w:nsid w:val="168E121F"/>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47">
    <w:nsid w:val="1EBA5D23"/>
    <w:multiLevelType w:val="hybridMultilevel"/>
    <w:lvl w:ilvl="0">
      <w:lvlJc w:val="left"/>
      <w:lvlText w:val="%1."/>
      <w:numFmt w:val="lowerLetter"/>
      <w:start w:val="3"/>
    </w:lvl>
    <w:lvl w:ilvl="1">
      <w:lvlJc w:val="left"/>
      <w:lvlText w:val="(%2)"/>
      <w:numFmt w:val="upperLetter"/>
      <w:start w:val="28"/>
    </w:lvl>
    <w:lvl w:ilvl="2">
      <w:lvlJc w:val="left"/>
      <w:lvlText w:val="-"/>
      <w:numFmt w:val="bullet"/>
      <w:start w:val="1"/>
    </w:lvl>
  </w:abstractNum>
  <w:abstractNum w:abstractNumId="48">
    <w:nsid w:val="661E3F1E"/>
    <w:multiLevelType w:val="hybridMultilevel"/>
    <w:lvl w:ilvl="0">
      <w:lvlJc w:val="left"/>
      <w:lvlText w:val="%1."/>
      <w:numFmt w:val="lowerLetter"/>
      <w:start w:val="5"/>
    </w:lvl>
    <w:lvl w:ilvl="1">
      <w:lvlJc w:val="left"/>
      <w:lvlText w:val="(%2)"/>
      <w:numFmt w:val="lowerLetter"/>
      <w:start w:val="9"/>
    </w:lvl>
  </w:abstractNum>
  <w:abstractNum w:abstractNumId="49">
    <w:nsid w:val="5DC79EA8"/>
    <w:multiLevelType w:val="hybridMultilevel"/>
    <w:lvl w:ilvl="0">
      <w:lvlJc w:val="left"/>
      <w:lvlText w:val="(%1)"/>
      <w:numFmt w:val="lowerRoman"/>
      <w:start w:val="4"/>
    </w:lvl>
  </w:abstractNum>
  <w:abstractNum w:abstractNumId="50">
    <w:nsid w:val="540A471C"/>
    <w:multiLevelType w:val="hybridMultilevel"/>
    <w:lvl w:ilvl="0">
      <w:lvlJc w:val="left"/>
      <w:lvlText w:val="(%1)"/>
      <w:numFmt w:val="lowerRoman"/>
      <w:start w:val="1"/>
    </w:lvl>
  </w:abstractNum>
  <w:abstractNum w:abstractNumId="51">
    <w:nsid w:val="7BD3EE7B"/>
    <w:multiLevelType w:val="hybridMultilevel"/>
    <w:lvl w:ilvl="0">
      <w:lvlJc w:val="left"/>
      <w:lvlText w:val="%1."/>
      <w:numFmt w:val="decimal"/>
      <w:start w:val="5"/>
    </w:lvl>
    <w:lvl w:ilvl="1">
      <w:lvlJc w:val="left"/>
      <w:lvlText w:val="-"/>
      <w:numFmt w:val="bullet"/>
      <w:start w:val="1"/>
    </w:lvl>
  </w:abstractNum>
  <w:abstractNum w:abstractNumId="52">
    <w:nsid w:val="51D9C564"/>
    <w:multiLevelType w:val="hybridMultilevel"/>
    <w:lvl w:ilvl="0">
      <w:lvlJc w:val="left"/>
      <w:lvlText w:val="%1."/>
      <w:numFmt w:val="lowerLetter"/>
      <w:start w:val="1"/>
    </w:lvl>
    <w:lvl w:ilvl="1">
      <w:lvlJc w:val="left"/>
      <w:lvlText w:val="(%2)"/>
      <w:numFmt w:val="lowerRoman"/>
      <w:start w:val="1"/>
    </w:lvl>
  </w:abstractNum>
  <w:abstractNum w:abstractNumId="53">
    <w:nsid w:val="613EFDC5"/>
    <w:multiLevelType w:val="hybridMultilevel"/>
    <w:lvl w:ilvl="0">
      <w:lvlJc w:val="left"/>
      <w:lvlText w:val="%1."/>
      <w:numFmt w:val="decimal"/>
      <w:start w:val="7"/>
    </w:lvl>
    <w:lvl w:ilvl="1">
      <w:lvlJc w:val="left"/>
      <w:lvlText w:val="-"/>
      <w:numFmt w:val="bullet"/>
      <w:start w:val="1"/>
    </w:lvl>
  </w:abstractNum>
  <w:abstractNum w:abstractNumId="54">
    <w:nsid w:val="BF72B14"/>
    <w:multiLevelType w:val="hybridMultilevel"/>
    <w:lvl w:ilvl="0">
      <w:lvlJc w:val="left"/>
      <w:lvlText w:val="%1."/>
      <w:numFmt w:val="decimal"/>
      <w:start w:val="9"/>
    </w:lvl>
    <w:lvl w:ilvl="1">
      <w:lvlJc w:val="left"/>
      <w:lvlText w:val="-"/>
      <w:numFmt w:val="bullet"/>
      <w:start w:val="1"/>
    </w:lvl>
  </w:abstractNum>
  <w:abstractNum w:abstractNumId="55">
    <w:nsid w:val="11447B73"/>
    <w:multiLevelType w:val="hybridMultilevel"/>
    <w:lvl w:ilvl="0">
      <w:lvlJc w:val="left"/>
      <w:lvlText w:val="%1."/>
      <w:numFmt w:val="decimal"/>
      <w:start w:val="15"/>
    </w:lvl>
    <w:lvl w:ilvl="1">
      <w:lvlJc w:val="left"/>
      <w:lvlText w:val="-"/>
      <w:numFmt w:val="bullet"/>
      <w:start w:val="1"/>
    </w:lvl>
  </w:abstractNum>
  <w:abstractNum w:abstractNumId="56">
    <w:nsid w:val="42963E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57">
    <w:nsid w:val="A0382C5"/>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58">
    <w:nsid w:val="8F2B15E"/>
    <w:multiLevelType w:val="hybridMultilevel"/>
    <w:lvl w:ilvl="0">
      <w:lvlJc w:val="left"/>
      <w:lvlText w:val="%1."/>
      <w:numFmt w:val="decimal"/>
      <w:start w:val="22"/>
    </w:lvl>
  </w:abstractNum>
  <w:abstractNum w:abstractNumId="59">
    <w:nsid w:val="1A32234B"/>
    <w:multiLevelType w:val="hybridMultilevel"/>
    <w:lvl w:ilvl="0">
      <w:lvlJc w:val="left"/>
      <w:lvlText w:val="%1."/>
      <w:numFmt w:val="decimal"/>
      <w:start w:val="1"/>
    </w:lvl>
    <w:lvl w:ilvl="1">
      <w:lvlJc w:val="left"/>
      <w:lvlText w:val="%2."/>
      <w:numFmt w:val="lowerLetter"/>
      <w:start w:val="1"/>
    </w:lvl>
  </w:abstractNum>
  <w:abstractNum w:abstractNumId="60">
    <w:nsid w:val="3B0FD379"/>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61">
    <w:nsid w:val="68EB2F6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62">
    <w:nsid w:val="4962813B"/>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63">
    <w:nsid w:val="60B6DF70"/>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64">
    <w:nsid w:val="6A5EE64"/>
    <w:multiLevelType w:val="hybridMultilevel"/>
    <w:lvl w:ilvl="0">
      <w:lvlJc w:val="left"/>
      <w:lvlText w:val="%1."/>
      <w:numFmt w:val="decimal"/>
      <w:start w:val="15"/>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abstractNum>
  <w:abstractNum w:abstractNumId="67">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68">
    <w:nsid w:val="71EA1109"/>
    <w:multiLevelType w:val="hybridMultilevel"/>
    <w:lvl w:ilvl="0">
      <w:lvlJc w:val="left"/>
      <w:lvlText w:val="%1."/>
      <w:numFmt w:val="decimal"/>
      <w:start w:val="1"/>
    </w:lvl>
    <w:lvl w:ilvl="1">
      <w:lvlJc w:val="left"/>
      <w:lvlText w:val="%2."/>
      <w:numFmt w:val="lowerLetter"/>
      <w:start w:val="1"/>
    </w:lvl>
  </w:abstractNum>
  <w:abstractNum w:abstractNumId="69">
    <w:nsid w:val="100F59DC"/>
    <w:multiLevelType w:val="hybridMultilevel"/>
    <w:lvl w:ilvl="0">
      <w:lvlJc w:val="left"/>
      <w:lvlText w:val="%1"/>
      <w:numFmt w:val="decimal"/>
      <w:start w:val="1"/>
    </w:lvl>
    <w:lvl w:ilvl="1">
      <w:lvlJc w:val="left"/>
      <w:lvlText w:val="%2."/>
      <w:numFmt w:val="lowerLetter"/>
      <w:start w:val="2"/>
    </w:lvl>
  </w:abstractNum>
  <w:abstractNum w:abstractNumId="70">
    <w:nsid w:val="7FB7E0AA"/>
    <w:multiLevelType w:val="hybridMultilevel"/>
    <w:lvl w:ilvl="0">
      <w:lvlJc w:val="left"/>
      <w:lvlText w:val="%1."/>
      <w:numFmt w:val="decimal"/>
      <w:start w:val="2"/>
    </w:lvl>
    <w:lvl w:ilvl="1">
      <w:lvlJc w:val="left"/>
      <w:lvlText w:val="%2."/>
      <w:numFmt w:val="lowerLetter"/>
      <w:start w:val="1"/>
    </w:lvl>
  </w:abstractNum>
  <w:abstractNum w:abstractNumId="71">
    <w:nsid w:val="6EB5BD4"/>
    <w:multiLevelType w:val="hybridMultilevel"/>
    <w:lvl w:ilvl="0">
      <w:lvlJc w:val="left"/>
      <w:lvlText w:val="%1"/>
      <w:numFmt w:val="lowerLetter"/>
      <w:start w:val="1"/>
    </w:lvl>
    <w:lvl w:ilvl="1">
      <w:lvlJc w:val="left"/>
      <w:lvlText w:val="(%2)"/>
      <w:numFmt w:val="lowerRoman"/>
      <w:start w:val="2"/>
    </w:lvl>
  </w:abstractNum>
  <w:abstractNum w:abstractNumId="72">
    <w:nsid w:val="6F6DD9AC"/>
    <w:multiLevelType w:val="hybridMultilevel"/>
    <w:lvl w:ilvl="0">
      <w:lvlJc w:val="left"/>
      <w:lvlText w:val="%1."/>
      <w:numFmt w:val="lowerLetter"/>
      <w:start w:val="3"/>
    </w:lvl>
    <w:lvl w:ilvl="1">
      <w:lvlJc w:val="left"/>
      <w:lvlText w:val="%2"/>
      <w:numFmt w:val="lowerRoman"/>
      <w:start w:val="1"/>
    </w:lvl>
  </w:abstractNum>
  <w:abstractNum w:abstractNumId="73">
    <w:nsid w:val="94211F2"/>
    <w:multiLevelType w:val="hybridMultilevel"/>
    <w:lvl w:ilvl="0">
      <w:lvlJc w:val="left"/>
      <w:lvlText w:val="%1."/>
      <w:numFmt w:val="lowerLetter"/>
      <w:start w:val="5"/>
    </w:lvl>
    <w:lvl w:ilvl="1">
      <w:lvlJc w:val="left"/>
      <w:lvlText w:val="(%2)"/>
      <w:numFmt w:val="lowerLetter"/>
      <w:start w:val="9"/>
    </w:lvl>
  </w:abstractNum>
  <w:abstractNum w:abstractNumId="74">
    <w:nsid w:val="885E1B"/>
    <w:multiLevelType w:val="hybridMultilevel"/>
    <w:lvl w:ilvl="0">
      <w:lvlJc w:val="left"/>
      <w:lvlText w:val="%1"/>
      <w:numFmt w:val="lowerRoman"/>
      <w:start w:val="1"/>
    </w:lvl>
    <w:lvl w:ilvl="1">
      <w:lvlJc w:val="left"/>
      <w:lvlText w:val="(%2)"/>
      <w:numFmt w:val="decimal"/>
      <w:start w:val="12"/>
    </w:lvl>
  </w:abstractNum>
  <w:abstractNum w:abstractNumId="75">
    <w:nsid w:val="76272110"/>
    <w:multiLevelType w:val="hybridMultilevel"/>
    <w:lvl w:ilvl="0">
      <w:lvlJc w:val="left"/>
      <w:lvlText w:val="(%1)"/>
      <w:numFmt w:val="lowerRoman"/>
      <w:start w:val="4"/>
    </w:lvl>
    <w:lvl w:ilvl="1">
      <w:lvlJc w:val="left"/>
      <w:lvlText w:val="%2"/>
      <w:numFmt w:val="decimal"/>
      <w:start w:val="1"/>
    </w:lvl>
  </w:abstractNum>
  <w:abstractNum w:abstractNumId="76">
    <w:nsid w:val="4C04A8AF"/>
    <w:multiLevelType w:val="hybridMultilevel"/>
    <w:lvl w:ilvl="0">
      <w:lvlJc w:val="left"/>
      <w:lvlText w:val="(%1)"/>
      <w:numFmt w:val="lowerRoman"/>
      <w:start w:val="1"/>
    </w:lvl>
  </w:abstractNum>
  <w:abstractNum w:abstractNumId="77">
    <w:nsid w:val="1716703B"/>
    <w:multiLevelType w:val="hybridMultilevel"/>
    <w:lvl w:ilvl="0">
      <w:lvlJc w:val="left"/>
      <w:lvlText w:val="%1."/>
      <w:numFmt w:val="decimal"/>
      <w:start w:val="5"/>
    </w:lvl>
  </w:abstractNum>
  <w:abstractNum w:abstractNumId="78">
    <w:nsid w:val="14E17E3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79">
    <w:nsid w:val="3222E7CD"/>
    <w:multiLevelType w:val="hybridMultilevel"/>
    <w:lvl w:ilvl="0">
      <w:lvlJc w:val="left"/>
      <w:lvlText w:val="%1."/>
      <w:numFmt w:val="decimal"/>
      <w:start w:val="7"/>
    </w:lvl>
  </w:abstractNum>
  <w:abstractNum w:abstractNumId="80">
    <w:nsid w:val="74DE0EE3"/>
    <w:multiLevelType w:val="hybridMultilevel"/>
    <w:lvl w:ilvl="0">
      <w:lvlJc w:val="left"/>
      <w:lvlText w:val="%1."/>
      <w:numFmt w:val="decimal"/>
      <w:start w:val="8"/>
    </w:lvl>
  </w:abstractNum>
  <w:abstractNum w:abstractNumId="81">
    <w:nsid w:val="68EBC550"/>
    <w:multiLevelType w:val="hybridMultilevel"/>
    <w:lvl w:ilvl="0">
      <w:lvlJc w:val="left"/>
      <w:lvlText w:val="%1."/>
      <w:numFmt w:val="decimal"/>
      <w:start w:val="15"/>
    </w:lvl>
  </w:abstractNum>
  <w:abstractNum w:abstractNumId="82">
    <w:nsid w:val="2DF6D648"/>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3"/>
    </w:lvl>
  </w:abstractNum>
  <w:abstractNum w:abstractNumId="83">
    <w:nsid w:val="46B7D447"/>
    <w:multiLevelType w:val="hybridMultilevel"/>
    <w:lvl w:ilvl="0">
      <w:lvlJc w:val="left"/>
      <w:lvlText w:val="%1."/>
      <w:numFmt w:val="decimal"/>
      <w:start w:val="22"/>
    </w:lvl>
  </w:abstractNum>
  <w:abstractNum w:abstractNumId="84">
    <w:nsid w:val="4A2AC315"/>
    <w:multiLevelType w:val="hybridMultilevel"/>
    <w:lvl w:ilvl="0">
      <w:lvlJc w:val="left"/>
      <w:lvlText w:val="%1."/>
      <w:numFmt w:val="decimal"/>
      <w:start w:val="1"/>
    </w:lvl>
    <w:lvl w:ilvl="1">
      <w:lvlJc w:val="left"/>
      <w:lvlText w:val="%2."/>
      <w:numFmt w:val="lowerLetter"/>
      <w:start w:val="1"/>
    </w:lvl>
  </w:abstractNum>
  <w:abstractNum w:abstractNumId="85">
    <w:nsid w:val="39EE015C"/>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86">
    <w:nsid w:val="57FC4FB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87">
    <w:nsid w:val="CC1016F"/>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88">
    <w:nsid w:val="43F18422"/>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89">
    <w:nsid w:val="60EF0119"/>
    <w:multiLevelType w:val="hybridMultilevel"/>
    <w:lvl w:ilvl="0">
      <w:lvlJc w:val="left"/>
      <w:lvlText w:val="%1."/>
      <w:numFmt w:val="decimal"/>
      <w:start w:val="15"/>
    </w:lvl>
  </w:abstractNum>
  <w:abstractNum w:abstractNumId="90">
    <w:nsid w:val="26F324BA"/>
    <w:multiLevelType w:val="hybridMultilevel"/>
    <w:lvl w:ilvl="0">
      <w:lvlJc w:val="left"/>
      <w:lvlText w:val="%1."/>
      <w:numFmt w:val="decimal"/>
      <w:start w:val="1"/>
    </w:lvl>
  </w:abstractNum>
  <w:abstractNum w:abstractNumId="91">
    <w:nsid w:val="7F01579B"/>
    <w:multiLevelType w:val="hybridMultilevel"/>
    <w:lvl w:ilvl="0">
      <w:lvlJc w:val="left"/>
      <w:lvlText w:val="%1."/>
      <w:numFmt w:val="decimal"/>
      <w:start w:val="2"/>
    </w:lvl>
  </w:abstractNum>
  <w:abstractNum w:abstractNumId="92">
    <w:nsid w:val="49DA307D"/>
    <w:multiLevelType w:val="hybridMultilevel"/>
    <w:lvl w:ilvl="0">
      <w:lvlJc w:val="left"/>
      <w:lvlText w:val="%1"/>
      <w:numFmt w:val="decimal"/>
      <w:start w:val="1"/>
    </w:lvl>
    <w:lvl w:ilvl="1">
      <w:lvlJc w:val="left"/>
      <w:lvlText w:val="%2."/>
      <w:numFmt w:val="decimal"/>
      <w:start w:val="6"/>
    </w:lvl>
  </w:abstractNum>
  <w:abstractNum w:abstractNumId="93">
    <w:nsid w:val="7055A5F5"/>
    <w:multiLevelType w:val="hybridMultilevel"/>
    <w:lvl w:ilvl="0">
      <w:lvlJc w:val="left"/>
      <w:lvlText w:val="%1."/>
      <w:numFmt w:val="decimal"/>
      <w:start w:val="7"/>
    </w:lvl>
    <w:lvl w:ilvl="1">
      <w:lvlJc w:val="left"/>
      <w:lvlText w:val="%2."/>
      <w:numFmt w:val="decimal"/>
      <w:start w:val="8"/>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06" Type="http://schemas.openxmlformats.org/officeDocument/2006/relationships/hyperlink" Target="http://www.sec.gov/Archives/edgar/data/1509470/000113379611000069/k216228_ex99-2a.htm" TargetMode="External"/><Relationship Id="rId107" Type="http://schemas.openxmlformats.org/officeDocument/2006/relationships/hyperlink" Target="http://www.sec.gov/Archives/edgar/data/1509470/000114420411033389/v224342_ex3-1.htm" TargetMode="External"/><Relationship Id="rId108" Type="http://schemas.openxmlformats.org/officeDocument/2006/relationships/hyperlink" Target="http://www.sec.gov/Archives/edgar/data/1509470/000114420419037014/tv526412_ex3-1.htm" TargetMode="External"/><Relationship Id="rId109" Type="http://schemas.openxmlformats.org/officeDocument/2006/relationships/hyperlink" Target="http://www.sec.gov/Archives/edgar/data/1509470/000114420419037014/tv526412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2020-05-08T13:23:01Z</dcterms:created>
  <dcterms:modified xsi:type="dcterms:W3CDTF">2020-05-08T13:23:01Z</dcterms:modified>
</cp:coreProperties>
</file>