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234950</wp:posOffset>
            </wp:positionH>
            <wp:positionV relativeFrom="page">
              <wp:posOffset>706120</wp:posOffset>
            </wp:positionV>
            <wp:extent cx="6071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page">
              <wp:posOffset>234950</wp:posOffset>
            </wp:positionH>
            <wp:positionV relativeFrom="page">
              <wp:posOffset>732155</wp:posOffset>
            </wp:positionV>
            <wp:extent cx="60718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194310</wp:posOffset>
            </wp:positionV>
            <wp:extent cx="15436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204470</wp:posOffset>
            </wp:positionV>
            <wp:extent cx="1543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358775</wp:posOffset>
            </wp:positionV>
            <wp:extent cx="42195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1120" w:hanging="685"/>
        <w:spacing w:after="0"/>
        <w:tabs>
          <w:tab w:leader="none" w:pos="11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w:t>
      </w:r>
    </w:p>
    <w:p>
      <w:pPr>
        <w:spacing w:after="0" w:line="9" w:lineRule="exact"/>
        <w:rPr>
          <w:rFonts w:ascii="Times New Roman" w:cs="Times New Roman" w:eastAsia="Times New Roman" w:hAnsi="Times New Roman"/>
          <w:sz w:val="18"/>
          <w:szCs w:val="18"/>
          <w:b w:val="1"/>
          <w:bCs w:val="1"/>
          <w:color w:val="auto"/>
        </w:rPr>
      </w:pPr>
    </w:p>
    <w:p>
      <w:pPr>
        <w:ind w:left="1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45720</wp:posOffset>
            </wp:positionV>
            <wp:extent cx="42195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151" w:lineRule="exact"/>
        <w:rPr>
          <w:sz w:val="24"/>
          <w:szCs w:val="24"/>
          <w:color w:val="auto"/>
        </w:rPr>
      </w:pPr>
    </w:p>
    <w:p>
      <w:pPr>
        <w:ind w:left="1120" w:hanging="685"/>
        <w:spacing w:after="0"/>
        <w:tabs>
          <w:tab w:leader="none" w:pos="11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w:t>
      </w:r>
    </w:p>
    <w:p>
      <w:pPr>
        <w:spacing w:after="0" w:line="31" w:lineRule="exact"/>
        <w:rPr>
          <w:rFonts w:ascii="Times New Roman" w:cs="Times New Roman" w:eastAsia="Times New Roman" w:hAnsi="Times New Roman"/>
          <w:sz w:val="18"/>
          <w:szCs w:val="18"/>
          <w:b w:val="1"/>
          <w:bCs w:val="1"/>
          <w:color w:val="auto"/>
        </w:rPr>
      </w:pPr>
    </w:p>
    <w:p>
      <w:pPr>
        <w:ind w:left="1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COMMISSION FILE NUMBER: 814-00852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208915</wp:posOffset>
            </wp:positionV>
            <wp:extent cx="1543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tbl>
      <w:tblPr>
        <w:tblLayout w:type="fixed"/>
        <w:tblInd w:w="1080" w:type="dxa"/>
        <w:tblCellMar>
          <w:top w:w="0" w:type="dxa"/>
          <w:left w:w="0" w:type="dxa"/>
          <w:bottom w:w="0" w:type="dxa"/>
          <w:right w:w="0" w:type="dxa"/>
        </w:tblCellMar>
      </w:tblPr>
      <w:tr>
        <w:trPr>
          <w:trHeight w:val="429"/>
        </w:trPr>
        <w:tc>
          <w:tcPr>
            <w:tcW w:w="2320" w:type="dxa"/>
            <w:vAlign w:val="bottom"/>
          </w:tcPr>
          <w:p>
            <w:pPr>
              <w:spacing w:after="0"/>
              <w:rPr>
                <w:sz w:val="24"/>
                <w:szCs w:val="24"/>
                <w:color w:val="auto"/>
              </w:rPr>
            </w:pPr>
          </w:p>
        </w:tc>
        <w:tc>
          <w:tcPr>
            <w:tcW w:w="4480" w:type="dxa"/>
            <w:vAlign w:val="bottom"/>
            <w:gridSpan w:val="3"/>
          </w:tcPr>
          <w:p>
            <w:pPr>
              <w:jc w:val="center"/>
              <w:ind w:right="1668"/>
              <w:spacing w:after="0"/>
              <w:rPr>
                <w:sz w:val="20"/>
                <w:szCs w:val="20"/>
                <w:color w:val="auto"/>
              </w:rPr>
            </w:pPr>
            <w:r>
              <w:rPr>
                <w:rFonts w:ascii="Times New Roman" w:cs="Times New Roman" w:eastAsia="Times New Roman" w:hAnsi="Times New Roman"/>
                <w:sz w:val="32"/>
                <w:szCs w:val="32"/>
                <w:b w:val="1"/>
                <w:bCs w:val="1"/>
                <w:color w:val="auto"/>
              </w:rPr>
              <w:t>GSV Capital Corp.</w:t>
            </w:r>
          </w:p>
        </w:tc>
      </w:tr>
      <w:tr>
        <w:trPr>
          <w:trHeight w:val="257"/>
        </w:trPr>
        <w:tc>
          <w:tcPr>
            <w:tcW w:w="6800" w:type="dxa"/>
            <w:vAlign w:val="bottom"/>
            <w:gridSpan w:val="4"/>
          </w:tcPr>
          <w:p>
            <w:pPr>
              <w:ind w:left="21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301"/>
        </w:trPr>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900" w:type="dxa"/>
            <w:vAlign w:val="bottom"/>
          </w:tcPr>
          <w:p>
            <w:pPr>
              <w:spacing w:after="0"/>
              <w:rPr>
                <w:sz w:val="24"/>
                <w:szCs w:val="24"/>
                <w:color w:val="auto"/>
              </w:rPr>
            </w:pPr>
          </w:p>
        </w:tc>
      </w:tr>
      <w:tr>
        <w:trPr>
          <w:trHeight w:val="477"/>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4480" w:type="dxa"/>
            <w:vAlign w:val="bottom"/>
            <w:gridSpan w:val="3"/>
          </w:tcPr>
          <w:p>
            <w:pPr>
              <w:jc w:val="right"/>
              <w:ind w:right="528"/>
              <w:spacing w:after="0"/>
              <w:rPr>
                <w:sz w:val="20"/>
                <w:szCs w:val="20"/>
                <w:color w:val="auto"/>
              </w:rPr>
            </w:pPr>
            <w:r>
              <w:rPr>
                <w:rFonts w:ascii="Times New Roman" w:cs="Times New Roman" w:eastAsia="Times New Roman" w:hAnsi="Times New Roman"/>
                <w:sz w:val="18"/>
                <w:szCs w:val="18"/>
                <w:b w:val="1"/>
                <w:bCs w:val="1"/>
                <w:color w:val="auto"/>
              </w:rPr>
              <w:t>27-4443543</w:t>
            </w:r>
          </w:p>
        </w:tc>
      </w:tr>
      <w:tr>
        <w:trPr>
          <w:trHeight w:val="188"/>
        </w:trPr>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(State of incorporation)</w:t>
            </w:r>
          </w:p>
        </w:tc>
        <w:tc>
          <w:tcPr>
            <w:tcW w:w="160" w:type="dxa"/>
            <w:vAlign w:val="bottom"/>
          </w:tcPr>
          <w:p>
            <w:pPr>
              <w:spacing w:after="0"/>
              <w:rPr>
                <w:sz w:val="16"/>
                <w:szCs w:val="16"/>
                <w:color w:val="auto"/>
              </w:rPr>
            </w:pPr>
          </w:p>
        </w:tc>
        <w:tc>
          <w:tcPr>
            <w:tcW w:w="4320" w:type="dxa"/>
            <w:vAlign w:val="bottom"/>
            <w:gridSpan w:val="2"/>
          </w:tcPr>
          <w:p>
            <w:pPr>
              <w:jc w:val="center"/>
              <w:ind w:left="216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71"/>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2925 Woodside Road</w:t>
            </w:r>
          </w:p>
        </w:tc>
        <w:tc>
          <w:tcPr>
            <w:tcW w:w="16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16"/>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Woodside, CA</w:t>
            </w:r>
          </w:p>
        </w:tc>
        <w:tc>
          <w:tcPr>
            <w:tcW w:w="4480" w:type="dxa"/>
            <w:vAlign w:val="bottom"/>
            <w:gridSpan w:val="3"/>
          </w:tcPr>
          <w:p>
            <w:pPr>
              <w:jc w:val="right"/>
              <w:ind w:right="748"/>
              <w:spacing w:after="0"/>
              <w:rPr>
                <w:sz w:val="20"/>
                <w:szCs w:val="20"/>
                <w:color w:val="auto"/>
              </w:rPr>
            </w:pPr>
            <w:r>
              <w:rPr>
                <w:rFonts w:ascii="Times New Roman" w:cs="Times New Roman" w:eastAsia="Times New Roman" w:hAnsi="Times New Roman"/>
                <w:sz w:val="18"/>
                <w:szCs w:val="18"/>
                <w:b w:val="1"/>
                <w:bCs w:val="1"/>
                <w:color w:val="auto"/>
              </w:rPr>
              <w:t>94062</w:t>
            </w:r>
          </w:p>
        </w:tc>
      </w:tr>
      <w:tr>
        <w:trPr>
          <w:trHeight w:val="188"/>
        </w:trPr>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90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(Zip Code)</w:t>
            </w:r>
          </w:p>
        </w:tc>
      </w:tr>
      <w:tr>
        <w:trPr>
          <w:trHeight w:val="415"/>
        </w:trPr>
        <w:tc>
          <w:tcPr>
            <w:tcW w:w="2320" w:type="dxa"/>
            <w:vAlign w:val="bottom"/>
          </w:tcPr>
          <w:p>
            <w:pPr>
              <w:spacing w:after="0"/>
              <w:rPr>
                <w:sz w:val="24"/>
                <w:szCs w:val="24"/>
                <w:color w:val="auto"/>
              </w:rPr>
            </w:pPr>
          </w:p>
        </w:tc>
        <w:tc>
          <w:tcPr>
            <w:tcW w:w="258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b w:val="1"/>
                <w:bCs w:val="1"/>
                <w:color w:val="auto"/>
              </w:rPr>
              <w:t>(650) 235-4769</w:t>
            </w:r>
          </w:p>
        </w:tc>
        <w:tc>
          <w:tcPr>
            <w:tcW w:w="19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-985520</wp:posOffset>
            </wp:positionV>
            <wp:extent cx="574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461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-694055</wp:posOffset>
            </wp:positionV>
            <wp:extent cx="5746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79"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203835</wp:posOffset>
            </wp:positionV>
            <wp:extent cx="1543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both"/>
        <w:ind w:left="40" w:right="519" w:firstLine="27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x No o</w:t>
      </w:r>
    </w:p>
    <w:p>
      <w:pPr>
        <w:spacing w:after="0" w:line="68" w:lineRule="exact"/>
        <w:rPr>
          <w:sz w:val="24"/>
          <w:szCs w:val="24"/>
          <w:color w:val="auto"/>
        </w:rPr>
      </w:pPr>
    </w:p>
    <w:p>
      <w:pPr>
        <w:jc w:val="both"/>
        <w:ind w:left="40" w:right="519" w:firstLine="27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68" w:lineRule="exact"/>
        <w:rPr>
          <w:sz w:val="24"/>
          <w:szCs w:val="24"/>
          <w:color w:val="auto"/>
        </w:rPr>
      </w:pPr>
    </w:p>
    <w:p>
      <w:pPr>
        <w:jc w:val="both"/>
        <w:ind w:left="40" w:right="519" w:firstLine="27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52825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sectPr>
      </w:pP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 o</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x</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 o</w:t>
      </w:r>
    </w:p>
    <w:p>
      <w:pPr>
        <w:spacing w:after="0" w:line="99" w:lineRule="exact"/>
        <w:rPr>
          <w:sz w:val="24"/>
          <w:szCs w:val="24"/>
          <w:color w:val="auto"/>
        </w:rPr>
      </w:pPr>
    </w:p>
    <w:p>
      <w:pPr>
        <w:sectPr>
          <w:pgSz w:w="11900" w:h="16838" w:orient="portrait"/>
          <w:cols w:equalWidth="0" w:num="2">
            <w:col w:w="5100" w:space="720"/>
            <w:col w:w="4259"/>
          </w:cols>
          <w:pgMar w:left="380" w:top="1440" w:right="1440" w:bottom="1440" w:gutter="0" w:footer="0" w:header="0"/>
          <w:type w:val="continuous"/>
        </w:sectPr>
      </w:pPr>
    </w:p>
    <w:p>
      <w:pPr>
        <w:ind w:left="320" w:right="779"/>
        <w:spacing w:after="0" w:line="407" w:lineRule="auto"/>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Act).Yes o No x The number of shares of the issuer’s Common Stock, $0.01 par value, outstanding as of May 11, 2015 was 19,320,100.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694055</wp:posOffset>
            </wp:positionV>
            <wp:extent cx="6114415"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-55880</wp:posOffset>
            </wp:positionV>
            <wp:extent cx="60718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-30480</wp:posOffset>
            </wp:positionV>
            <wp:extent cx="60718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type w:val="continuous"/>
        </w:sectPr>
      </w:pPr>
    </w:p>
    <w:bookmarkStart w:id="1" w:name="page2"/>
    <w:bookmarkEnd w:id="1"/>
    <w:p>
      <w:pPr>
        <w:ind w:left="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20" w:type="dxa"/>
            <w:vAlign w:val="bottom"/>
            <w:gridSpan w:val="10"/>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8"/>
              </w:rPr>
              <w:t>GSV CAPITAL CORP.</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0" w:type="dxa"/>
            <w:vAlign w:val="bottom"/>
            <w:gridSpan w:val="11"/>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0"/>
        </w:trPr>
        <w:tc>
          <w:tcPr>
            <w:tcW w:w="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860" w:type="dxa"/>
            <w:vAlign w:val="bottom"/>
            <w:gridSpan w:val="25"/>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820" w:type="dxa"/>
            <w:vAlign w:val="bottom"/>
            <w:gridSpan w:val="4"/>
          </w:tcPr>
          <w:p>
            <w:pPr>
              <w:ind w:left="20"/>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p>
        </w:tc>
        <w:tc>
          <w:tcPr>
            <w:tcW w:w="6860" w:type="dxa"/>
            <w:vAlign w:val="bottom"/>
            <w:gridSpan w:val="25"/>
          </w:tcPr>
          <w:p>
            <w:pPr>
              <w:ind w:left="100"/>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540" w:type="dxa"/>
            <w:vAlign w:val="bottom"/>
            <w:gridSpan w:val="4"/>
          </w:tcPr>
          <w:p>
            <w:pPr>
              <w:jc w:val="right"/>
              <w:ind w:right="100"/>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Statements of Assets and Liabilities as of March 31, 2015</w:t>
              </w:r>
            </w:hyperlink>
          </w:p>
        </w:tc>
        <w:tc>
          <w:tcPr>
            <w:tcW w:w="760" w:type="dxa"/>
            <w:vAlign w:val="bottom"/>
            <w:tcBorders>
              <w:bottom w:val="single" w:sz="8" w:color="CCEEFF"/>
            </w:tcBorders>
            <w:gridSpan w:val="4"/>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760" w:type="dxa"/>
            <w:vAlign w:val="bottom"/>
            <w:gridSpan w:val="24"/>
            <w:shd w:val="clear" w:color="auto" w:fill="CCEEFF"/>
          </w:tcPr>
          <w:p>
            <w:pPr>
              <w:ind w:left="180"/>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(unaudited) and December 31, 2014</w:t>
              </w:r>
            </w:hyperlink>
          </w:p>
        </w:tc>
        <w:tc>
          <w:tcPr>
            <w:tcW w:w="540" w:type="dxa"/>
            <w:vAlign w:val="bottom"/>
            <w:gridSpan w:val="4"/>
            <w:shd w:val="clear" w:color="auto" w:fill="CCEEFF"/>
          </w:tcPr>
          <w:p>
            <w:pPr>
              <w:jc w:val="right"/>
              <w:ind w:right="100"/>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20" w:type="dxa"/>
            <w:vAlign w:val="bottom"/>
            <w:tcBorders>
              <w:bottom w:val="single" w:sz="8" w:color="0000EE"/>
            </w:tcBorders>
            <w:gridSpan w:val="22"/>
          </w:tcPr>
          <w:p>
            <w:pPr>
              <w:spacing w:after="0" w:line="17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for the three months ended March 31,</w:t>
              </w:r>
            </w:hyperlink>
          </w:p>
        </w:tc>
        <w:tc>
          <w:tcPr>
            <w:tcW w:w="34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60" w:type="dxa"/>
            <w:vAlign w:val="bottom"/>
            <w:gridSpan w:val="24"/>
          </w:tcPr>
          <w:p>
            <w:pPr>
              <w:ind w:left="180"/>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2015, and 2014 (unaudited)</w:t>
              </w:r>
            </w:hyperlink>
          </w:p>
        </w:tc>
        <w:tc>
          <w:tcPr>
            <w:tcW w:w="540" w:type="dxa"/>
            <w:vAlign w:val="bottom"/>
            <w:gridSpan w:val="4"/>
          </w:tcPr>
          <w:p>
            <w:pPr>
              <w:jc w:val="right"/>
              <w:ind w:right="100"/>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2</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760" w:type="dxa"/>
            <w:vAlign w:val="bottom"/>
            <w:gridSpan w:val="24"/>
            <w:shd w:val="clear" w:color="auto" w:fill="CCEEFF"/>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Changes in Net Assets for the three months ended</w:t>
              </w:r>
            </w:hyperlink>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60" w:type="dxa"/>
            <w:vAlign w:val="bottom"/>
            <w:tcBorders>
              <w:top w:val="single" w:sz="8" w:color="0000EE"/>
            </w:tcBorders>
            <w:gridSpan w:val="23"/>
            <w:shd w:val="clear" w:color="auto" w:fill="CCEEFF"/>
          </w:tcPr>
          <w:p>
            <w:pPr>
              <w:ind w:left="180"/>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March 31, 2015, and 2014 (unaudited)</w:t>
              </w:r>
            </w:hyperlink>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gridSpan w:val="4"/>
            <w:shd w:val="clear" w:color="auto" w:fill="CCEEFF"/>
          </w:tcPr>
          <w:p>
            <w:pPr>
              <w:jc w:val="right"/>
              <w:ind w:right="100"/>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760" w:type="dxa"/>
            <w:vAlign w:val="bottom"/>
            <w:gridSpan w:val="24"/>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 for the three months ended March 31,</w:t>
              </w:r>
            </w:hyperlink>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60" w:type="dxa"/>
            <w:vAlign w:val="bottom"/>
            <w:tcBorders>
              <w:top w:val="single" w:sz="8" w:color="0000EE"/>
            </w:tcBorders>
            <w:gridSpan w:val="23"/>
          </w:tcPr>
          <w:p>
            <w:pPr>
              <w:ind w:left="180"/>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2015, and 2014 (unaudited)</w:t>
              </w:r>
            </w:hyperlink>
          </w:p>
        </w:tc>
        <w:tc>
          <w:tcPr>
            <w:tcW w:w="300" w:type="dxa"/>
            <w:vAlign w:val="bottom"/>
          </w:tcPr>
          <w:p>
            <w:pPr>
              <w:spacing w:after="0"/>
              <w:rPr>
                <w:sz w:val="17"/>
                <w:szCs w:val="17"/>
                <w:color w:val="auto"/>
              </w:rPr>
            </w:pPr>
          </w:p>
        </w:tc>
        <w:tc>
          <w:tcPr>
            <w:tcW w:w="540" w:type="dxa"/>
            <w:vAlign w:val="bottom"/>
            <w:gridSpan w:val="4"/>
          </w:tcPr>
          <w:p>
            <w:pPr>
              <w:jc w:val="right"/>
              <w:ind w:right="100"/>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4</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6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Condensed Consolidated Schedule of Investments as of March 31, 2015 (unaudited)</w:t>
              </w:r>
            </w:hyperlink>
          </w:p>
        </w:tc>
        <w:tc>
          <w:tcPr>
            <w:tcW w:w="700" w:type="dxa"/>
            <w:vAlign w:val="bottom"/>
            <w:tcBorders>
              <w:bottom w:val="single" w:sz="8" w:color="CCEEFF"/>
            </w:tcBorders>
            <w:gridSpan w:val="3"/>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right"/>
              <w:spacing w:after="0" w:line="176" w:lineRule="exact"/>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5</w:t>
              </w:r>
            </w:hyperlink>
          </w:p>
        </w:tc>
        <w:tc>
          <w:tcPr>
            <w:tcW w:w="100" w:type="dxa"/>
            <w:vAlign w:val="bottom"/>
            <w:tcBorders>
              <w:bottom w:val="single" w:sz="8" w:color="CCEEFF"/>
            </w:tcBorders>
            <w:shd w:val="clear" w:color="auto" w:fill="CCEEFF"/>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760" w:type="dxa"/>
            <w:vAlign w:val="bottom"/>
            <w:gridSpan w:val="24"/>
          </w:tcPr>
          <w:p>
            <w:pPr>
              <w:spacing w:after="0" w:line="17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Condensed Consolidated Schedule of Investments as of December 31, 2014</w:t>
              </w:r>
            </w:hyperlink>
          </w:p>
        </w:tc>
        <w:tc>
          <w:tcPr>
            <w:tcW w:w="540" w:type="dxa"/>
            <w:vAlign w:val="bottom"/>
            <w:gridSpan w:val="4"/>
          </w:tcPr>
          <w:p>
            <w:pPr>
              <w:jc w:val="right"/>
              <w:ind w:right="100"/>
              <w:spacing w:after="0" w:line="17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12</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4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Notes to the Condensed Consolidated Financial Statements as of March 31, 2015</w:t>
              </w:r>
            </w:hyperlink>
          </w:p>
        </w:tc>
        <w:tc>
          <w:tcPr>
            <w:tcW w:w="920" w:type="dxa"/>
            <w:vAlign w:val="bottom"/>
            <w:tcBorders>
              <w:bottom w:val="single" w:sz="8" w:color="CCEEFF"/>
            </w:tcBorders>
            <w:gridSpan w:val="5"/>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760" w:type="dxa"/>
            <w:vAlign w:val="bottom"/>
            <w:gridSpan w:val="24"/>
            <w:shd w:val="clear" w:color="auto" w:fill="CCEEFF"/>
          </w:tcPr>
          <w:p>
            <w:pPr>
              <w:ind w:left="180"/>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(unaudited)</w:t>
              </w:r>
            </w:hyperlink>
          </w:p>
        </w:tc>
        <w:tc>
          <w:tcPr>
            <w:tcW w:w="540" w:type="dxa"/>
            <w:vAlign w:val="bottom"/>
            <w:gridSpan w:val="4"/>
            <w:shd w:val="clear" w:color="auto" w:fill="CCEEFF"/>
          </w:tcPr>
          <w:p>
            <w:pPr>
              <w:jc w:val="right"/>
              <w:ind w:right="100"/>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19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20" w:type="dxa"/>
            <w:vAlign w:val="bottom"/>
            <w:gridSpan w:val="4"/>
          </w:tcPr>
          <w:p>
            <w:pPr>
              <w:ind w:left="20"/>
              <w:spacing w:after="0" w:line="17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Item 2.</w:t>
              </w:r>
            </w:hyperlink>
          </w:p>
        </w:tc>
        <w:tc>
          <w:tcPr>
            <w:tcW w:w="6860" w:type="dxa"/>
            <w:vAlign w:val="bottom"/>
            <w:gridSpan w:val="25"/>
          </w:tcPr>
          <w:p>
            <w:pPr>
              <w:ind w:left="100"/>
              <w:spacing w:after="0" w:line="17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Management’s Discussion and Analysis of Financial Condition and Results of Operations</w:t>
              </w:r>
            </w:hyperlink>
          </w:p>
        </w:tc>
        <w:tc>
          <w:tcPr>
            <w:tcW w:w="540" w:type="dxa"/>
            <w:vAlign w:val="bottom"/>
            <w:gridSpan w:val="4"/>
          </w:tcPr>
          <w:p>
            <w:pPr>
              <w:jc w:val="right"/>
              <w:ind w:right="100"/>
              <w:spacing w:after="0" w:line="17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38</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20" w:type="dxa"/>
            <w:vAlign w:val="bottom"/>
            <w:gridSpan w:val="4"/>
            <w:shd w:val="clear" w:color="auto" w:fill="CCEEFF"/>
          </w:tcPr>
          <w:p>
            <w:pPr>
              <w:ind w:left="20"/>
              <w:spacing w:after="0" w:line="17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Item 3.</w:t>
              </w:r>
            </w:hyperlink>
          </w:p>
        </w:tc>
        <w:tc>
          <w:tcPr>
            <w:tcW w:w="6860" w:type="dxa"/>
            <w:vAlign w:val="bottom"/>
            <w:gridSpan w:val="25"/>
            <w:shd w:val="clear" w:color="auto" w:fill="CCEEFF"/>
          </w:tcPr>
          <w:p>
            <w:pPr>
              <w:ind w:left="100"/>
              <w:spacing w:after="0" w:line="17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Quantitative and Qualitative Disclosures About Market Risk</w:t>
              </w:r>
            </w:hyperlink>
          </w:p>
        </w:tc>
        <w:tc>
          <w:tcPr>
            <w:tcW w:w="540" w:type="dxa"/>
            <w:vAlign w:val="bottom"/>
            <w:gridSpan w:val="4"/>
            <w:shd w:val="clear" w:color="auto" w:fill="CCEEFF"/>
          </w:tcPr>
          <w:p>
            <w:pPr>
              <w:jc w:val="right"/>
              <w:ind w:right="100"/>
              <w:spacing w:after="0" w:line="17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50</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20" w:type="dxa"/>
            <w:vAlign w:val="bottom"/>
            <w:gridSpan w:val="4"/>
          </w:tcPr>
          <w:p>
            <w:pPr>
              <w:ind w:left="20"/>
              <w:spacing w:after="0" w:line="17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Item 4.</w:t>
              </w:r>
            </w:hyperlink>
          </w:p>
        </w:tc>
        <w:tc>
          <w:tcPr>
            <w:tcW w:w="6860" w:type="dxa"/>
            <w:vAlign w:val="bottom"/>
            <w:gridSpan w:val="25"/>
          </w:tcPr>
          <w:p>
            <w:pPr>
              <w:ind w:left="100"/>
              <w:spacing w:after="0" w:line="17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Controls and Procedures</w:t>
              </w:r>
            </w:hyperlink>
          </w:p>
        </w:tc>
        <w:tc>
          <w:tcPr>
            <w:tcW w:w="540" w:type="dxa"/>
            <w:vAlign w:val="bottom"/>
            <w:gridSpan w:val="4"/>
          </w:tcPr>
          <w:p>
            <w:pPr>
              <w:jc w:val="right"/>
              <w:ind w:right="100"/>
              <w:spacing w:after="0" w:line="17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51</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860" w:type="dxa"/>
            <w:vAlign w:val="bottom"/>
            <w:gridSpan w:val="25"/>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820" w:type="dxa"/>
            <w:vAlign w:val="bottom"/>
            <w:gridSpan w:val="4"/>
          </w:tcPr>
          <w:p>
            <w:pPr>
              <w:ind w:left="20"/>
              <w:spacing w:after="0" w:line="17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Item 1.</w:t>
              </w:r>
            </w:hyperlink>
          </w:p>
        </w:tc>
        <w:tc>
          <w:tcPr>
            <w:tcW w:w="6860" w:type="dxa"/>
            <w:vAlign w:val="bottom"/>
            <w:gridSpan w:val="25"/>
          </w:tcPr>
          <w:p>
            <w:pPr>
              <w:ind w:left="100"/>
              <w:spacing w:after="0" w:line="17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Legal Proceedings</w:t>
              </w:r>
            </w:hyperlink>
          </w:p>
        </w:tc>
        <w:tc>
          <w:tcPr>
            <w:tcW w:w="540" w:type="dxa"/>
            <w:vAlign w:val="bottom"/>
            <w:gridSpan w:val="4"/>
          </w:tcPr>
          <w:p>
            <w:pPr>
              <w:jc w:val="right"/>
              <w:ind w:right="100"/>
              <w:spacing w:after="0" w:line="17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52</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20" w:type="dxa"/>
            <w:vAlign w:val="bottom"/>
            <w:gridSpan w:val="4"/>
            <w:shd w:val="clear" w:color="auto" w:fill="CCEEFF"/>
          </w:tcPr>
          <w:p>
            <w:pPr>
              <w:ind w:left="20"/>
              <w:spacing w:after="0" w:line="17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Item 1A.</w:t>
              </w:r>
            </w:hyperlink>
          </w:p>
        </w:tc>
        <w:tc>
          <w:tcPr>
            <w:tcW w:w="6860" w:type="dxa"/>
            <w:vAlign w:val="bottom"/>
            <w:gridSpan w:val="25"/>
            <w:shd w:val="clear" w:color="auto" w:fill="CCEEFF"/>
          </w:tcPr>
          <w:p>
            <w:pPr>
              <w:ind w:left="100"/>
              <w:spacing w:after="0" w:line="17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Risk Factors</w:t>
              </w:r>
            </w:hyperlink>
          </w:p>
        </w:tc>
        <w:tc>
          <w:tcPr>
            <w:tcW w:w="540" w:type="dxa"/>
            <w:vAlign w:val="bottom"/>
            <w:gridSpan w:val="4"/>
            <w:shd w:val="clear" w:color="auto" w:fill="CCEEFF"/>
          </w:tcPr>
          <w:p>
            <w:pPr>
              <w:jc w:val="right"/>
              <w:ind w:right="100"/>
              <w:spacing w:after="0" w:line="17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52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20" w:type="dxa"/>
            <w:vAlign w:val="bottom"/>
            <w:gridSpan w:val="4"/>
          </w:tcPr>
          <w:p>
            <w:pPr>
              <w:ind w:left="20"/>
              <w:spacing w:after="0" w:line="17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Item 2.</w:t>
              </w:r>
            </w:hyperlink>
          </w:p>
        </w:tc>
        <w:tc>
          <w:tcPr>
            <w:tcW w:w="6860" w:type="dxa"/>
            <w:vAlign w:val="bottom"/>
            <w:gridSpan w:val="25"/>
          </w:tcPr>
          <w:p>
            <w:pPr>
              <w:ind w:left="100"/>
              <w:spacing w:after="0" w:line="17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Unregistered Sales of Equity Securities and Use of Proceeds</w:t>
              </w:r>
            </w:hyperlink>
          </w:p>
        </w:tc>
        <w:tc>
          <w:tcPr>
            <w:tcW w:w="540" w:type="dxa"/>
            <w:vAlign w:val="bottom"/>
            <w:gridSpan w:val="4"/>
          </w:tcPr>
          <w:p>
            <w:pPr>
              <w:jc w:val="right"/>
              <w:ind w:right="100"/>
              <w:spacing w:after="0" w:line="17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52</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20" w:type="dxa"/>
            <w:vAlign w:val="bottom"/>
            <w:gridSpan w:val="4"/>
            <w:shd w:val="clear" w:color="auto" w:fill="CCEEFF"/>
          </w:tcPr>
          <w:p>
            <w:pPr>
              <w:ind w:left="20"/>
              <w:spacing w:after="0" w:line="17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Item 3.</w:t>
              </w:r>
            </w:hyperlink>
          </w:p>
        </w:tc>
        <w:tc>
          <w:tcPr>
            <w:tcW w:w="6860" w:type="dxa"/>
            <w:vAlign w:val="bottom"/>
            <w:gridSpan w:val="25"/>
            <w:shd w:val="clear" w:color="auto" w:fill="CCEEFF"/>
          </w:tcPr>
          <w:p>
            <w:pPr>
              <w:ind w:left="100"/>
              <w:spacing w:after="0" w:line="17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Defaults Upon Senior Securities</w:t>
              </w:r>
            </w:hyperlink>
          </w:p>
        </w:tc>
        <w:tc>
          <w:tcPr>
            <w:tcW w:w="540" w:type="dxa"/>
            <w:vAlign w:val="bottom"/>
            <w:gridSpan w:val="4"/>
            <w:shd w:val="clear" w:color="auto" w:fill="CCEEFF"/>
          </w:tcPr>
          <w:p>
            <w:pPr>
              <w:jc w:val="right"/>
              <w:ind w:right="100"/>
              <w:spacing w:after="0" w:line="17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52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20" w:type="dxa"/>
            <w:vAlign w:val="bottom"/>
            <w:gridSpan w:val="4"/>
          </w:tcPr>
          <w:p>
            <w:pPr>
              <w:ind w:left="20"/>
              <w:spacing w:after="0" w:line="17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Item 4.</w:t>
              </w:r>
            </w:hyperlink>
          </w:p>
        </w:tc>
        <w:tc>
          <w:tcPr>
            <w:tcW w:w="6860" w:type="dxa"/>
            <w:vAlign w:val="bottom"/>
            <w:gridSpan w:val="25"/>
          </w:tcPr>
          <w:p>
            <w:pPr>
              <w:ind w:left="100"/>
              <w:spacing w:after="0" w:line="17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Mine Safety Disclosure</w:t>
              </w:r>
            </w:hyperlink>
          </w:p>
        </w:tc>
        <w:tc>
          <w:tcPr>
            <w:tcW w:w="540" w:type="dxa"/>
            <w:vAlign w:val="bottom"/>
            <w:gridSpan w:val="4"/>
          </w:tcPr>
          <w:p>
            <w:pPr>
              <w:jc w:val="right"/>
              <w:ind w:right="100"/>
              <w:spacing w:after="0" w:line="17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52</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20" w:type="dxa"/>
            <w:vAlign w:val="bottom"/>
            <w:gridSpan w:val="4"/>
            <w:shd w:val="clear" w:color="auto" w:fill="CCEEFF"/>
          </w:tcPr>
          <w:p>
            <w:pPr>
              <w:ind w:left="20"/>
              <w:spacing w:after="0" w:line="17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Item 5.</w:t>
              </w:r>
            </w:hyperlink>
          </w:p>
        </w:tc>
        <w:tc>
          <w:tcPr>
            <w:tcW w:w="6860" w:type="dxa"/>
            <w:vAlign w:val="bottom"/>
            <w:gridSpan w:val="25"/>
            <w:shd w:val="clear" w:color="auto" w:fill="CCEEFF"/>
          </w:tcPr>
          <w:p>
            <w:pPr>
              <w:ind w:left="100"/>
              <w:spacing w:after="0" w:line="17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Other Information</w:t>
              </w:r>
            </w:hyperlink>
          </w:p>
        </w:tc>
        <w:tc>
          <w:tcPr>
            <w:tcW w:w="540" w:type="dxa"/>
            <w:vAlign w:val="bottom"/>
            <w:gridSpan w:val="4"/>
            <w:shd w:val="clear" w:color="auto" w:fill="CCEEFF"/>
          </w:tcPr>
          <w:p>
            <w:pPr>
              <w:jc w:val="right"/>
              <w:ind w:right="100"/>
              <w:spacing w:after="0" w:line="17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52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20" w:type="dxa"/>
            <w:vAlign w:val="bottom"/>
            <w:gridSpan w:val="4"/>
          </w:tcPr>
          <w:p>
            <w:pPr>
              <w:ind w:left="20"/>
              <w:spacing w:after="0" w:line="17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Item 6.</w:t>
              </w:r>
            </w:hyperlink>
          </w:p>
        </w:tc>
        <w:tc>
          <w:tcPr>
            <w:tcW w:w="6860" w:type="dxa"/>
            <w:vAlign w:val="bottom"/>
            <w:gridSpan w:val="25"/>
          </w:tcPr>
          <w:p>
            <w:pPr>
              <w:ind w:left="100"/>
              <w:spacing w:after="0" w:line="17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Exhibits</w:t>
              </w:r>
            </w:hyperlink>
          </w:p>
        </w:tc>
        <w:tc>
          <w:tcPr>
            <w:tcW w:w="540" w:type="dxa"/>
            <w:vAlign w:val="bottom"/>
            <w:gridSpan w:val="4"/>
          </w:tcPr>
          <w:p>
            <w:pPr>
              <w:jc w:val="right"/>
              <w:ind w:right="100"/>
              <w:spacing w:after="0" w:line="17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52</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760" w:type="dxa"/>
            <w:vAlign w:val="bottom"/>
            <w:gridSpan w:val="24"/>
            <w:shd w:val="clear" w:color="auto" w:fill="CCEEFF"/>
          </w:tcPr>
          <w:p>
            <w:pPr>
              <w:spacing w:after="0" w:line="17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Schedule of Investments in and Advances to Affiliates (Schedule 12-14)</w:t>
              </w:r>
            </w:hyperlink>
          </w:p>
        </w:tc>
        <w:tc>
          <w:tcPr>
            <w:tcW w:w="540" w:type="dxa"/>
            <w:vAlign w:val="bottom"/>
            <w:gridSpan w:val="4"/>
            <w:shd w:val="clear" w:color="auto" w:fill="CCEEFF"/>
          </w:tcPr>
          <w:p>
            <w:pPr>
              <w:jc w:val="right"/>
              <w:ind w:right="100"/>
              <w:spacing w:after="0" w:line="17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54</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spacing w:after="0" w:line="176" w:lineRule="exact"/>
              <w:rPr>
                <w:rFonts w:ascii="Times New Roman" w:cs="Times New Roman" w:eastAsia="Times New Roman" w:hAnsi="Times New Roman"/>
                <w:sz w:val="18"/>
                <w:szCs w:val="18"/>
                <w:color w:val="0000EE"/>
                <w:w w:val="97"/>
              </w:rPr>
            </w:pPr>
            <w:hyperlink w:anchor="page62">
              <w:r>
                <w:rPr>
                  <w:rFonts w:ascii="Times New Roman" w:cs="Times New Roman" w:eastAsia="Times New Roman" w:hAnsi="Times New Roman"/>
                  <w:sz w:val="18"/>
                  <w:szCs w:val="18"/>
                  <w:color w:val="0000EE"/>
                  <w:w w:val="97"/>
                </w:rPr>
                <w:t>Signatures</w:t>
              </w:r>
            </w:hyperlink>
          </w:p>
        </w:tc>
        <w:tc>
          <w:tcPr>
            <w:tcW w:w="4440" w:type="dxa"/>
            <w:vAlign w:val="bottom"/>
            <w:gridSpan w:val="14"/>
          </w:tcPr>
          <w:p>
            <w:pPr>
              <w:spacing w:after="0"/>
              <w:rPr>
                <w:sz w:val="15"/>
                <w:szCs w:val="15"/>
                <w:color w:val="auto"/>
              </w:rPr>
            </w:pPr>
          </w:p>
        </w:tc>
        <w:tc>
          <w:tcPr>
            <w:tcW w:w="1560" w:type="dxa"/>
            <w:vAlign w:val="bottom"/>
            <w:gridSpan w:val="7"/>
          </w:tcPr>
          <w:p>
            <w:pPr>
              <w:spacing w:after="0"/>
              <w:rPr>
                <w:sz w:val="15"/>
                <w:szCs w:val="15"/>
                <w:color w:val="auto"/>
              </w:rPr>
            </w:pPr>
          </w:p>
        </w:tc>
        <w:tc>
          <w:tcPr>
            <w:tcW w:w="540" w:type="dxa"/>
            <w:vAlign w:val="bottom"/>
            <w:gridSpan w:val="4"/>
          </w:tcPr>
          <w:p>
            <w:pPr>
              <w:jc w:val="right"/>
              <w:ind w:right="100"/>
              <w:spacing w:after="0" w:line="176"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60</w:t>
              </w:r>
            </w:hyperlink>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-3901440</wp:posOffset>
            </wp:positionV>
            <wp:extent cx="52139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2" w:name="page3"/>
    <w:bookmarkEnd w:id="2"/>
    <w:p>
      <w:pPr>
        <w:ind w:left="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2139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5"/>
                <w:szCs w:val="15"/>
                <w:color w:val="auto"/>
              </w:rPr>
            </w:pPr>
          </w:p>
        </w:tc>
      </w:tr>
      <w:tr>
        <w:trPr>
          <w:trHeight w:val="196"/>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(Unaudited)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Investments at fair value:</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0"/>
        </w:trPr>
        <w:tc>
          <w:tcPr>
            <w:tcW w:w="20" w:type="dxa"/>
            <w:vAlign w:val="bottom"/>
            <w:shd w:val="clear" w:color="auto" w:fill="CCEEFF"/>
          </w:tcPr>
          <w:p>
            <w:pPr>
              <w:spacing w:after="0"/>
              <w:rPr>
                <w:sz w:val="16"/>
                <w:szCs w:val="16"/>
                <w:color w:val="auto"/>
              </w:rPr>
            </w:pPr>
          </w:p>
        </w:tc>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Investments in controlled securities (cost of $19,435,647 and $17,933,651,</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6"/>
        </w:trPr>
        <w:tc>
          <w:tcPr>
            <w:tcW w:w="20" w:type="dxa"/>
            <w:vAlign w:val="bottom"/>
            <w:shd w:val="clear" w:color="auto" w:fill="CCEEFF"/>
          </w:tcPr>
          <w:p>
            <w:pPr>
              <w:spacing w:after="0"/>
              <w:rPr>
                <w:sz w:val="22"/>
                <w:szCs w:val="22"/>
                <w:color w:val="auto"/>
              </w:rPr>
            </w:pPr>
          </w:p>
        </w:tc>
        <w:tc>
          <w:tcPr>
            <w:tcW w:w="5940" w:type="dxa"/>
            <w:vAlign w:val="bottom"/>
            <w:gridSpan w:val="2"/>
            <w:shd w:val="clear" w:color="auto" w:fill="CCEEFF"/>
          </w:tcPr>
          <w:p>
            <w:pPr>
              <w:ind w:left="360"/>
              <w:spacing w:after="0" w:line="255" w:lineRule="exact"/>
              <w:rPr>
                <w:sz w:val="20"/>
                <w:szCs w:val="20"/>
                <w:color w:val="auto"/>
              </w:rPr>
            </w:pPr>
            <w:r>
              <w:rPr>
                <w:rFonts w:ascii="Times New Roman" w:cs="Times New Roman" w:eastAsia="Times New Roman" w:hAnsi="Times New Roman"/>
                <w:sz w:val="16"/>
                <w:szCs w:val="16"/>
                <w:color w:val="auto"/>
              </w:rPr>
              <w:t>respectively)</w:t>
            </w:r>
            <w:r>
              <w:rPr>
                <w:rFonts w:ascii="Times New Roman" w:cs="Times New Roman" w:eastAsia="Times New Roman" w:hAnsi="Times New Roman"/>
                <w:sz w:val="27"/>
                <w:szCs w:val="27"/>
                <w:color w:val="auto"/>
                <w:vertAlign w:val="superscript"/>
              </w:rPr>
              <w:t>(1)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20,179,675</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18,819,335</w:t>
            </w:r>
          </w:p>
        </w:tc>
      </w:tr>
      <w:tr>
        <w:trPr>
          <w:trHeight w:val="190"/>
        </w:trPr>
        <w:tc>
          <w:tcPr>
            <w:tcW w:w="20" w:type="dxa"/>
            <w:vAlign w:val="bottom"/>
          </w:tcPr>
          <w:p>
            <w:pPr>
              <w:spacing w:after="0"/>
              <w:rPr>
                <w:sz w:val="16"/>
                <w:szCs w:val="16"/>
                <w:color w:val="auto"/>
              </w:rPr>
            </w:pPr>
          </w:p>
        </w:tc>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Investments in affiliated securities (cost of $85,749,640 and $80,760,208,</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6"/>
        </w:trPr>
        <w:tc>
          <w:tcPr>
            <w:tcW w:w="20" w:type="dxa"/>
            <w:vAlign w:val="bottom"/>
          </w:tcPr>
          <w:p>
            <w:pPr>
              <w:spacing w:after="0"/>
              <w:rPr>
                <w:sz w:val="22"/>
                <w:szCs w:val="22"/>
                <w:color w:val="auto"/>
              </w:rPr>
            </w:pPr>
          </w:p>
        </w:tc>
        <w:tc>
          <w:tcPr>
            <w:tcW w:w="5940" w:type="dxa"/>
            <w:vAlign w:val="bottom"/>
            <w:gridSpan w:val="2"/>
          </w:tcPr>
          <w:p>
            <w:pPr>
              <w:ind w:left="360"/>
              <w:spacing w:after="0" w:line="255" w:lineRule="exact"/>
              <w:rPr>
                <w:sz w:val="20"/>
                <w:szCs w:val="20"/>
                <w:color w:val="auto"/>
              </w:rPr>
            </w:pPr>
            <w:r>
              <w:rPr>
                <w:rFonts w:ascii="Times New Roman" w:cs="Times New Roman" w:eastAsia="Times New Roman" w:hAnsi="Times New Roman"/>
                <w:sz w:val="16"/>
                <w:szCs w:val="16"/>
                <w:color w:val="auto"/>
              </w:rPr>
              <w:t>respectively)</w:t>
            </w:r>
            <w:r>
              <w:rPr>
                <w:rFonts w:ascii="Times New Roman" w:cs="Times New Roman" w:eastAsia="Times New Roman" w:hAnsi="Times New Roman"/>
                <w:sz w:val="27"/>
                <w:szCs w:val="27"/>
                <w:color w:val="auto"/>
                <w:vertAlign w:val="superscript"/>
              </w:rPr>
              <w:t>(1)</w:t>
            </w:r>
          </w:p>
        </w:tc>
        <w:tc>
          <w:tcPr>
            <w:tcW w:w="8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75,411,267</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70,172,313</w:t>
            </w:r>
          </w:p>
        </w:tc>
      </w:tr>
      <w:tr>
        <w:trPr>
          <w:trHeight w:val="189"/>
        </w:trPr>
        <w:tc>
          <w:tcPr>
            <w:tcW w:w="20" w:type="dxa"/>
            <w:vAlign w:val="bottom"/>
            <w:shd w:val="clear" w:color="auto" w:fill="CCEEFF"/>
          </w:tcPr>
          <w:p>
            <w:pPr>
              <w:spacing w:after="0"/>
              <w:rPr>
                <w:sz w:val="16"/>
                <w:szCs w:val="16"/>
                <w:color w:val="auto"/>
              </w:rPr>
            </w:pPr>
          </w:p>
        </w:tc>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Investments in non-controlled/non-affiliated securities (cost of $198,586,069 and</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0" w:type="dxa"/>
            <w:vAlign w:val="bottom"/>
            <w:shd w:val="clear" w:color="auto" w:fill="CCEEFF"/>
          </w:tcPr>
          <w:p>
            <w:pPr>
              <w:spacing w:after="0"/>
              <w:rPr>
                <w:sz w:val="18"/>
                <w:szCs w:val="18"/>
                <w:color w:val="auto"/>
              </w:rPr>
            </w:pPr>
          </w:p>
        </w:tc>
        <w:tc>
          <w:tcPr>
            <w:tcW w:w="5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$202,417,830, respectively)</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7"/>
              </w:rPr>
              <w:t>305,832,821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281,992,669</w:t>
            </w:r>
          </w:p>
        </w:tc>
      </w:tr>
      <w:tr>
        <w:trPr>
          <w:trHeight w:val="203"/>
        </w:trPr>
        <w:tc>
          <w:tcPr>
            <w:tcW w:w="20" w:type="dxa"/>
            <w:vAlign w:val="bottom"/>
          </w:tcPr>
          <w:p>
            <w:pPr>
              <w:spacing w:after="0"/>
              <w:rPr>
                <w:sz w:val="17"/>
                <w:szCs w:val="17"/>
                <w:color w:val="auto"/>
              </w:rPr>
            </w:pPr>
          </w:p>
        </w:tc>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Investments in treasury bill (cost of $100,013,333 and $100,001,692, respectively)</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7"/>
              </w:rPr>
              <w:t>100,013,333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100,000,056</w:t>
            </w:r>
          </w:p>
        </w:tc>
      </w:tr>
      <w:tr>
        <w:trPr>
          <w:trHeight w:val="203"/>
        </w:trPr>
        <w:tc>
          <w:tcPr>
            <w:tcW w:w="2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Investments owned and pledged (cost of $5,478,126 and $7,286,332, respectively)</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5,492,502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7,298,042</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Total Investments (cost of $409,262,815 and $408,399,713, respectively)</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7"/>
              </w:rPr>
              <w:t>506,929,598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478,282,415</w:t>
            </w:r>
          </w:p>
        </w:tc>
      </w:tr>
      <w:tr>
        <w:trPr>
          <w:trHeight w:val="203"/>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8,060,624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3,472,880</w:t>
            </w:r>
          </w:p>
        </w:tc>
      </w:tr>
      <w:tr>
        <w:trPr>
          <w:trHeight w:val="203"/>
        </w:trPr>
        <w:tc>
          <w:tcPr>
            <w:tcW w:w="5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41,181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48,889</w:t>
            </w:r>
          </w:p>
        </w:tc>
      </w:tr>
      <w:tr>
        <w:trPr>
          <w:trHeight w:val="203"/>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from:</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5940" w:type="dxa"/>
            <w:vAlign w:val="bottom"/>
            <w:gridSpan w:val="2"/>
          </w:tcPr>
          <w:p>
            <w:pPr>
              <w:ind w:left="180"/>
              <w:spacing w:after="0" w:line="242" w:lineRule="exact"/>
              <w:rPr>
                <w:sz w:val="20"/>
                <w:szCs w:val="20"/>
                <w:color w:val="auto"/>
              </w:rPr>
            </w:pPr>
            <w:r>
              <w:rPr>
                <w:rFonts w:ascii="Times New Roman" w:cs="Times New Roman" w:eastAsia="Times New Roman" w:hAnsi="Times New Roman"/>
                <w:sz w:val="16"/>
                <w:szCs w:val="16"/>
                <w:color w:val="auto"/>
              </w:rPr>
              <w:t>GSV Asset Management</w:t>
            </w:r>
            <w:r>
              <w:rPr>
                <w:rFonts w:ascii="Times New Roman" w:cs="Times New Roman" w:eastAsia="Times New Roman" w:hAnsi="Times New Roman"/>
                <w:sz w:val="27"/>
                <w:szCs w:val="27"/>
                <w:color w:val="auto"/>
                <w:vertAlign w:val="superscript"/>
              </w:rPr>
              <w:t>(1)</w:t>
            </w:r>
          </w:p>
        </w:tc>
        <w:tc>
          <w:tcPr>
            <w:tcW w:w="8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105,844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204,825</w:t>
            </w:r>
          </w:p>
        </w:tc>
      </w:tr>
      <w:tr>
        <w:trPr>
          <w:trHeight w:val="243"/>
        </w:trPr>
        <w:tc>
          <w:tcPr>
            <w:tcW w:w="20" w:type="dxa"/>
            <w:vAlign w:val="bottom"/>
            <w:shd w:val="clear" w:color="auto" w:fill="CCEEFF"/>
          </w:tcPr>
          <w:p>
            <w:pPr>
              <w:spacing w:after="0"/>
              <w:rPr>
                <w:sz w:val="21"/>
                <w:szCs w:val="21"/>
                <w:color w:val="auto"/>
              </w:rPr>
            </w:pPr>
          </w:p>
        </w:tc>
        <w:tc>
          <w:tcPr>
            <w:tcW w:w="5940" w:type="dxa"/>
            <w:vAlign w:val="bottom"/>
            <w:gridSpan w:val="2"/>
            <w:shd w:val="clear" w:color="auto" w:fill="CCEEFF"/>
          </w:tcPr>
          <w:p>
            <w:pPr>
              <w:ind w:left="180"/>
              <w:spacing w:after="0" w:line="242" w:lineRule="exact"/>
              <w:rPr>
                <w:sz w:val="20"/>
                <w:szCs w:val="20"/>
                <w:color w:val="auto"/>
              </w:rPr>
            </w:pPr>
            <w:r>
              <w:rPr>
                <w:rFonts w:ascii="Times New Roman" w:cs="Times New Roman" w:eastAsia="Times New Roman" w:hAnsi="Times New Roman"/>
                <w:sz w:val="16"/>
                <w:szCs w:val="16"/>
                <w:color w:val="auto"/>
              </w:rPr>
              <w:t>Portfolio companies</w:t>
            </w:r>
            <w:r>
              <w:rPr>
                <w:rFonts w:ascii="Times New Roman" w:cs="Times New Roman" w:eastAsia="Times New Roman" w:hAnsi="Times New Roman"/>
                <w:sz w:val="27"/>
                <w:szCs w:val="27"/>
                <w:color w:val="auto"/>
                <w:vertAlign w:val="superscript"/>
              </w:rPr>
              <w:t>(1)</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77,436</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85,356</w:t>
            </w:r>
          </w:p>
        </w:tc>
      </w:tr>
      <w:tr>
        <w:trPr>
          <w:trHeight w:val="203"/>
        </w:trPr>
        <w:tc>
          <w:tcPr>
            <w:tcW w:w="5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Interest and dividends receivable</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63,789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26,671</w:t>
            </w:r>
          </w:p>
        </w:tc>
      </w:tr>
      <w:tr>
        <w:trPr>
          <w:trHeight w:val="203"/>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549,351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596,926</w:t>
            </w:r>
          </w:p>
        </w:tc>
      </w:tr>
      <w:tr>
        <w:trPr>
          <w:trHeight w:val="203"/>
        </w:trPr>
        <w:tc>
          <w:tcPr>
            <w:tcW w:w="5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Deferred financing costs</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2,693,379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2,928,134</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7"/>
              </w:rPr>
              <w:t>518,521,202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485,646,096</w:t>
            </w:r>
          </w:p>
        </w:tc>
      </w:tr>
      <w:tr>
        <w:trPr>
          <w:trHeight w:val="196"/>
        </w:trPr>
        <w:tc>
          <w:tcPr>
            <w:tcW w:w="5960" w:type="dxa"/>
            <w:vAlign w:val="bottom"/>
            <w:tcBorders>
              <w:top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3"/>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to:</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5940" w:type="dxa"/>
            <w:vAlign w:val="bottom"/>
            <w:gridSpan w:val="2"/>
          </w:tcPr>
          <w:p>
            <w:pPr>
              <w:ind w:left="180"/>
              <w:spacing w:after="0" w:line="242" w:lineRule="exact"/>
              <w:rPr>
                <w:sz w:val="20"/>
                <w:szCs w:val="20"/>
                <w:color w:val="auto"/>
              </w:rPr>
            </w:pPr>
            <w:r>
              <w:rPr>
                <w:rFonts w:ascii="Times New Roman" w:cs="Times New Roman" w:eastAsia="Times New Roman" w:hAnsi="Times New Roman"/>
                <w:sz w:val="16"/>
                <w:szCs w:val="16"/>
                <w:color w:val="auto"/>
              </w:rPr>
              <w:t>GSV Asset Management</w:t>
            </w:r>
            <w:r>
              <w:rPr>
                <w:rFonts w:ascii="Times New Roman" w:cs="Times New Roman" w:eastAsia="Times New Roman" w:hAnsi="Times New Roman"/>
                <w:sz w:val="27"/>
                <w:szCs w:val="27"/>
                <w:color w:val="auto"/>
                <w:vertAlign w:val="superscript"/>
              </w:rPr>
              <w:t>(1)</w:t>
            </w:r>
          </w:p>
        </w:tc>
        <w:tc>
          <w:tcPr>
            <w:tcW w:w="8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30,255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23,396</w:t>
            </w:r>
          </w:p>
        </w:tc>
      </w:tr>
      <w:tr>
        <w:trPr>
          <w:trHeight w:val="203"/>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184,912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292,950</w:t>
            </w:r>
          </w:p>
        </w:tc>
      </w:tr>
      <w:tr>
        <w:trPr>
          <w:trHeight w:val="243"/>
        </w:trPr>
        <w:tc>
          <w:tcPr>
            <w:tcW w:w="5960" w:type="dxa"/>
            <w:vAlign w:val="bottom"/>
            <w:gridSpan w:val="3"/>
          </w:tcPr>
          <w:p>
            <w:pPr>
              <w:ind w:left="20"/>
              <w:spacing w:after="0" w:line="242" w:lineRule="exact"/>
              <w:rPr>
                <w:sz w:val="20"/>
                <w:szCs w:val="20"/>
                <w:color w:val="auto"/>
              </w:rPr>
            </w:pPr>
            <w:r>
              <w:rPr>
                <w:rFonts w:ascii="Times New Roman" w:cs="Times New Roman" w:eastAsia="Times New Roman" w:hAnsi="Times New Roman"/>
                <w:sz w:val="16"/>
                <w:szCs w:val="16"/>
                <w:color w:val="auto"/>
              </w:rPr>
              <w:t>Accrued incentive fees</w:t>
            </w:r>
            <w:r>
              <w:rPr>
                <w:rFonts w:ascii="Times New Roman" w:cs="Times New Roman" w:eastAsia="Times New Roman" w:hAnsi="Times New Roman"/>
                <w:sz w:val="27"/>
                <w:szCs w:val="27"/>
                <w:color w:val="auto"/>
                <w:vertAlign w:val="superscript"/>
              </w:rPr>
              <w:t>(1)</w:t>
            </w:r>
          </w:p>
        </w:tc>
        <w:tc>
          <w:tcPr>
            <w:tcW w:w="8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22,349,627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14,137,899</w:t>
            </w:r>
          </w:p>
        </w:tc>
      </w:tr>
      <w:tr>
        <w:trPr>
          <w:trHeight w:val="243"/>
        </w:trPr>
        <w:tc>
          <w:tcPr>
            <w:tcW w:w="5960" w:type="dxa"/>
            <w:vAlign w:val="bottom"/>
            <w:gridSpan w:val="3"/>
            <w:shd w:val="clear" w:color="auto" w:fill="CCEEFF"/>
          </w:tcPr>
          <w:p>
            <w:pPr>
              <w:ind w:left="20"/>
              <w:spacing w:after="0" w:line="242" w:lineRule="exact"/>
              <w:rPr>
                <w:sz w:val="20"/>
                <w:szCs w:val="20"/>
                <w:color w:val="auto"/>
              </w:rPr>
            </w:pPr>
            <w:r>
              <w:rPr>
                <w:rFonts w:ascii="Times New Roman" w:cs="Times New Roman" w:eastAsia="Times New Roman" w:hAnsi="Times New Roman"/>
                <w:sz w:val="16"/>
                <w:szCs w:val="16"/>
                <w:color w:val="auto"/>
              </w:rPr>
              <w:t>Accrued management fees</w:t>
            </w:r>
            <w:r>
              <w:rPr>
                <w:rFonts w:ascii="Times New Roman" w:cs="Times New Roman" w:eastAsia="Times New Roman" w:hAnsi="Times New Roman"/>
                <w:sz w:val="27"/>
                <w:szCs w:val="27"/>
                <w:color w:val="auto"/>
                <w:vertAlign w:val="superscript"/>
              </w:rPr>
              <w:t>(1)</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641,209</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641,276</w:t>
            </w:r>
          </w:p>
        </w:tc>
      </w:tr>
      <w:tr>
        <w:trPr>
          <w:trHeight w:val="203"/>
        </w:trPr>
        <w:tc>
          <w:tcPr>
            <w:tcW w:w="5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Accrued interest payable</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150,938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1,139,458</w:t>
            </w:r>
          </w:p>
        </w:tc>
      </w:tr>
      <w:tr>
        <w:trPr>
          <w:trHeight w:val="203"/>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Payable for securities purchased</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89,513,333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90,001,692</w:t>
            </w:r>
          </w:p>
        </w:tc>
      </w:tr>
      <w:tr>
        <w:trPr>
          <w:trHeight w:val="203"/>
        </w:trPr>
        <w:tc>
          <w:tcPr>
            <w:tcW w:w="5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Current taxes payable</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134,733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134,733</w:t>
            </w:r>
          </w:p>
        </w:tc>
      </w:tr>
      <w:tr>
        <w:trPr>
          <w:trHeight w:val="203"/>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liability</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18,452,122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6,907,666</w:t>
            </w:r>
          </w:p>
        </w:tc>
      </w:tr>
      <w:tr>
        <w:trPr>
          <w:trHeight w:val="203"/>
        </w:trPr>
        <w:tc>
          <w:tcPr>
            <w:tcW w:w="5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Line of credit payable</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16,000,000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18,000,000</w:t>
            </w:r>
          </w:p>
        </w:tc>
      </w:tr>
      <w:tr>
        <w:trPr>
          <w:trHeight w:val="203"/>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Convertible senior notes embedded derivative liability</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r>
      <w:tr>
        <w:trPr>
          <w:trHeight w:val="203"/>
        </w:trPr>
        <w:tc>
          <w:tcPr>
            <w:tcW w:w="5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Convertible senior notes payable 5.25% due September 15, 2018</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68,494,778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68,462,353</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7"/>
              </w:rPr>
              <w:t>215,952,907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199,742,423</w:t>
            </w:r>
          </w:p>
        </w:tc>
      </w:tr>
      <w:tr>
        <w:trPr>
          <w:trHeight w:val="196"/>
        </w:trPr>
        <w:tc>
          <w:tcPr>
            <w:tcW w:w="5960" w:type="dxa"/>
            <w:vAlign w:val="bottom"/>
            <w:tcBorders>
              <w:top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6)</w:t>
            </w: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43"/>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7"/>
              </w:rPr>
              <w:t>302,568,295</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285,903,673</w:t>
            </w:r>
          </w:p>
        </w:tc>
      </w:tr>
      <w:tr>
        <w:trPr>
          <w:trHeight w:val="196"/>
        </w:trPr>
        <w:tc>
          <w:tcPr>
            <w:tcW w:w="5960" w:type="dxa"/>
            <w:vAlign w:val="bottom"/>
            <w:tcBorders>
              <w:top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89"/>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par value $0.01 per share (100,000,000 authorized; 19,320,100 issued</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0" w:type="dxa"/>
            <w:vAlign w:val="bottom"/>
            <w:shd w:val="clear" w:color="auto" w:fill="CCEEFF"/>
          </w:tcPr>
          <w:p>
            <w:pPr>
              <w:spacing w:after="0"/>
              <w:rPr>
                <w:sz w:val="18"/>
                <w:szCs w:val="18"/>
                <w:color w:val="auto"/>
              </w:rPr>
            </w:pPr>
          </w:p>
        </w:tc>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and outstanding)</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193,201</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193,201</w:t>
            </w:r>
          </w:p>
        </w:tc>
      </w:tr>
      <w:tr>
        <w:trPr>
          <w:trHeight w:val="203"/>
        </w:trPr>
        <w:tc>
          <w:tcPr>
            <w:tcW w:w="5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Paid-in capital in excess of par</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7"/>
              </w:rPr>
              <w:t>275,837,514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275,837,514</w:t>
            </w:r>
          </w:p>
        </w:tc>
      </w:tr>
      <w:tr>
        <w:trPr>
          <w:trHeight w:val="203"/>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net investment loss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(39,542,087)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(31,972,292)</w:t>
            </w:r>
          </w:p>
        </w:tc>
      </w:tr>
      <w:tr>
        <w:trPr>
          <w:trHeight w:val="203"/>
        </w:trPr>
        <w:tc>
          <w:tcPr>
            <w:tcW w:w="5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Accumulated net realized gain on investments</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8,318,111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496,782</w:t>
            </w:r>
          </w:p>
        </w:tc>
      </w:tr>
      <w:tr>
        <w:trPr>
          <w:trHeight w:val="203"/>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net unrealized appreciation on investments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57,761,556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41,348,468</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7"/>
              </w:rPr>
              <w:t>302,568,295</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285,903,673</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5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Net Asset Value Per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15.66</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14.80</w:t>
            </w: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496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-4965065</wp:posOffset>
            </wp:positionV>
            <wp:extent cx="521398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-3609975</wp:posOffset>
            </wp:positionV>
            <wp:extent cx="521398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-1714500</wp:posOffset>
            </wp:positionV>
            <wp:extent cx="521398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-1448435</wp:posOffset>
            </wp:positionV>
            <wp:extent cx="521398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-513715</wp:posOffset>
            </wp:positionV>
            <wp:extent cx="521398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This balance is a related party transaction. Refer to Note 2 for more detail.</w:t>
      </w:r>
    </w:p>
    <w:p>
      <w:pPr>
        <w:spacing w:after="0" w:line="200" w:lineRule="exact"/>
        <w:rPr>
          <w:sz w:val="20"/>
          <w:szCs w:val="20"/>
          <w:color w:val="auto"/>
        </w:rPr>
      </w:pPr>
    </w:p>
    <w:p>
      <w:pPr>
        <w:spacing w:after="0" w:line="34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i w:val="1"/>
          <w:iCs w:val="1"/>
          <w:color w:val="auto"/>
        </w:rPr>
        <w:t>See notes to the Condensed Consolidated Financial Statements</w:t>
      </w:r>
    </w:p>
    <w:p>
      <w:pPr>
        <w:spacing w:after="0" w:line="200" w:lineRule="exact"/>
        <w:rPr>
          <w:sz w:val="20"/>
          <w:szCs w:val="20"/>
          <w:color w:val="auto"/>
        </w:rPr>
      </w:pPr>
    </w:p>
    <w:p>
      <w:pPr>
        <w:spacing w:after="0" w:line="36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3" w:name="page4"/>
    <w:bookmarkEnd w:id="3"/>
    <w:p>
      <w:pPr>
        <w:ind w:left="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49"/>
        </w:trPr>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9"/>
        </w:trPr>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57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auto"/>
            </w:tcBorders>
          </w:tcPr>
          <w:p>
            <w:pPr>
              <w:spacing w:after="0"/>
              <w:rPr>
                <w:sz w:val="15"/>
                <w:szCs w:val="15"/>
                <w:color w:val="auto"/>
              </w:rPr>
            </w:pPr>
          </w:p>
        </w:tc>
      </w:tr>
      <w:tr>
        <w:trPr>
          <w:trHeight w:val="21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57"/>
        </w:trPr>
        <w:tc>
          <w:tcPr>
            <w:tcW w:w="57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Interest income from affiliated securities</w:t>
            </w:r>
            <w:r>
              <w:rPr>
                <w:rFonts w:ascii="Times New Roman" w:cs="Times New Roman" w:eastAsia="Times New Roman" w:hAnsi="Times New Roman"/>
                <w:sz w:val="29"/>
                <w:szCs w:val="29"/>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51,231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39,928</w:t>
            </w: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from non-affiliated/non-controlled securities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7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Dividend income from affiliated securities</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887</w:t>
            </w:r>
          </w:p>
        </w:tc>
      </w:tr>
      <w:tr>
        <w:trPr>
          <w:trHeight w:val="20"/>
        </w:trPr>
        <w:tc>
          <w:tcPr>
            <w:tcW w:w="5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59,024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40,815</w:t>
            </w:r>
          </w:p>
        </w:tc>
      </w:tr>
      <w:tr>
        <w:trPr>
          <w:trHeight w:val="210"/>
        </w:trPr>
        <w:tc>
          <w:tcPr>
            <w:tcW w:w="57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57"/>
        </w:trPr>
        <w:tc>
          <w:tcPr>
            <w:tcW w:w="578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Investment management fees</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1,921,128</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1,756,196</w:t>
            </w:r>
          </w:p>
        </w:tc>
      </w:tr>
      <w:tr>
        <w:trPr>
          <w:trHeight w:val="257"/>
        </w:trPr>
        <w:tc>
          <w:tcPr>
            <w:tcW w:w="57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Accrued incentive fees</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8,211,728</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969,652</w:t>
            </w: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incurred under administration agreement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802,396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908,532</w:t>
            </w:r>
          </w:p>
        </w:tc>
      </w:tr>
      <w:tr>
        <w:trPr>
          <w:trHeight w:val="257"/>
        </w:trPr>
        <w:tc>
          <w:tcPr>
            <w:tcW w:w="57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Directors’ fees</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85,306</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65,000</w:t>
            </w: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341,744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456,539</w:t>
            </w: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credit facility expense</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1,368,803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1,179,725</w:t>
            </w: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121,325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132,899</w:t>
            </w: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fair value adjustment for embedded derivative</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(620,000)</w:t>
            </w:r>
          </w:p>
        </w:tc>
      </w:tr>
      <w:tr>
        <w:trPr>
          <w:trHeight w:val="20"/>
        </w:trPr>
        <w:tc>
          <w:tcPr>
            <w:tcW w:w="5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12,852,430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4,848,543</w:t>
            </w:r>
          </w:p>
        </w:tc>
      </w:tr>
      <w:tr>
        <w:trPr>
          <w:trHeight w:val="216"/>
        </w:trPr>
        <w:tc>
          <w:tcPr>
            <w:tcW w:w="5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Benefit for taxes on net investment loss</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5,223,611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2,012,914</w:t>
            </w:r>
          </w:p>
        </w:tc>
      </w:tr>
      <w:tr>
        <w:trPr>
          <w:trHeight w:val="20"/>
        </w:trPr>
        <w:tc>
          <w:tcPr>
            <w:tcW w:w="5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Net Investment Loss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(7,569,795)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(2,794,814)</w:t>
            </w: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Net Realized Gain:</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From non-controlled/non-affiliated securities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13,218,403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7,931,745</w:t>
            </w:r>
          </w:p>
        </w:tc>
      </w:tr>
      <w:tr>
        <w:trPr>
          <w:trHeight w:val="20"/>
        </w:trPr>
        <w:tc>
          <w:tcPr>
            <w:tcW w:w="57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Realized Gain on investments</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13,218,403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7,931,745</w:t>
            </w:r>
          </w:p>
        </w:tc>
      </w:tr>
      <w:tr>
        <w:trPr>
          <w:trHeight w:val="20"/>
        </w:trPr>
        <w:tc>
          <w:tcPr>
            <w:tcW w:w="5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Provision for Taxes on realized gains on investments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(5,397,074)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(3,238,531)</w:t>
            </w: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Net Change in Unrealized Appreciation (Depreciation) on investments: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From controlled securities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(141,656)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(355,631)</w:t>
            </w:r>
          </w:p>
        </w:tc>
      </w:tr>
      <w:tr>
        <w:trPr>
          <w:trHeight w:val="216"/>
        </w:trPr>
        <w:tc>
          <w:tcPr>
            <w:tcW w:w="5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From affiliated securities</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249,522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(256,966)</w:t>
            </w:r>
          </w:p>
        </w:tc>
      </w:tr>
      <w:tr>
        <w:trPr>
          <w:trHeight w:val="216"/>
        </w:trPr>
        <w:tc>
          <w:tcPr>
            <w:tcW w:w="5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From non-controlled/non-affiliated securities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27,676,215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(2,461,082)</w:t>
            </w:r>
          </w:p>
        </w:tc>
      </w:tr>
      <w:tr>
        <w:trPr>
          <w:trHeight w:val="20"/>
        </w:trPr>
        <w:tc>
          <w:tcPr>
            <w:tcW w:w="57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Change in Unrealized Appreciation (Depreciation) on investments</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27,784,081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(3,073,679)</w:t>
            </w:r>
          </w:p>
        </w:tc>
      </w:tr>
      <w:tr>
        <w:trPr>
          <w:trHeight w:val="187"/>
        </w:trPr>
        <w:tc>
          <w:tcPr>
            <w:tcW w:w="5780" w:type="dxa"/>
            <w:vAlign w:val="bottom"/>
            <w:shd w:val="clear" w:color="auto" w:fill="CCEEFF"/>
          </w:tcPr>
          <w:p>
            <w:pPr>
              <w:ind w:left="380"/>
              <w:spacing w:after="0" w:line="188" w:lineRule="exact"/>
              <w:rPr>
                <w:sz w:val="20"/>
                <w:szCs w:val="20"/>
                <w:color w:val="auto"/>
              </w:rPr>
            </w:pPr>
            <w:r>
              <w:rPr>
                <w:rFonts w:ascii="Times New Roman" w:cs="Times New Roman" w:eastAsia="Times New Roman" w:hAnsi="Times New Roman"/>
                <w:sz w:val="18"/>
                <w:szCs w:val="18"/>
                <w:b w:val="1"/>
                <w:bCs w:val="1"/>
                <w:color w:val="auto"/>
              </w:rPr>
              <w:t>(Provision)/Benefit for taxes on unrealized</w:t>
            </w: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38"/>
        </w:trPr>
        <w:tc>
          <w:tcPr>
            <w:tcW w:w="5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appreciation/depreciation on investments</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(11,370,993)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1,254,983</w:t>
            </w:r>
          </w:p>
        </w:tc>
      </w:tr>
      <w:tr>
        <w:trPr>
          <w:trHeight w:val="20"/>
        </w:trPr>
        <w:tc>
          <w:tcPr>
            <w:tcW w:w="57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57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Increase in Net Assets Resulting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16,664,622</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79,704</w:t>
            </w:r>
          </w:p>
        </w:tc>
      </w:tr>
      <w:tr>
        <w:trPr>
          <w:trHeight w:val="21"/>
        </w:trPr>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7"/>
        </w:trPr>
        <w:tc>
          <w:tcPr>
            <w:tcW w:w="5780" w:type="dxa"/>
            <w:vAlign w:val="bottom"/>
            <w:shd w:val="clear" w:color="auto" w:fill="CCEEFF"/>
          </w:tcPr>
          <w:p>
            <w:pPr>
              <w:ind w:left="380"/>
              <w:spacing w:after="0" w:line="188" w:lineRule="exact"/>
              <w:rPr>
                <w:sz w:val="20"/>
                <w:szCs w:val="20"/>
                <w:color w:val="auto"/>
              </w:rPr>
            </w:pPr>
            <w:r>
              <w:rPr>
                <w:rFonts w:ascii="Times New Roman" w:cs="Times New Roman" w:eastAsia="Times New Roman" w:hAnsi="Times New Roman"/>
                <w:sz w:val="18"/>
                <w:szCs w:val="18"/>
                <w:b w:val="1"/>
                <w:bCs w:val="1"/>
                <w:color w:val="auto"/>
              </w:rPr>
              <w:t>Net Increase in Net Assets Resulting From Operations Per Common</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38"/>
        </w:trPr>
        <w:tc>
          <w:tcPr>
            <w:tcW w:w="5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6"/>
        </w:trPr>
        <w:tc>
          <w:tcPr>
            <w:tcW w:w="57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0.86</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0.73</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19,320,100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19,320,100</w:t>
            </w:r>
          </w:p>
        </w:tc>
      </w:tr>
      <w:tr>
        <w:trPr>
          <w:trHeight w:val="234"/>
        </w:trPr>
        <w:tc>
          <w:tcPr>
            <w:tcW w:w="57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23,564,228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19,320,100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-4445000</wp:posOffset>
            </wp:positionV>
            <wp:extent cx="521398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-2420620</wp:posOffset>
            </wp:positionV>
            <wp:extent cx="521398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-1580515</wp:posOffset>
            </wp:positionV>
            <wp:extent cx="521398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-1151890</wp:posOffset>
            </wp:positionV>
            <wp:extent cx="5213985"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160020</wp:posOffset>
            </wp:positionV>
            <wp:extent cx="6172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This balance is a related party transaction. Refer to Note 2 for more detail.</w:t>
      </w:r>
    </w:p>
    <w:p>
      <w:pPr>
        <w:spacing w:after="0" w:line="200" w:lineRule="exact"/>
        <w:rPr>
          <w:sz w:val="20"/>
          <w:szCs w:val="20"/>
          <w:color w:val="auto"/>
        </w:rPr>
      </w:pPr>
    </w:p>
    <w:p>
      <w:pPr>
        <w:spacing w:after="0" w:line="34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i w:val="1"/>
          <w:iCs w:val="1"/>
          <w:color w:val="auto"/>
        </w:rPr>
        <w:t>See notes to the Condensed Consolidated Financial Statements</w:t>
      </w:r>
    </w:p>
    <w:p>
      <w:pPr>
        <w:spacing w:after="0" w:line="200" w:lineRule="exact"/>
        <w:rPr>
          <w:sz w:val="20"/>
          <w:szCs w:val="20"/>
          <w:color w:val="auto"/>
        </w:rPr>
      </w:pPr>
    </w:p>
    <w:p>
      <w:pPr>
        <w:spacing w:after="0" w:line="36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4" w:name="page5"/>
    <w:bookmarkEnd w:id="4"/>
    <w:p>
      <w:pPr>
        <w:ind w:left="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NET ASSETS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49"/>
        </w:trPr>
        <w:tc>
          <w:tcPr>
            <w:tcW w:w="5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9"/>
        </w:trPr>
        <w:tc>
          <w:tcPr>
            <w:tcW w:w="5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5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auto"/>
            </w:tcBorders>
          </w:tcPr>
          <w:p>
            <w:pPr>
              <w:spacing w:after="0"/>
              <w:rPr>
                <w:sz w:val="15"/>
                <w:szCs w:val="15"/>
                <w:color w:val="auto"/>
              </w:rPr>
            </w:pPr>
          </w:p>
        </w:tc>
      </w:tr>
      <w:tr>
        <w:trPr>
          <w:trHeight w:val="21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in Net Assets Resulting From Operations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(7,569,795)</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(2,794,814)</w:t>
            </w:r>
          </w:p>
        </w:tc>
      </w:tr>
      <w:tr>
        <w:trPr>
          <w:trHeight w:val="21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Gain on Investments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13,218,403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7,931,745</w:t>
            </w: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Taxes on realized gain on investments</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(5,397,074)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(3,238,531)</w:t>
            </w:r>
          </w:p>
        </w:tc>
      </w:tr>
      <w:tr>
        <w:trPr>
          <w:trHeight w:val="21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Unrealized Appreciation (Depreciation) on investments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27,784,081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(3,073,679)</w:t>
            </w:r>
          </w:p>
        </w:tc>
      </w:tr>
      <w:tr>
        <w:trPr>
          <w:trHeight w:val="198"/>
        </w:trPr>
        <w:tc>
          <w:tcPr>
            <w:tcW w:w="57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(Provision)/Benefit for taxes on unrealized appreciation/depreciation on</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(11,370,993)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1,254,983</w:t>
            </w:r>
          </w:p>
        </w:tc>
      </w:tr>
      <w:tr>
        <w:trPr>
          <w:trHeight w:val="20"/>
        </w:trPr>
        <w:tc>
          <w:tcPr>
            <w:tcW w:w="5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Net Assets Resulting From Operations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16,664,622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79,704</w:t>
            </w:r>
          </w:p>
        </w:tc>
      </w:tr>
      <w:tr>
        <w:trPr>
          <w:trHeight w:val="20"/>
        </w:trPr>
        <w:tc>
          <w:tcPr>
            <w:tcW w:w="57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Increase in Net Assets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16,664,622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79,704</w:t>
            </w:r>
          </w:p>
        </w:tc>
      </w:tr>
      <w:tr>
        <w:trPr>
          <w:trHeight w:val="21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at Beginning of Period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285,903,673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287,966,444</w:t>
            </w:r>
          </w:p>
        </w:tc>
      </w:tr>
      <w:tr>
        <w:trPr>
          <w:trHeight w:val="20"/>
        </w:trPr>
        <w:tc>
          <w:tcPr>
            <w:tcW w:w="57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at End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302,568,295</w:t>
            </w:r>
          </w:p>
        </w:tc>
        <w:tc>
          <w:tcPr>
            <w:tcW w:w="12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288,046,148</w:t>
            </w:r>
          </w:p>
        </w:tc>
      </w:tr>
      <w:tr>
        <w:trPr>
          <w:trHeight w:val="21"/>
        </w:trPr>
        <w:tc>
          <w:tcPr>
            <w:tcW w:w="5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Share Activity</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Outstanding at Beginning of Period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19,320,100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19,320,100</w:t>
            </w:r>
          </w:p>
        </w:tc>
      </w:tr>
      <w:tr>
        <w:trPr>
          <w:trHeight w:val="20"/>
        </w:trPr>
        <w:tc>
          <w:tcPr>
            <w:tcW w:w="57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Shares Outstanding at End of Period</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19,320,100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19,320,100</w:t>
            </w:r>
          </w:p>
        </w:tc>
      </w:tr>
      <w:tr>
        <w:trPr>
          <w:trHeight w:val="21"/>
        </w:trPr>
        <w:tc>
          <w:tcPr>
            <w:tcW w:w="5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-1054100</wp:posOffset>
            </wp:positionV>
            <wp:extent cx="521398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-770890</wp:posOffset>
            </wp:positionV>
            <wp:extent cx="5213985"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i w:val="1"/>
          <w:iCs w:val="1"/>
          <w:color w:val="auto"/>
        </w:rPr>
        <w:t>See notes to the Condensed Consolidated Financial Statements</w:t>
      </w:r>
    </w:p>
    <w:p>
      <w:pPr>
        <w:spacing w:after="0" w:line="200" w:lineRule="exact"/>
        <w:rPr>
          <w:sz w:val="20"/>
          <w:szCs w:val="20"/>
          <w:color w:val="auto"/>
        </w:rPr>
      </w:pPr>
    </w:p>
    <w:p>
      <w:pPr>
        <w:spacing w:after="0" w:line="36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5" w:name="page6"/>
    <w:bookmarkEnd w:id="5"/>
    <w:p>
      <w:pPr>
        <w:ind w:left="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auto"/>
            </w:tcBorders>
          </w:tcPr>
          <w:p>
            <w:pPr>
              <w:spacing w:after="0"/>
              <w:rPr>
                <w:sz w:val="15"/>
                <w:szCs w:val="15"/>
                <w:color w:val="auto"/>
              </w:rPr>
            </w:pPr>
          </w:p>
        </w:tc>
      </w:tr>
      <w:tr>
        <w:trPr>
          <w:trHeight w:val="210"/>
        </w:trPr>
        <w:tc>
          <w:tcPr>
            <w:tcW w:w="5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16,664,622</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79,704</w:t>
            </w:r>
          </w:p>
        </w:tc>
      </w:tr>
      <w:tr>
        <w:trPr>
          <w:trHeight w:val="198"/>
        </w:trPr>
        <w:tc>
          <w:tcPr>
            <w:tcW w:w="5700" w:type="dxa"/>
            <w:vAlign w:val="bottom"/>
            <w:gridSpan w:val="3"/>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increase in net assets resulting from operations</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20" w:type="dxa"/>
            <w:vAlign w:val="bottom"/>
            <w:shd w:val="clear" w:color="auto" w:fill="CCEEFF"/>
          </w:tcPr>
          <w:p>
            <w:pPr>
              <w:spacing w:after="0"/>
              <w:rPr>
                <w:sz w:val="20"/>
                <w:szCs w:val="20"/>
                <w:color w:val="auto"/>
              </w:rPr>
            </w:pPr>
          </w:p>
        </w:tc>
        <w:tc>
          <w:tcPr>
            <w:tcW w:w="5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 net cash provided by (used in) operating activities:</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realized gain on investments</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(13,218,403)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(7,931,745)</w:t>
            </w:r>
          </w:p>
        </w:tc>
      </w:tr>
      <w:tr>
        <w:trPr>
          <w:trHeight w:val="216"/>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unrealized (appreciation) depreciation on investments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(27,784,081)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3,073,679</w:t>
            </w:r>
          </w:p>
        </w:tc>
      </w:tr>
      <w:tr>
        <w:trPr>
          <w:trHeight w:val="216"/>
        </w:trPr>
        <w:tc>
          <w:tcPr>
            <w:tcW w:w="20" w:type="dxa"/>
            <w:vAlign w:val="bottom"/>
          </w:tcPr>
          <w:p>
            <w:pPr>
              <w:spacing w:after="0"/>
              <w:rPr>
                <w:sz w:val="18"/>
                <w:szCs w:val="18"/>
                <w:color w:val="auto"/>
              </w:rPr>
            </w:pPr>
          </w:p>
        </w:tc>
        <w:tc>
          <w:tcPr>
            <w:tcW w:w="5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on fair value adjustment for embedded derivative</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(620,000)</w:t>
            </w:r>
          </w:p>
        </w:tc>
      </w:tr>
      <w:tr>
        <w:trPr>
          <w:trHeight w:val="216"/>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11,544,456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(29,365)</w:t>
            </w:r>
          </w:p>
        </w:tc>
      </w:tr>
      <w:tr>
        <w:trPr>
          <w:trHeight w:val="216"/>
        </w:trPr>
        <w:tc>
          <w:tcPr>
            <w:tcW w:w="20" w:type="dxa"/>
            <w:vAlign w:val="bottom"/>
          </w:tcPr>
          <w:p>
            <w:pPr>
              <w:spacing w:after="0"/>
              <w:rPr>
                <w:sz w:val="18"/>
                <w:szCs w:val="18"/>
                <w:color w:val="auto"/>
              </w:rPr>
            </w:pPr>
          </w:p>
        </w:tc>
        <w:tc>
          <w:tcPr>
            <w:tcW w:w="5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discount on senior convertible notes</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32,425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234,755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251,589</w:t>
            </w:r>
          </w:p>
        </w:tc>
      </w:tr>
      <w:tr>
        <w:trPr>
          <w:trHeight w:val="216"/>
        </w:trPr>
        <w:tc>
          <w:tcPr>
            <w:tcW w:w="20" w:type="dxa"/>
            <w:vAlign w:val="bottom"/>
          </w:tcPr>
          <w:p>
            <w:pPr>
              <w:spacing w:after="0"/>
              <w:rPr>
                <w:sz w:val="18"/>
                <w:szCs w:val="18"/>
                <w:color w:val="auto"/>
              </w:rPr>
            </w:pPr>
          </w:p>
        </w:tc>
        <w:tc>
          <w:tcPr>
            <w:tcW w:w="5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fixed income security premiums and discounts</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investments in:</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Portfolio investments</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(8,990,125)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(21,929,081)</w:t>
            </w:r>
          </w:p>
        </w:tc>
      </w:tr>
      <w:tr>
        <w:trPr>
          <w:trHeight w:val="216"/>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United States treasury bill</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(100,013,333)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sales or maturity of investments in:</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Portfolio investments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19,558,200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14,132,278</w:t>
            </w:r>
          </w:p>
        </w:tc>
      </w:tr>
      <w:tr>
        <w:trPr>
          <w:trHeight w:val="216"/>
        </w:trPr>
        <w:tc>
          <w:tcPr>
            <w:tcW w:w="20" w:type="dxa"/>
            <w:vAlign w:val="bottom"/>
          </w:tcPr>
          <w:p>
            <w:pPr>
              <w:spacing w:after="0"/>
              <w:rPr>
                <w:sz w:val="18"/>
                <w:szCs w:val="18"/>
                <w:color w:val="auto"/>
              </w:rPr>
            </w:pPr>
          </w:p>
        </w:tc>
        <w:tc>
          <w:tcPr>
            <w:tcW w:w="56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Treasuries strips</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1,816,000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1,790,785</w:t>
            </w:r>
          </w:p>
        </w:tc>
      </w:tr>
      <w:tr>
        <w:trPr>
          <w:trHeight w:val="216"/>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United States treasury bill</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 with Broker</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(10,000,000)</w:t>
            </w:r>
          </w:p>
        </w:tc>
      </w:tr>
      <w:tr>
        <w:trPr>
          <w:trHeight w:val="257"/>
        </w:trPr>
        <w:tc>
          <w:tcPr>
            <w:tcW w:w="20" w:type="dxa"/>
            <w:vAlign w:val="bottom"/>
          </w:tcPr>
          <w:p>
            <w:pPr>
              <w:spacing w:after="0"/>
              <w:rPr>
                <w:sz w:val="22"/>
                <w:szCs w:val="22"/>
                <w:color w:val="auto"/>
              </w:rPr>
            </w:pPr>
          </w:p>
        </w:tc>
        <w:tc>
          <w:tcPr>
            <w:tcW w:w="56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Due from GSV Asset Management</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98,981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3,039</w:t>
            </w:r>
          </w:p>
        </w:tc>
      </w:tr>
      <w:tr>
        <w:trPr>
          <w:trHeight w:val="216"/>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from portfolio companies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12,374</w:t>
            </w:r>
          </w:p>
        </w:tc>
      </w:tr>
      <w:tr>
        <w:trPr>
          <w:trHeight w:val="216"/>
        </w:trPr>
        <w:tc>
          <w:tcPr>
            <w:tcW w:w="20" w:type="dxa"/>
            <w:vAlign w:val="bottom"/>
          </w:tcPr>
          <w:p>
            <w:pPr>
              <w:spacing w:after="0"/>
              <w:rPr>
                <w:sz w:val="18"/>
                <w:szCs w:val="18"/>
                <w:color w:val="auto"/>
              </w:rPr>
            </w:pPr>
          </w:p>
        </w:tc>
        <w:tc>
          <w:tcPr>
            <w:tcW w:w="5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47,575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(45,221)</w:t>
            </w:r>
          </w:p>
        </w:tc>
      </w:tr>
      <w:tr>
        <w:trPr>
          <w:trHeight w:val="216"/>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dividends receivable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(37,118)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(9,006)</w:t>
            </w:r>
          </w:p>
        </w:tc>
      </w:tr>
      <w:tr>
        <w:trPr>
          <w:trHeight w:val="257"/>
        </w:trPr>
        <w:tc>
          <w:tcPr>
            <w:tcW w:w="20" w:type="dxa"/>
            <w:vAlign w:val="bottom"/>
          </w:tcPr>
          <w:p>
            <w:pPr>
              <w:spacing w:after="0"/>
              <w:rPr>
                <w:sz w:val="22"/>
                <w:szCs w:val="22"/>
                <w:color w:val="auto"/>
              </w:rPr>
            </w:pPr>
          </w:p>
        </w:tc>
        <w:tc>
          <w:tcPr>
            <w:tcW w:w="56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Due to GSV Asset Management</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6,859</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39,221</w:t>
            </w:r>
          </w:p>
        </w:tc>
      </w:tr>
      <w:tr>
        <w:trPr>
          <w:trHeight w:val="216"/>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Payable for securities purchased</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(488,359)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(108,038)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(14,991)</w:t>
            </w:r>
          </w:p>
        </w:tc>
      </w:tr>
      <w:tr>
        <w:trPr>
          <w:trHeight w:val="257"/>
        </w:trPr>
        <w:tc>
          <w:tcPr>
            <w:tcW w:w="20" w:type="dxa"/>
            <w:vAlign w:val="bottom"/>
            <w:shd w:val="clear" w:color="auto" w:fill="CCEEFF"/>
          </w:tcPr>
          <w:p>
            <w:pPr>
              <w:spacing w:after="0"/>
              <w:rPr>
                <w:sz w:val="22"/>
                <w:szCs w:val="22"/>
                <w:color w:val="auto"/>
              </w:rPr>
            </w:pPr>
          </w:p>
        </w:tc>
        <w:tc>
          <w:tcPr>
            <w:tcW w:w="568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Accrued incentive fees</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8,211,728</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969,652</w:t>
            </w:r>
          </w:p>
        </w:tc>
      </w:tr>
      <w:tr>
        <w:trPr>
          <w:trHeight w:val="257"/>
        </w:trPr>
        <w:tc>
          <w:tcPr>
            <w:tcW w:w="20" w:type="dxa"/>
            <w:vAlign w:val="bottom"/>
          </w:tcPr>
          <w:p>
            <w:pPr>
              <w:spacing w:after="0"/>
              <w:rPr>
                <w:sz w:val="22"/>
                <w:szCs w:val="22"/>
                <w:color w:val="auto"/>
              </w:rPr>
            </w:pPr>
          </w:p>
        </w:tc>
        <w:tc>
          <w:tcPr>
            <w:tcW w:w="56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Accrued management fees</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(988,520)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(885,500)</w:t>
            </w:r>
          </w:p>
        </w:tc>
      </w:tr>
      <w:tr>
        <w:trPr>
          <w:trHeight w:val="20"/>
        </w:trPr>
        <w:tc>
          <w:tcPr>
            <w:tcW w:w="2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6,580,036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(21,112,588)</w:t>
            </w:r>
          </w:p>
        </w:tc>
      </w:tr>
      <w:tr>
        <w:trPr>
          <w:trHeight w:val="210"/>
        </w:trPr>
        <w:tc>
          <w:tcPr>
            <w:tcW w:w="5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Borrowings under credit facility</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18,000,000</w:t>
            </w:r>
          </w:p>
        </w:tc>
      </w:tr>
      <w:tr>
        <w:trPr>
          <w:trHeight w:val="216"/>
        </w:trPr>
        <w:tc>
          <w:tcPr>
            <w:tcW w:w="5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under credit facility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Deferred offering costs</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(43,575)</w:t>
            </w:r>
          </w:p>
        </w:tc>
      </w:tr>
      <w:tr>
        <w:trPr>
          <w:trHeight w:val="216"/>
        </w:trPr>
        <w:tc>
          <w:tcPr>
            <w:tcW w:w="5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restricted cash</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r>
      <w:tr>
        <w:trPr>
          <w:trHeight w:val="20"/>
        </w:trPr>
        <w:tc>
          <w:tcPr>
            <w:tcW w:w="2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(1,992,292)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17,956,550</w:t>
            </w: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Increase (Decrease) in Cash Balance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4,587,744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(3,156,038)</w:t>
            </w:r>
          </w:p>
        </w:tc>
      </w:tr>
      <w:tr>
        <w:trPr>
          <w:trHeight w:val="216"/>
        </w:trPr>
        <w:tc>
          <w:tcPr>
            <w:tcW w:w="5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Balance at Beginning of Period</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3,472,880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7,219,203</w:t>
            </w: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Balance at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8,060,624</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4,063,165</w:t>
            </w:r>
          </w:p>
        </w:tc>
      </w:tr>
      <w:tr>
        <w:trPr>
          <w:trHeight w:val="210"/>
        </w:trPr>
        <w:tc>
          <w:tcPr>
            <w:tcW w:w="5700" w:type="dxa"/>
            <w:vAlign w:val="bottom"/>
            <w:tcBorders>
              <w:top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Non-Cash Operating Items</w:t>
            </w: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176"/>
        </w:trPr>
        <w:tc>
          <w:tcPr>
            <w:tcW w:w="570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Transactions in Investments in Portfolio Companies</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740" w:type="dxa"/>
            <w:vAlign w:val="bottom"/>
            <w:tcBorders>
              <w:top w:val="single" w:sz="8" w:color="auto"/>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Structured notes converted to convertible notes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609,683</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517,755</w:t>
            </w:r>
          </w:p>
        </w:tc>
      </w:tr>
      <w:tr>
        <w:trPr>
          <w:trHeight w:val="216"/>
        </w:trPr>
        <w:tc>
          <w:tcPr>
            <w:tcW w:w="5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shares converted to common shares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1,273,125</w:t>
            </w:r>
          </w:p>
        </w:tc>
      </w:tr>
      <w:tr>
        <w:trPr>
          <w:trHeight w:val="234"/>
        </w:trPr>
        <w:tc>
          <w:tcPr>
            <w:tcW w:w="5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2,357,323</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2,065,225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-2120900</wp:posOffset>
            </wp:positionV>
            <wp:extent cx="5213985"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-1280160</wp:posOffset>
            </wp:positionV>
            <wp:extent cx="521398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-705485</wp:posOffset>
            </wp:positionV>
            <wp:extent cx="521398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160020</wp:posOffset>
            </wp:positionV>
            <wp:extent cx="6172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This balance is a related party transaction. Refer to Note 2 for more detail.</w:t>
      </w:r>
    </w:p>
    <w:p>
      <w:pPr>
        <w:spacing w:after="0" w:line="200" w:lineRule="exact"/>
        <w:rPr>
          <w:sz w:val="20"/>
          <w:szCs w:val="20"/>
          <w:color w:val="auto"/>
        </w:rPr>
      </w:pPr>
    </w:p>
    <w:p>
      <w:pPr>
        <w:spacing w:after="0" w:line="34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i w:val="1"/>
          <w:iCs w:val="1"/>
          <w:color w:val="auto"/>
        </w:rPr>
        <w:t>See notes to the Condensed Consolidated Financial Statements</w:t>
      </w:r>
    </w:p>
    <w:p>
      <w:pPr>
        <w:spacing w:after="0" w:line="200" w:lineRule="exact"/>
        <w:rPr>
          <w:sz w:val="20"/>
          <w:szCs w:val="20"/>
          <w:color w:val="auto"/>
        </w:rPr>
      </w:pPr>
    </w:p>
    <w:p>
      <w:pPr>
        <w:spacing w:after="0" w:line="36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130" w:gutter="0" w:footer="0" w:header="0"/>
        </w:sectPr>
      </w:pPr>
    </w:p>
    <w:bookmarkStart w:id="6" w:name="page7"/>
    <w:bookmarkEnd w:id="6"/>
    <w:p>
      <w:pPr>
        <w:ind w:left="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March 31, 2015</w:t>
      </w:r>
    </w:p>
    <w:p>
      <w:pPr>
        <w:spacing w:after="0" w:line="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057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60" w:type="dxa"/>
            <w:vAlign w:val="bottom"/>
          </w:tcPr>
          <w:p>
            <w:pPr>
              <w:spacing w:after="0"/>
              <w:rPr>
                <w:sz w:val="13"/>
                <w:szCs w:val="13"/>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Headquarters/Industry</w:t>
            </w:r>
          </w:p>
        </w:tc>
        <w:tc>
          <w:tcPr>
            <w:tcW w:w="80" w:type="dxa"/>
            <w:vAlign w:val="bottom"/>
          </w:tcPr>
          <w:p>
            <w:pPr>
              <w:spacing w:after="0"/>
              <w:rPr>
                <w:sz w:val="13"/>
                <w:szCs w:val="13"/>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3"/>
                <w:szCs w:val="13"/>
                <w:color w:val="auto"/>
              </w:rPr>
            </w:pPr>
          </w:p>
        </w:tc>
        <w:tc>
          <w:tcPr>
            <w:tcW w:w="84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3"/>
                <w:szCs w:val="13"/>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73"/>
        </w:trPr>
        <w:tc>
          <w:tcPr>
            <w:tcW w:w="2660" w:type="dxa"/>
            <w:vAlign w:val="bottom"/>
            <w:tcBorders>
              <w:bottom w:val="single" w:sz="8" w:color="auto"/>
            </w:tcBorders>
            <w:gridSpan w:val="12"/>
            <w:vMerge w:val="continue"/>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56"/>
        </w:trPr>
        <w:tc>
          <w:tcPr>
            <w:tcW w:w="2660" w:type="dxa"/>
            <w:vAlign w:val="bottom"/>
            <w:gridSpan w:val="12"/>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Twitter,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San Francisco, CA Social</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Communication</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1,200,600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$21,213,458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$60,126,048</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19.87%</w:t>
            </w:r>
          </w:p>
        </w:tc>
        <w:tc>
          <w:tcPr>
            <w:tcW w:w="0" w:type="dxa"/>
            <w:vAlign w:val="bottom"/>
          </w:tcPr>
          <w:p>
            <w:pPr>
              <w:spacing w:after="0"/>
              <w:rPr>
                <w:sz w:val="1"/>
                <w:szCs w:val="1"/>
                <w:color w:val="auto"/>
              </w:rPr>
            </w:pPr>
          </w:p>
        </w:tc>
      </w:tr>
      <w:tr>
        <w:trPr>
          <w:trHeight w:val="165"/>
        </w:trPr>
        <w:tc>
          <w:tcPr>
            <w:tcW w:w="2660" w:type="dxa"/>
            <w:vAlign w:val="bottom"/>
            <w:gridSpan w:val="1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Palantir Technologies,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Common shares, Class A</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Palo Alto, CA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Cyber Security</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5,773,690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16,191,055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43,880,044</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14.50%</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G</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326,797</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1,008,968</w:t>
            </w:r>
          </w:p>
        </w:tc>
        <w:tc>
          <w:tcPr>
            <w:tcW w:w="9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2,490,193</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0.82%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17,200,023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46,370,237</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15.32%</w:t>
            </w:r>
          </w:p>
        </w:tc>
        <w:tc>
          <w:tcPr>
            <w:tcW w:w="0" w:type="dxa"/>
            <w:vAlign w:val="bottom"/>
          </w:tcPr>
          <w:p>
            <w:pPr>
              <w:spacing w:after="0"/>
              <w:rPr>
                <w:sz w:val="1"/>
                <w:szCs w:val="1"/>
                <w:color w:val="auto"/>
              </w:rPr>
            </w:pPr>
          </w:p>
        </w:tc>
      </w:tr>
      <w:tr>
        <w:trPr>
          <w:trHeight w:val="196"/>
        </w:trPr>
        <w:tc>
          <w:tcPr>
            <w:tcW w:w="2660" w:type="dxa"/>
            <w:vAlign w:val="bottom"/>
            <w:gridSpan w:val="12"/>
            <w:shd w:val="clear" w:color="auto" w:fill="CCEEFF"/>
          </w:tcPr>
          <w:p>
            <w:pPr>
              <w:ind w:left="20"/>
              <w:spacing w:after="0" w:line="197" w:lineRule="exact"/>
              <w:rPr>
                <w:sz w:val="20"/>
                <w:szCs w:val="20"/>
                <w:color w:val="auto"/>
              </w:rPr>
            </w:pPr>
            <w:r>
              <w:rPr>
                <w:rFonts w:ascii="Times New Roman" w:cs="Times New Roman" w:eastAsia="Times New Roman" w:hAnsi="Times New Roman"/>
                <w:sz w:val="14"/>
                <w:szCs w:val="14"/>
                <w:b w:val="1"/>
                <w:bCs w:val="1"/>
                <w:color w:val="auto"/>
              </w:rPr>
              <w:t>2U, Inc. (f/k/a 2tor, Inc.)</w:t>
            </w:r>
            <w:r>
              <w:rPr>
                <w:rFonts w:ascii="Times New Roman" w:cs="Times New Roman" w:eastAsia="Times New Roman" w:hAnsi="Times New Roman"/>
                <w:sz w:val="22"/>
                <w:szCs w:val="22"/>
                <w:b w:val="1"/>
                <w:bCs w:val="1"/>
                <w:color w:val="auto"/>
                <w:vertAlign w:val="superscript"/>
              </w:rPr>
              <w:t>(9)</w:t>
            </w: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Landover, MD</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Online Education</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1,319,233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10,032,117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30,371,382</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10.04%</w:t>
            </w:r>
          </w:p>
        </w:tc>
        <w:tc>
          <w:tcPr>
            <w:tcW w:w="0" w:type="dxa"/>
            <w:vAlign w:val="bottom"/>
          </w:tcPr>
          <w:p>
            <w:pPr>
              <w:spacing w:after="0"/>
              <w:rPr>
                <w:sz w:val="1"/>
                <w:szCs w:val="1"/>
                <w:color w:val="auto"/>
              </w:rPr>
            </w:pPr>
          </w:p>
        </w:tc>
      </w:tr>
      <w:tr>
        <w:trPr>
          <w:trHeight w:val="165"/>
        </w:trPr>
        <w:tc>
          <w:tcPr>
            <w:tcW w:w="2660" w:type="dxa"/>
            <w:vAlign w:val="bottom"/>
            <w:gridSpan w:val="1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Dropbox,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San Francisco, CA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Online Storage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760,000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8,641,153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14,844,694</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4.91%</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A-1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552,486</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5,015,773</w:t>
            </w:r>
          </w:p>
        </w:tc>
        <w:tc>
          <w:tcPr>
            <w:tcW w:w="9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10,791,428</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13,656,926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25,636,122</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8.48%</w:t>
            </w:r>
          </w:p>
        </w:tc>
        <w:tc>
          <w:tcPr>
            <w:tcW w:w="0" w:type="dxa"/>
            <w:vAlign w:val="bottom"/>
          </w:tcPr>
          <w:p>
            <w:pPr>
              <w:spacing w:after="0"/>
              <w:rPr>
                <w:sz w:val="1"/>
                <w:szCs w:val="1"/>
                <w:color w:val="auto"/>
              </w:rPr>
            </w:pPr>
          </w:p>
        </w:tc>
      </w:tr>
      <w:tr>
        <w:trPr>
          <w:trHeight w:val="156"/>
        </w:trPr>
        <w:tc>
          <w:tcPr>
            <w:tcW w:w="2660" w:type="dxa"/>
            <w:vAlign w:val="bottom"/>
            <w:gridSpan w:val="12"/>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Coursera,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tcBorders>
              <w:top w:val="single" w:sz="8" w:color="auto"/>
              <w:right w:val="single" w:sz="8" w:color="CCEEFF"/>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Mountain View, CA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Online Education</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2,961,399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14,519,519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14,510,855</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4.80%</w:t>
            </w:r>
          </w:p>
        </w:tc>
        <w:tc>
          <w:tcPr>
            <w:tcW w:w="0" w:type="dxa"/>
            <w:vAlign w:val="bottom"/>
          </w:tcPr>
          <w:p>
            <w:pPr>
              <w:spacing w:after="0"/>
              <w:rPr>
                <w:sz w:val="1"/>
                <w:szCs w:val="1"/>
                <w:color w:val="auto"/>
              </w:rPr>
            </w:pPr>
          </w:p>
        </w:tc>
      </w:tr>
      <w:tr>
        <w:trPr>
          <w:trHeight w:val="165"/>
        </w:trPr>
        <w:tc>
          <w:tcPr>
            <w:tcW w:w="2660" w:type="dxa"/>
            <w:vAlign w:val="bottom"/>
            <w:gridSpan w:val="1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Solexel,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Preferred shares, Series C</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Milpitas, CA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Solar Power</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5,300,158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11,598,648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11,607,346</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D</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1,613,413</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2,419,911</w:t>
            </w:r>
          </w:p>
        </w:tc>
        <w:tc>
          <w:tcPr>
            <w:tcW w:w="9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2,420,120</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0.80%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14,018,559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14,027,466</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4.64%</w:t>
            </w:r>
          </w:p>
        </w:tc>
        <w:tc>
          <w:tcPr>
            <w:tcW w:w="0" w:type="dxa"/>
            <w:vAlign w:val="bottom"/>
          </w:tcPr>
          <w:p>
            <w:pPr>
              <w:spacing w:after="0"/>
              <w:rPr>
                <w:sz w:val="1"/>
                <w:szCs w:val="1"/>
                <w:color w:val="auto"/>
              </w:rPr>
            </w:pPr>
          </w:p>
        </w:tc>
      </w:tr>
      <w:tr>
        <w:trPr>
          <w:trHeight w:val="196"/>
        </w:trPr>
        <w:tc>
          <w:tcPr>
            <w:tcW w:w="2660" w:type="dxa"/>
            <w:vAlign w:val="bottom"/>
            <w:gridSpan w:val="12"/>
            <w:shd w:val="clear" w:color="auto" w:fill="CCEEFF"/>
          </w:tcPr>
          <w:p>
            <w:pPr>
              <w:ind w:left="20"/>
              <w:spacing w:after="0" w:line="197" w:lineRule="exact"/>
              <w:rPr>
                <w:sz w:val="20"/>
                <w:szCs w:val="20"/>
                <w:color w:val="auto"/>
              </w:rPr>
            </w:pPr>
            <w:r>
              <w:rPr>
                <w:rFonts w:ascii="Times New Roman" w:cs="Times New Roman" w:eastAsia="Times New Roman" w:hAnsi="Times New Roman"/>
                <w:sz w:val="14"/>
                <w:szCs w:val="14"/>
                <w:b w:val="1"/>
                <w:bCs w:val="1"/>
                <w:color w:val="auto"/>
              </w:rPr>
              <w:t>PayNearMe, Inc.</w:t>
            </w:r>
            <w:r>
              <w:rPr>
                <w:rFonts w:ascii="Times New Roman" w:cs="Times New Roman" w:eastAsia="Times New Roman" w:hAnsi="Times New Roman"/>
                <w:sz w:val="22"/>
                <w:szCs w:val="22"/>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Preferred shares, Series E</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Sunnyvale, CA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Cash Payment Network</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5,480,348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14,000,398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13,974,887</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4.62%</w:t>
            </w:r>
          </w:p>
        </w:tc>
        <w:tc>
          <w:tcPr>
            <w:tcW w:w="0" w:type="dxa"/>
            <w:vAlign w:val="bottom"/>
          </w:tcPr>
          <w:p>
            <w:pPr>
              <w:spacing w:after="0"/>
              <w:rPr>
                <w:sz w:val="1"/>
                <w:szCs w:val="1"/>
                <w:color w:val="auto"/>
              </w:rPr>
            </w:pPr>
          </w:p>
        </w:tc>
      </w:tr>
      <w:tr>
        <w:trPr>
          <w:trHeight w:val="165"/>
        </w:trPr>
        <w:tc>
          <w:tcPr>
            <w:tcW w:w="2660" w:type="dxa"/>
            <w:vAlign w:val="bottom"/>
            <w:gridSpan w:val="1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Dataminr,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NY</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Social Media Analytics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904,977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2,063,356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8,941,173</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C</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301,369</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1,100,909</w:t>
            </w:r>
          </w:p>
        </w:tc>
        <w:tc>
          <w:tcPr>
            <w:tcW w:w="9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2,977,526</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0.98%</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3,164,265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11,918,699</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3.94%</w:t>
            </w:r>
          </w:p>
        </w:tc>
        <w:tc>
          <w:tcPr>
            <w:tcW w:w="0" w:type="dxa"/>
            <w:vAlign w:val="bottom"/>
          </w:tcPr>
          <w:p>
            <w:pPr>
              <w:spacing w:after="0"/>
              <w:rPr>
                <w:sz w:val="1"/>
                <w:szCs w:val="1"/>
                <w:color w:val="auto"/>
              </w:rPr>
            </w:pPr>
          </w:p>
        </w:tc>
      </w:tr>
      <w:tr>
        <w:trPr>
          <w:trHeight w:val="156"/>
        </w:trPr>
        <w:tc>
          <w:tcPr>
            <w:tcW w:w="2660" w:type="dxa"/>
            <w:vAlign w:val="bottom"/>
            <w:gridSpan w:val="12"/>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SugarCRM,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tcBorders>
              <w:top w:val="single" w:sz="8" w:color="auto"/>
              <w:right w:val="single" w:sz="8" w:color="CCEEFF"/>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Cupertino, CA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Customer Relationship</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Manager</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1,899,799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6,799,552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9,650,979</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373,134</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1,500,522</w:t>
            </w:r>
          </w:p>
        </w:tc>
        <w:tc>
          <w:tcPr>
            <w:tcW w:w="9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2,205,353</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0.73%</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8,300,074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11,856,332</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3.92%</w:t>
            </w:r>
          </w:p>
        </w:tc>
        <w:tc>
          <w:tcPr>
            <w:tcW w:w="0" w:type="dxa"/>
            <w:vAlign w:val="bottom"/>
          </w:tcPr>
          <w:p>
            <w:pPr>
              <w:spacing w:after="0"/>
              <w:rPr>
                <w:sz w:val="1"/>
                <w:szCs w:val="1"/>
                <w:color w:val="auto"/>
              </w:rPr>
            </w:pPr>
          </w:p>
        </w:tc>
      </w:tr>
      <w:tr>
        <w:trPr>
          <w:trHeight w:val="196"/>
        </w:trPr>
        <w:tc>
          <w:tcPr>
            <w:tcW w:w="2660" w:type="dxa"/>
            <w:vAlign w:val="bottom"/>
            <w:gridSpan w:val="12"/>
            <w:shd w:val="clear" w:color="auto" w:fill="CCEEFF"/>
          </w:tcPr>
          <w:p>
            <w:pPr>
              <w:ind w:left="20"/>
              <w:spacing w:after="0" w:line="197" w:lineRule="exact"/>
              <w:rPr>
                <w:sz w:val="20"/>
                <w:szCs w:val="20"/>
                <w:color w:val="auto"/>
              </w:rPr>
            </w:pPr>
            <w:r>
              <w:rPr>
                <w:rFonts w:ascii="Times New Roman" w:cs="Times New Roman" w:eastAsia="Times New Roman" w:hAnsi="Times New Roman"/>
                <w:sz w:val="14"/>
                <w:szCs w:val="14"/>
                <w:b w:val="1"/>
                <w:bCs w:val="1"/>
                <w:color w:val="auto"/>
              </w:rPr>
              <w:t>Avenues Global Holdings, LLC</w:t>
            </w:r>
            <w:r>
              <w:rPr>
                <w:rFonts w:ascii="Times New Roman" w:cs="Times New Roman" w:eastAsia="Times New Roman" w:hAnsi="Times New Roman"/>
                <w:sz w:val="22"/>
                <w:szCs w:val="22"/>
                <w:b w:val="1"/>
                <w:bCs w:val="1"/>
                <w:color w:val="auto"/>
                <w:vertAlign w:val="superscript"/>
              </w:rPr>
              <w:t>(3)</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Preferred shares, Junior Preferred</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NY</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Globally-focused Private</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School</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10,014,270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10,151,854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11,307,653</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3.74%</w:t>
            </w:r>
          </w:p>
        </w:tc>
        <w:tc>
          <w:tcPr>
            <w:tcW w:w="0" w:type="dxa"/>
            <w:vAlign w:val="bottom"/>
          </w:tcPr>
          <w:p>
            <w:pPr>
              <w:spacing w:after="0"/>
              <w:rPr>
                <w:sz w:val="1"/>
                <w:szCs w:val="1"/>
                <w:color w:val="auto"/>
              </w:rPr>
            </w:pPr>
          </w:p>
        </w:tc>
      </w:tr>
      <w:tr>
        <w:trPr>
          <w:trHeight w:val="165"/>
        </w:trPr>
        <w:tc>
          <w:tcPr>
            <w:tcW w:w="2660" w:type="dxa"/>
            <w:vAlign w:val="bottom"/>
            <w:gridSpan w:val="1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Lyft,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Preferred shares, Series D</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San Francisco, CA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Peer to Peer Ridesharing</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493,490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5,003,631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8,660,750</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128,563</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2,503,585</w:t>
            </w:r>
          </w:p>
        </w:tc>
        <w:tc>
          <w:tcPr>
            <w:tcW w:w="9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2,499,985</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0.83%</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7,507,216</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11,160,735</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-5325110</wp:posOffset>
            </wp:positionV>
            <wp:extent cx="5213985"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-4253230</wp:posOffset>
            </wp:positionV>
            <wp:extent cx="5213985"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-3206750</wp:posOffset>
            </wp:positionV>
            <wp:extent cx="5213985"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-2134870</wp:posOffset>
            </wp:positionV>
            <wp:extent cx="5213985"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-1345565</wp:posOffset>
            </wp:positionV>
            <wp:extent cx="5213985"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-145415</wp:posOffset>
            </wp:positionV>
            <wp:extent cx="5213985"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i w:val="1"/>
          <w:iCs w:val="1"/>
          <w:color w:val="auto"/>
        </w:rPr>
        <w:t>See notes to the Condensed Consolidated Financial Statements</w:t>
      </w:r>
    </w:p>
    <w:p>
      <w:pPr>
        <w:spacing w:after="0" w:line="200" w:lineRule="exact"/>
        <w:rPr>
          <w:sz w:val="20"/>
          <w:szCs w:val="20"/>
          <w:color w:val="auto"/>
        </w:rPr>
      </w:pPr>
    </w:p>
    <w:p>
      <w:pPr>
        <w:spacing w:after="0" w:line="36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7" w:name="page8"/>
    <w:bookmarkEnd w:id="7"/>
    <w:p>
      <w:pPr>
        <w:ind w:left="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 (Continued)</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March 31, 2015</w:t>
      </w:r>
    </w:p>
    <w:p>
      <w:pPr>
        <w:spacing w:after="0" w:line="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1"/>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60" w:type="dxa"/>
            <w:vAlign w:val="bottom"/>
          </w:tcPr>
          <w:p>
            <w:pPr>
              <w:spacing w:after="0"/>
              <w:rPr>
                <w:sz w:val="13"/>
                <w:szCs w:val="13"/>
                <w:color w:val="auto"/>
              </w:rPr>
            </w:pPr>
          </w:p>
        </w:tc>
        <w:tc>
          <w:tcPr>
            <w:tcW w:w="20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Headquarters/Industry</w:t>
            </w:r>
          </w:p>
        </w:tc>
        <w:tc>
          <w:tcPr>
            <w:tcW w:w="8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3"/>
                <w:szCs w:val="13"/>
                <w:color w:val="auto"/>
              </w:rPr>
            </w:pPr>
          </w:p>
        </w:tc>
        <w:tc>
          <w:tcPr>
            <w:tcW w:w="8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3"/>
                <w:szCs w:val="13"/>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73"/>
        </w:trPr>
        <w:tc>
          <w:tcPr>
            <w:tcW w:w="2660" w:type="dxa"/>
            <w:vAlign w:val="bottom"/>
            <w:gridSpan w:val="11"/>
            <w:vMerge w:val="continue"/>
          </w:tcPr>
          <w:p>
            <w:pPr>
              <w:spacing w:after="0"/>
              <w:rPr>
                <w:sz w:val="15"/>
                <w:szCs w:val="15"/>
                <w:color w:val="auto"/>
              </w:rPr>
            </w:pPr>
          </w:p>
        </w:tc>
        <w:tc>
          <w:tcPr>
            <w:tcW w:w="60" w:type="dxa"/>
            <w:vAlign w:val="bottom"/>
          </w:tcPr>
          <w:p>
            <w:pPr>
              <w:spacing w:after="0"/>
              <w:rPr>
                <w:sz w:val="15"/>
                <w:szCs w:val="15"/>
                <w:color w:val="auto"/>
              </w:rPr>
            </w:pPr>
          </w:p>
        </w:tc>
        <w:tc>
          <w:tcPr>
            <w:tcW w:w="2080" w:type="dxa"/>
            <w:vAlign w:val="bottom"/>
            <w:gridSpan w:val="3"/>
            <w:vMerge w:val="continue"/>
          </w:tcPr>
          <w:p>
            <w:pPr>
              <w:spacing w:after="0"/>
              <w:rPr>
                <w:sz w:val="15"/>
                <w:szCs w:val="15"/>
                <w:color w:val="auto"/>
              </w:rPr>
            </w:pP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96"/>
        </w:trPr>
        <w:tc>
          <w:tcPr>
            <w:tcW w:w="2660" w:type="dxa"/>
            <w:vAlign w:val="bottom"/>
            <w:tcBorders>
              <w:top w:val="single" w:sz="8" w:color="auto"/>
            </w:tcBorders>
            <w:gridSpan w:val="11"/>
            <w:shd w:val="clear" w:color="auto" w:fill="CCEEFF"/>
          </w:tcPr>
          <w:p>
            <w:pPr>
              <w:ind w:left="20"/>
              <w:spacing w:after="0" w:line="197" w:lineRule="exact"/>
              <w:rPr>
                <w:sz w:val="20"/>
                <w:szCs w:val="20"/>
                <w:color w:val="auto"/>
              </w:rPr>
            </w:pPr>
            <w:r>
              <w:rPr>
                <w:rFonts w:ascii="Times New Roman" w:cs="Times New Roman" w:eastAsia="Times New Roman" w:hAnsi="Times New Roman"/>
                <w:sz w:val="14"/>
                <w:szCs w:val="14"/>
                <w:b w:val="1"/>
                <w:bCs w:val="1"/>
                <w:color w:val="auto"/>
              </w:rPr>
              <w:t>Ozy Media, Inc.</w:t>
            </w:r>
            <w:r>
              <w:rPr>
                <w:rFonts w:ascii="Times New Roman" w:cs="Times New Roman" w:eastAsia="Times New Roman" w:hAnsi="Times New Roman"/>
                <w:sz w:val="22"/>
                <w:szCs w:val="22"/>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1"/>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w w:val="99"/>
              </w:rPr>
              <w:t>Mountain View,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Daily News and</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rPr>
              <w:t>Information Site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922,509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$ 4,999,999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$ 5,018,586</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206"/>
        </w:trPr>
        <w:tc>
          <w:tcPr>
            <w:tcW w:w="266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1,090,909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3,000,200</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4,178,181</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03"/>
        </w:trPr>
        <w:tc>
          <w:tcPr>
            <w:tcW w:w="2660" w:type="dxa"/>
            <w:vAlign w:val="bottom"/>
            <w:gridSpan w:val="11"/>
          </w:tcPr>
          <w:p>
            <w:pPr>
              <w:ind w:left="20"/>
              <w:spacing w:after="0"/>
              <w:rPr>
                <w:sz w:val="20"/>
                <w:szCs w:val="20"/>
                <w:color w:val="auto"/>
              </w:rPr>
            </w:pPr>
            <w:r>
              <w:rPr>
                <w:rFonts w:ascii="Times New Roman" w:cs="Times New Roman" w:eastAsia="Times New Roman" w:hAnsi="Times New Roman"/>
                <w:sz w:val="16"/>
                <w:szCs w:val="16"/>
                <w:color w:val="auto"/>
              </w:rPr>
              <w:t>Preferred shares, Series Seed</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1,700,000</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640" w:type="dxa"/>
            <w:vAlign w:val="bottom"/>
            <w:gridSpan w:val="10"/>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8,500,199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10,896,767</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196"/>
        </w:trPr>
        <w:tc>
          <w:tcPr>
            <w:tcW w:w="2660" w:type="dxa"/>
            <w:vAlign w:val="bottom"/>
            <w:tcBorders>
              <w:top w:val="single" w:sz="8" w:color="CCEEFF"/>
            </w:tcBorders>
            <w:gridSpan w:val="11"/>
          </w:tcPr>
          <w:p>
            <w:pPr>
              <w:ind w:left="20"/>
              <w:spacing w:after="0" w:line="197" w:lineRule="exact"/>
              <w:rPr>
                <w:sz w:val="20"/>
                <w:szCs w:val="20"/>
                <w:color w:val="auto"/>
              </w:rPr>
            </w:pPr>
            <w:r>
              <w:rPr>
                <w:rFonts w:ascii="Times New Roman" w:cs="Times New Roman" w:eastAsia="Times New Roman" w:hAnsi="Times New Roman"/>
                <w:sz w:val="14"/>
                <w:szCs w:val="14"/>
                <w:b w:val="1"/>
                <w:bCs w:val="1"/>
                <w:color w:val="auto"/>
              </w:rPr>
              <w:t>Declara, Inc.</w:t>
            </w:r>
            <w:r>
              <w:rPr>
                <w:rFonts w:ascii="Times New Roman" w:cs="Times New Roman" w:eastAsia="Times New Roman" w:hAnsi="Times New Roman"/>
                <w:sz w:val="22"/>
                <w:szCs w:val="22"/>
                <w:b w:val="1"/>
                <w:bCs w:val="1"/>
                <w:color w:val="auto"/>
                <w:vertAlign w:val="superscript"/>
              </w:rPr>
              <w:t>(1)</w:t>
            </w:r>
          </w:p>
        </w:tc>
        <w:tc>
          <w:tcPr>
            <w:tcW w:w="6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6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Palo Alto, CA</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Social Cognitive Learning</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5,358,195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9,999,999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10,019,825</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162"/>
        </w:trPr>
        <w:tc>
          <w:tcPr>
            <w:tcW w:w="2660" w:type="dxa"/>
            <w:vAlign w:val="bottom"/>
            <w:gridSpan w:val="11"/>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JAMF Holdings, Inc.</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6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Minneapolis, MN</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8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Mobile Device</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Management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73,440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9,999,928</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9,999,590</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203"/>
        </w:trPr>
        <w:tc>
          <w:tcPr>
            <w:tcW w:w="2660" w:type="dxa"/>
            <w:vAlign w:val="bottom"/>
            <w:gridSpan w:val="11"/>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Curious.com Inc.</w:t>
            </w:r>
            <w:r>
              <w:rPr>
                <w:rFonts w:ascii="Times New Roman" w:cs="Times New Roman" w:eastAsia="Times New Roman" w:hAnsi="Times New Roman"/>
                <w:sz w:val="23"/>
                <w:szCs w:val="23"/>
                <w:b w:val="1"/>
                <w:bCs w:val="1"/>
                <w:color w:val="auto"/>
                <w:vertAlign w:val="superscript"/>
              </w:rPr>
              <w:t>(1)</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6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Menlo Park, CA</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Online Education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2,839,861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10,000,003</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9,996,311</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162"/>
        </w:trPr>
        <w:tc>
          <w:tcPr>
            <w:tcW w:w="2660" w:type="dxa"/>
            <w:vAlign w:val="bottom"/>
            <w:gridSpan w:val="11"/>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Chegg, Inc.**</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Santa Clara, CA</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Textbook Rental</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1,182,792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14,022,863</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9,403,196</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3.11%</w:t>
            </w:r>
          </w:p>
        </w:tc>
        <w:tc>
          <w:tcPr>
            <w:tcW w:w="0" w:type="dxa"/>
            <w:vAlign w:val="bottom"/>
          </w:tcPr>
          <w:p>
            <w:pPr>
              <w:spacing w:after="0"/>
              <w:rPr>
                <w:sz w:val="1"/>
                <w:szCs w:val="1"/>
                <w:color w:val="auto"/>
              </w:rPr>
            </w:pPr>
          </w:p>
        </w:tc>
      </w:tr>
      <w:tr>
        <w:trPr>
          <w:trHeight w:val="203"/>
        </w:trPr>
        <w:tc>
          <w:tcPr>
            <w:tcW w:w="2660" w:type="dxa"/>
            <w:vAlign w:val="bottom"/>
            <w:gridSpan w:val="11"/>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StormWind, LLC</w:t>
            </w:r>
            <w:r>
              <w:rPr>
                <w:rFonts w:ascii="Times New Roman" w:cs="Times New Roman" w:eastAsia="Times New Roman" w:hAnsi="Times New Roman"/>
                <w:sz w:val="23"/>
                <w:szCs w:val="23"/>
                <w:b w:val="1"/>
                <w:bCs w:val="1"/>
                <w:color w:val="auto"/>
                <w:vertAlign w:val="superscript"/>
              </w:rPr>
              <w:t>(2)(5)</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6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Scottsdale, AZ</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Interactive Learning</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3,279,629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2,019,687</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4,361,907</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03"/>
        </w:trPr>
        <w:tc>
          <w:tcPr>
            <w:tcW w:w="2660" w:type="dxa"/>
            <w:vAlign w:val="bottom"/>
            <w:gridSpan w:val="11"/>
          </w:tcPr>
          <w:p>
            <w:pPr>
              <w:ind w:left="20"/>
              <w:spacing w:after="0"/>
              <w:rPr>
                <w:sz w:val="20"/>
                <w:szCs w:val="20"/>
                <w:color w:val="auto"/>
              </w:rPr>
            </w:pPr>
            <w:r>
              <w:rPr>
                <w:rFonts w:ascii="Times New Roman" w:cs="Times New Roman" w:eastAsia="Times New Roman" w:hAnsi="Times New Roman"/>
                <w:sz w:val="16"/>
                <w:szCs w:val="16"/>
                <w:color w:val="auto"/>
              </w:rPr>
              <w:t>Preferred shares, Series C</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2,779,134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4,000,787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4,331,940</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03"/>
        </w:trPr>
        <w:tc>
          <w:tcPr>
            <w:tcW w:w="266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366,666</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110,000</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485,832</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0"/>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6,130,474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9,179,679</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156"/>
        </w:trPr>
        <w:tc>
          <w:tcPr>
            <w:tcW w:w="2660" w:type="dxa"/>
            <w:vAlign w:val="bottom"/>
            <w:gridSpan w:val="11"/>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Lytro,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1"/>
          </w:tcPr>
          <w:p>
            <w:pPr>
              <w:ind w:left="20"/>
              <w:spacing w:after="0"/>
              <w:rPr>
                <w:sz w:val="20"/>
                <w:szCs w:val="20"/>
                <w:color w:val="auto"/>
              </w:rPr>
            </w:pPr>
            <w:r>
              <w:rPr>
                <w:rFonts w:ascii="Times New Roman" w:cs="Times New Roman" w:eastAsia="Times New Roman" w:hAnsi="Times New Roman"/>
                <w:sz w:val="16"/>
                <w:szCs w:val="16"/>
                <w:color w:val="auto"/>
              </w:rPr>
              <w:t>Preferred shares, Series C-1</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w w:val="99"/>
              </w:rPr>
              <w:t>Mountain View,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Consumer Electronics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2,533,784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7,500,001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7,493,970</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165"/>
        </w:trPr>
        <w:tc>
          <w:tcPr>
            <w:tcW w:w="2660" w:type="dxa"/>
            <w:vAlign w:val="bottom"/>
            <w:gridSpan w:val="11"/>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General Assembly Space,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1"/>
          </w:tcPr>
          <w:p>
            <w:pPr>
              <w:ind w:left="20"/>
              <w:spacing w:after="0"/>
              <w:rPr>
                <w:sz w:val="20"/>
                <w:szCs w:val="20"/>
                <w:color w:val="auto"/>
              </w:rPr>
            </w:pPr>
            <w:r>
              <w:rPr>
                <w:rFonts w:ascii="Times New Roman" w:cs="Times New Roman" w:eastAsia="Times New Roman" w:hAnsi="Times New Roman"/>
                <w:sz w:val="16"/>
                <w:szCs w:val="16"/>
                <w:color w:val="auto"/>
              </w:rPr>
              <w:t>Preferred shares, Series C</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w w:val="99"/>
              </w:rPr>
              <w:t>New York, NY</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rPr>
              <w:t>Online Education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126,552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2,999,978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3,146,591</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06"/>
        </w:trPr>
        <w:tc>
          <w:tcPr>
            <w:tcW w:w="266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133,213</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2,999,983</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2,999,957</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0.99%</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0"/>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5,999,961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6,146,548</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196"/>
        </w:trPr>
        <w:tc>
          <w:tcPr>
            <w:tcW w:w="2660" w:type="dxa"/>
            <w:vAlign w:val="bottom"/>
            <w:gridSpan w:val="11"/>
            <w:shd w:val="clear" w:color="auto" w:fill="CCEEFF"/>
          </w:tcPr>
          <w:p>
            <w:pPr>
              <w:ind w:left="20"/>
              <w:spacing w:after="0" w:line="197" w:lineRule="exact"/>
              <w:rPr>
                <w:sz w:val="20"/>
                <w:szCs w:val="20"/>
                <w:color w:val="auto"/>
              </w:rPr>
            </w:pPr>
            <w:r>
              <w:rPr>
                <w:rFonts w:ascii="Times New Roman" w:cs="Times New Roman" w:eastAsia="Times New Roman" w:hAnsi="Times New Roman"/>
                <w:sz w:val="14"/>
                <w:szCs w:val="14"/>
                <w:b w:val="1"/>
                <w:bCs w:val="1"/>
                <w:color w:val="auto"/>
              </w:rPr>
              <w:t>Fullbridge, Inc.</w:t>
            </w:r>
            <w:r>
              <w:rPr>
                <w:rFonts w:ascii="Times New Roman" w:cs="Times New Roman" w:eastAsia="Times New Roman" w:hAnsi="Times New Roman"/>
                <w:sz w:val="22"/>
                <w:szCs w:val="22"/>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1"/>
          </w:tcPr>
          <w:p>
            <w:pPr>
              <w:ind w:left="20"/>
              <w:spacing w:after="0"/>
              <w:rPr>
                <w:sz w:val="20"/>
                <w:szCs w:val="20"/>
                <w:color w:val="auto"/>
              </w:rPr>
            </w:pPr>
            <w:r>
              <w:rPr>
                <w:rFonts w:ascii="Times New Roman" w:cs="Times New Roman" w:eastAsia="Times New Roman" w:hAnsi="Times New Roman"/>
                <w:sz w:val="16"/>
                <w:szCs w:val="16"/>
                <w:color w:val="auto"/>
              </w:rPr>
              <w:t>Preferred shares, Series D</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rPr>
              <w:t>Cambridge, MA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Business Education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1,655,167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2,956,022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3,111,714</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06"/>
        </w:trPr>
        <w:tc>
          <w:tcPr>
            <w:tcW w:w="266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C</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1,728,724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3,193,444</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1,625,001</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0.54%</w:t>
            </w:r>
          </w:p>
        </w:tc>
        <w:tc>
          <w:tcPr>
            <w:tcW w:w="0" w:type="dxa"/>
            <w:vAlign w:val="bottom"/>
          </w:tcPr>
          <w:p>
            <w:pPr>
              <w:spacing w:after="0"/>
              <w:rPr>
                <w:sz w:val="1"/>
                <w:szCs w:val="1"/>
                <w:color w:val="auto"/>
              </w:rPr>
            </w:pPr>
          </w:p>
        </w:tc>
      </w:tr>
      <w:tr>
        <w:trPr>
          <w:trHeight w:val="189"/>
        </w:trPr>
        <w:tc>
          <w:tcPr>
            <w:tcW w:w="2660" w:type="dxa"/>
            <w:vAlign w:val="bottom"/>
            <w:gridSpan w:val="11"/>
          </w:tcPr>
          <w:p>
            <w:pPr>
              <w:ind w:left="20"/>
              <w:spacing w:after="0"/>
              <w:rPr>
                <w:sz w:val="20"/>
                <w:szCs w:val="20"/>
                <w:color w:val="auto"/>
              </w:rPr>
            </w:pPr>
            <w:r>
              <w:rPr>
                <w:rFonts w:ascii="Times New Roman" w:cs="Times New Roman" w:eastAsia="Times New Roman" w:hAnsi="Times New Roman"/>
                <w:sz w:val="16"/>
                <w:szCs w:val="16"/>
                <w:color w:val="auto"/>
              </w:rPr>
              <w:t>Convertible Promissory Note 10% Due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1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03/02/16***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1,030,507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980,395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980,395</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192"/>
        </w:trPr>
        <w:tc>
          <w:tcPr>
            <w:tcW w:w="266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Warrants – Strike Price $0.91,</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640" w:type="dxa"/>
            <w:vAlign w:val="bottom"/>
            <w:gridSpan w:val="10"/>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Expiration Date 2/18/2019</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714,286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90,242</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21,429</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189"/>
        </w:trPr>
        <w:tc>
          <w:tcPr>
            <w:tcW w:w="2660" w:type="dxa"/>
            <w:vAlign w:val="bottom"/>
            <w:gridSpan w:val="11"/>
          </w:tcPr>
          <w:p>
            <w:pPr>
              <w:ind w:left="20"/>
              <w:spacing w:after="0"/>
              <w:rPr>
                <w:sz w:val="20"/>
                <w:szCs w:val="20"/>
                <w:color w:val="auto"/>
              </w:rPr>
            </w:pPr>
            <w:r>
              <w:rPr>
                <w:rFonts w:ascii="Times New Roman" w:cs="Times New Roman" w:eastAsia="Times New Roman" w:hAnsi="Times New Roman"/>
                <w:sz w:val="16"/>
                <w:szCs w:val="16"/>
                <w:color w:val="auto"/>
              </w:rPr>
              <w:t>Common Warrants – Strike Price $0.91,</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10"/>
          </w:tcPr>
          <w:p>
            <w:pPr>
              <w:ind w:left="180"/>
              <w:spacing w:after="0"/>
              <w:rPr>
                <w:sz w:val="20"/>
                <w:szCs w:val="20"/>
                <w:color w:val="auto"/>
              </w:rPr>
            </w:pPr>
            <w:r>
              <w:rPr>
                <w:rFonts w:ascii="Times New Roman" w:cs="Times New Roman" w:eastAsia="Times New Roman" w:hAnsi="Times New Roman"/>
                <w:sz w:val="16"/>
                <w:szCs w:val="16"/>
                <w:color w:val="auto"/>
              </w:rPr>
              <w:t>Expiration Date 4/03/2019</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412,088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52,063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12,363</w:t>
            </w: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66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Warrants – Strike Price $0.91,</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640" w:type="dxa"/>
            <w:vAlign w:val="bottom"/>
            <w:gridSpan w:val="10"/>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Expiration Date 3/02/2020</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283,106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35,767</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8,493</w:t>
            </w:r>
          </w:p>
        </w:tc>
        <w:tc>
          <w:tcPr>
            <w:tcW w:w="14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660" w:type="dxa"/>
            <w:vAlign w:val="bottom"/>
            <w:gridSpan w:val="11"/>
          </w:tcPr>
          <w:p>
            <w:pPr>
              <w:ind w:left="20"/>
              <w:spacing w:after="0"/>
              <w:rPr>
                <w:sz w:val="20"/>
                <w:szCs w:val="20"/>
                <w:color w:val="auto"/>
              </w:rPr>
            </w:pPr>
            <w:r>
              <w:rPr>
                <w:rFonts w:ascii="Times New Roman" w:cs="Times New Roman" w:eastAsia="Times New Roman" w:hAnsi="Times New Roman"/>
                <w:sz w:val="16"/>
                <w:szCs w:val="16"/>
                <w:color w:val="auto"/>
              </w:rPr>
              <w:t>Common Warrants – Strike Price $0.91,</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10"/>
          </w:tcPr>
          <w:p>
            <w:pPr>
              <w:ind w:left="180"/>
              <w:spacing w:after="0"/>
              <w:rPr>
                <w:sz w:val="20"/>
                <w:szCs w:val="20"/>
                <w:color w:val="auto"/>
              </w:rPr>
            </w:pPr>
            <w:r>
              <w:rPr>
                <w:rFonts w:ascii="Times New Roman" w:cs="Times New Roman" w:eastAsia="Times New Roman" w:hAnsi="Times New Roman"/>
                <w:sz w:val="16"/>
                <w:szCs w:val="16"/>
                <w:color w:val="auto"/>
              </w:rPr>
              <w:t>Expiration Date 5/16/2019</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192,308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24,296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5,769</w:t>
            </w: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66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Warrants – Strike Price $0.91,</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640" w:type="dxa"/>
            <w:vAlign w:val="bottom"/>
            <w:gridSpan w:val="10"/>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Expiration Date 3/22/2020</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186,170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23,521</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5,585</w:t>
            </w:r>
          </w:p>
        </w:tc>
        <w:tc>
          <w:tcPr>
            <w:tcW w:w="14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-5676265</wp:posOffset>
            </wp:positionV>
            <wp:extent cx="5213985"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-3275330</wp:posOffset>
            </wp:positionV>
            <wp:extent cx="5213985"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-2228850</wp:posOffset>
            </wp:positionV>
            <wp:extent cx="5213985"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i w:val="1"/>
          <w:iCs w:val="1"/>
          <w:color w:val="auto"/>
        </w:rPr>
        <w:t>See notes to the Condensed Consolidated Financial Statements</w:t>
      </w:r>
    </w:p>
    <w:p>
      <w:pPr>
        <w:spacing w:after="0" w:line="200" w:lineRule="exact"/>
        <w:rPr>
          <w:sz w:val="20"/>
          <w:szCs w:val="20"/>
          <w:color w:val="auto"/>
        </w:rPr>
      </w:pPr>
    </w:p>
    <w:p>
      <w:pPr>
        <w:spacing w:after="0" w:line="36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8" w:name="page9"/>
    <w:bookmarkEnd w:id="8"/>
    <w:p>
      <w:pPr>
        <w:ind w:left="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 (Continued)</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March 31, 2015</w:t>
      </w:r>
    </w:p>
    <w:p>
      <w:pPr>
        <w:spacing w:after="0" w:line="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9"/>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60" w:type="dxa"/>
            <w:vAlign w:val="bottom"/>
          </w:tcPr>
          <w:p>
            <w:pPr>
              <w:spacing w:after="0"/>
              <w:rPr>
                <w:sz w:val="13"/>
                <w:szCs w:val="13"/>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Headquarters/Industry</w:t>
            </w:r>
          </w:p>
        </w:tc>
        <w:tc>
          <w:tcPr>
            <w:tcW w:w="80" w:type="dxa"/>
            <w:vAlign w:val="bottom"/>
          </w:tcPr>
          <w:p>
            <w:pPr>
              <w:spacing w:after="0"/>
              <w:rPr>
                <w:sz w:val="13"/>
                <w:szCs w:val="13"/>
                <w:color w:val="auto"/>
              </w:rPr>
            </w:pP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73"/>
        </w:trPr>
        <w:tc>
          <w:tcPr>
            <w:tcW w:w="2660" w:type="dxa"/>
            <w:vAlign w:val="bottom"/>
            <w:tcBorders>
              <w:bottom w:val="single" w:sz="8" w:color="auto"/>
            </w:tcBorders>
            <w:gridSpan w:val="9"/>
            <w:vMerge w:val="continue"/>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82"/>
        </w:trPr>
        <w:tc>
          <w:tcPr>
            <w:tcW w:w="2660" w:type="dxa"/>
            <w:vAlign w:val="bottom"/>
            <w:gridSpan w:val="9"/>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color w:val="auto"/>
              </w:rPr>
              <w:t>Common Warrants – Strike Price $0.91,</w:t>
            </w:r>
          </w:p>
        </w:tc>
        <w:tc>
          <w:tcPr>
            <w:tcW w:w="6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tcBorders>
              <w:left w:val="single" w:sz="8" w:color="CCEEFF"/>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640" w:type="dxa"/>
            <w:vAlign w:val="bottom"/>
            <w:gridSpan w:val="8"/>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Expiration Date 10/10/2018</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82,418</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10,412</w:t>
            </w:r>
          </w:p>
        </w:tc>
        <w:tc>
          <w:tcPr>
            <w:tcW w:w="24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w:t>
            </w:r>
          </w:p>
        </w:tc>
        <w:tc>
          <w:tcPr>
            <w:tcW w:w="14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66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Common Warrants – Strike Price $0.91,</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8"/>
          </w:tcPr>
          <w:p>
            <w:pPr>
              <w:ind w:left="180"/>
              <w:spacing w:after="0"/>
              <w:rPr>
                <w:sz w:val="20"/>
                <w:szCs w:val="20"/>
                <w:color w:val="auto"/>
              </w:rPr>
            </w:pPr>
            <w:r>
              <w:rPr>
                <w:rFonts w:ascii="Times New Roman" w:cs="Times New Roman" w:eastAsia="Times New Roman" w:hAnsi="Times New Roman"/>
                <w:sz w:val="16"/>
                <w:szCs w:val="16"/>
                <w:color w:val="auto"/>
              </w:rPr>
              <w:t>Expiration Date 12/11/2018</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82,418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w:t>
            </w: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40" w:type="dxa"/>
            <w:vAlign w:val="bottom"/>
            <w:gridSpan w:val="8"/>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7,376,575</w:t>
            </w: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5,775,695</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gridSpan w:val="9"/>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Spotify Technology S.A.**</w:t>
            </w:r>
          </w:p>
        </w:tc>
        <w:tc>
          <w:tcPr>
            <w:tcW w:w="6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9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Stockholm, Sweden</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Music Streaming Service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3,598,472</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5,651,610</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03"/>
        </w:trPr>
        <w:tc>
          <w:tcPr>
            <w:tcW w:w="2660" w:type="dxa"/>
            <w:vAlign w:val="bottom"/>
            <w:gridSpan w:val="9"/>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Learnist Inc. (f/k/a Grockit, Inc.)</w:t>
            </w:r>
            <w:r>
              <w:rPr>
                <w:rFonts w:ascii="Times New Roman" w:cs="Times New Roman" w:eastAsia="Times New Roman" w:hAnsi="Times New Roman"/>
                <w:sz w:val="23"/>
                <w:szCs w:val="23"/>
                <w:b w:val="1"/>
                <w:bCs w:val="1"/>
                <w:color w:val="auto"/>
                <w:vertAlign w:val="superscript"/>
              </w:rPr>
              <w:t>(1)</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D</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San Francisco, CA</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Online Learning Platform</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2,728,252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2,005,945</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2,346,297</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0.78%</w:t>
            </w:r>
          </w:p>
        </w:tc>
        <w:tc>
          <w:tcPr>
            <w:tcW w:w="0" w:type="dxa"/>
            <w:vAlign w:val="bottom"/>
          </w:tcPr>
          <w:p>
            <w:pPr>
              <w:spacing w:after="0"/>
              <w:rPr>
                <w:sz w:val="1"/>
                <w:szCs w:val="1"/>
                <w:color w:val="auto"/>
              </w:rPr>
            </w:pPr>
          </w:p>
        </w:tc>
      </w:tr>
      <w:tr>
        <w:trPr>
          <w:trHeight w:val="203"/>
        </w:trPr>
        <w:tc>
          <w:tcPr>
            <w:tcW w:w="266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Preferred shares, Series E</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1,731,501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1,503,670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1,610,296</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0.53%</w:t>
            </w:r>
          </w:p>
        </w:tc>
        <w:tc>
          <w:tcPr>
            <w:tcW w:w="0" w:type="dxa"/>
            <w:vAlign w:val="bottom"/>
          </w:tcPr>
          <w:p>
            <w:pPr>
              <w:spacing w:after="0"/>
              <w:rPr>
                <w:sz w:val="1"/>
                <w:szCs w:val="1"/>
                <w:color w:val="auto"/>
              </w:rPr>
            </w:pPr>
          </w:p>
        </w:tc>
      </w:tr>
      <w:tr>
        <w:trPr>
          <w:trHeight w:val="203"/>
        </w:trPr>
        <w:tc>
          <w:tcPr>
            <w:tcW w:w="266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F</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1,242,928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1,450,000</w:t>
            </w: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1,441,309</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0.48%</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8"/>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4,959,615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5,397,902</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196"/>
        </w:trPr>
        <w:tc>
          <w:tcPr>
            <w:tcW w:w="2660" w:type="dxa"/>
            <w:vAlign w:val="bottom"/>
            <w:gridSpan w:val="9"/>
            <w:shd w:val="clear" w:color="auto" w:fill="CCEEFF"/>
          </w:tcPr>
          <w:p>
            <w:pPr>
              <w:ind w:left="20"/>
              <w:spacing w:after="0" w:line="197" w:lineRule="exact"/>
              <w:rPr>
                <w:sz w:val="20"/>
                <w:szCs w:val="20"/>
                <w:color w:val="auto"/>
              </w:rPr>
            </w:pPr>
            <w:r>
              <w:rPr>
                <w:rFonts w:ascii="Times New Roman" w:cs="Times New Roman" w:eastAsia="Times New Roman" w:hAnsi="Times New Roman"/>
                <w:sz w:val="14"/>
                <w:szCs w:val="14"/>
                <w:b w:val="1"/>
                <w:bCs w:val="1"/>
                <w:color w:val="auto"/>
              </w:rPr>
              <w:t>GSV Sustainability Partners</w:t>
            </w:r>
            <w:r>
              <w:rPr>
                <w:rFonts w:ascii="Times New Roman" w:cs="Times New Roman" w:eastAsia="Times New Roman" w:hAnsi="Times New Roman"/>
                <w:sz w:val="22"/>
                <w:szCs w:val="22"/>
                <w:b w:val="1"/>
                <w:bCs w:val="1"/>
                <w:color w:val="auto"/>
                <w:vertAlign w:val="superscript"/>
              </w:rPr>
              <w:t>(2)</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Preferred shares, Class A</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Woodside, CA</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Clean Technology</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10,700,000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5,351,412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5,350,000</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06"/>
        </w:trPr>
        <w:tc>
          <w:tcPr>
            <w:tcW w:w="266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40" w:type="dxa"/>
            <w:vAlign w:val="bottom"/>
            <w:tcBorders>
              <w:lef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8"/>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5,361,412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5,360,000</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156"/>
        </w:trPr>
        <w:tc>
          <w:tcPr>
            <w:tcW w:w="2660" w:type="dxa"/>
            <w:vAlign w:val="bottom"/>
            <w:gridSpan w:val="9"/>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Knewton,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Preferred shares, Series E</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NY</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Online Education</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375,985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4,999,999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5,000,601</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165"/>
        </w:trPr>
        <w:tc>
          <w:tcPr>
            <w:tcW w:w="2660" w:type="dxa"/>
            <w:vAlign w:val="bottom"/>
            <w:gridSpan w:val="9"/>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Course Hero,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Redwood City, CA</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Online Education</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2,145,509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5,000,001</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165"/>
        </w:trPr>
        <w:tc>
          <w:tcPr>
            <w:tcW w:w="2660" w:type="dxa"/>
            <w:vAlign w:val="bottom"/>
            <w:gridSpan w:val="9"/>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NestGSV, Inc. (d.b.a. GSV Labs,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(2)</w:t>
            </w: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left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left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6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Preferred shares, Series D</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Redwood City, CA</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Incubator</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1,845,420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2,404,499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2,460,560</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0.81%</w:t>
            </w:r>
          </w:p>
        </w:tc>
        <w:tc>
          <w:tcPr>
            <w:tcW w:w="0" w:type="dxa"/>
            <w:vAlign w:val="bottom"/>
          </w:tcPr>
          <w:p>
            <w:pPr>
              <w:spacing w:after="0"/>
              <w:rPr>
                <w:sz w:val="1"/>
                <w:szCs w:val="1"/>
                <w:color w:val="auto"/>
              </w:rPr>
            </w:pPr>
          </w:p>
        </w:tc>
      </w:tr>
      <w:tr>
        <w:trPr>
          <w:trHeight w:val="206"/>
        </w:trPr>
        <w:tc>
          <w:tcPr>
            <w:tcW w:w="266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C</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1,561,625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2,007,250</w:t>
            </w: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1,264,916</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0.42%</w:t>
            </w:r>
          </w:p>
        </w:tc>
        <w:tc>
          <w:tcPr>
            <w:tcW w:w="0" w:type="dxa"/>
            <w:vAlign w:val="bottom"/>
          </w:tcPr>
          <w:p>
            <w:pPr>
              <w:spacing w:after="0"/>
              <w:rPr>
                <w:sz w:val="1"/>
                <w:szCs w:val="1"/>
                <w:color w:val="auto"/>
              </w:rPr>
            </w:pPr>
          </w:p>
        </w:tc>
      </w:tr>
      <w:tr>
        <w:trPr>
          <w:trHeight w:val="203"/>
        </w:trPr>
        <w:tc>
          <w:tcPr>
            <w:tcW w:w="266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1,021,778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510,000</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203"/>
        </w:trPr>
        <w:tc>
          <w:tcPr>
            <w:tcW w:w="266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605,503</w:t>
            </w: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229,500</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189"/>
        </w:trPr>
        <w:tc>
          <w:tcPr>
            <w:tcW w:w="266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Preferred warrants, Series D – $1.33</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gridSpan w:val="8"/>
          </w:tcPr>
          <w:p>
            <w:pPr>
              <w:ind w:left="180"/>
              <w:spacing w:after="0"/>
              <w:rPr>
                <w:sz w:val="20"/>
                <w:szCs w:val="20"/>
                <w:color w:val="auto"/>
              </w:rPr>
            </w:pPr>
            <w:r>
              <w:rPr>
                <w:rFonts w:ascii="Times New Roman" w:cs="Times New Roman" w:eastAsia="Times New Roman" w:hAnsi="Times New Roman"/>
                <w:sz w:val="16"/>
                <w:szCs w:val="16"/>
                <w:color w:val="auto"/>
              </w:rPr>
              <w:t>Strike Price, Expiration Date</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10/6/2019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145,000</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06"/>
        </w:trPr>
        <w:tc>
          <w:tcPr>
            <w:tcW w:w="266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18,000</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189"/>
        </w:trPr>
        <w:tc>
          <w:tcPr>
            <w:tcW w:w="266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Preferred warrants, Series C – $1.33</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gridSpan w:val="8"/>
          </w:tcPr>
          <w:p>
            <w:pPr>
              <w:ind w:left="180"/>
              <w:spacing w:after="0"/>
              <w:rPr>
                <w:sz w:val="20"/>
                <w:szCs w:val="20"/>
                <w:color w:val="auto"/>
              </w:rPr>
            </w:pPr>
            <w:r>
              <w:rPr>
                <w:rFonts w:ascii="Times New Roman" w:cs="Times New Roman" w:eastAsia="Times New Roman" w:hAnsi="Times New Roman"/>
                <w:sz w:val="16"/>
                <w:szCs w:val="16"/>
                <w:color w:val="auto"/>
              </w:rPr>
              <w:t>Strike Price, Expiration Date</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4/9/2019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187,500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40" w:type="dxa"/>
            <w:vAlign w:val="bottom"/>
            <w:gridSpan w:val="8"/>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6,040,030</w:t>
            </w: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4,635,476</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196"/>
        </w:trPr>
        <w:tc>
          <w:tcPr>
            <w:tcW w:w="2660" w:type="dxa"/>
            <w:vAlign w:val="bottom"/>
            <w:tcBorders>
              <w:top w:val="single" w:sz="8" w:color="CCEEFF"/>
            </w:tcBorders>
            <w:gridSpan w:val="9"/>
          </w:tcPr>
          <w:p>
            <w:pPr>
              <w:ind w:left="20"/>
              <w:spacing w:after="0" w:line="197" w:lineRule="exact"/>
              <w:rPr>
                <w:sz w:val="20"/>
                <w:szCs w:val="20"/>
                <w:color w:val="auto"/>
              </w:rPr>
            </w:pPr>
            <w:r>
              <w:rPr>
                <w:rFonts w:ascii="Times New Roman" w:cs="Times New Roman" w:eastAsia="Times New Roman" w:hAnsi="Times New Roman"/>
                <w:sz w:val="14"/>
                <w:szCs w:val="14"/>
                <w:b w:val="1"/>
                <w:bCs w:val="1"/>
                <w:color w:val="auto"/>
              </w:rPr>
              <w:t>Whittle Schools, LLC</w:t>
            </w:r>
            <w:r>
              <w:rPr>
                <w:rFonts w:ascii="Times New Roman" w:cs="Times New Roman" w:eastAsia="Times New Roman" w:hAnsi="Times New Roman"/>
                <w:sz w:val="22"/>
                <w:szCs w:val="22"/>
                <w:b w:val="1"/>
                <w:bCs w:val="1"/>
                <w:color w:val="auto"/>
                <w:vertAlign w:val="superscript"/>
              </w:rPr>
              <w:t>(1)(4)</w:t>
            </w:r>
          </w:p>
        </w:tc>
        <w:tc>
          <w:tcPr>
            <w:tcW w:w="6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New York, NY</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Globally-focused Private</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School</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3,000,000</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3,000,000</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0.99%</w:t>
            </w:r>
          </w:p>
        </w:tc>
        <w:tc>
          <w:tcPr>
            <w:tcW w:w="0" w:type="dxa"/>
            <w:vAlign w:val="bottom"/>
          </w:tcPr>
          <w:p>
            <w:pPr>
              <w:spacing w:after="0"/>
              <w:rPr>
                <w:sz w:val="1"/>
                <w:szCs w:val="1"/>
                <w:color w:val="auto"/>
              </w:rPr>
            </w:pPr>
          </w:p>
        </w:tc>
      </w:tr>
      <w:tr>
        <w:trPr>
          <w:trHeight w:val="203"/>
        </w:trPr>
        <w:tc>
          <w:tcPr>
            <w:tcW w:w="266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1,577,097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640" w:type="dxa"/>
            <w:vAlign w:val="bottom"/>
            <w:gridSpan w:val="8"/>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4,577,097</w:t>
            </w: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4,500,000</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-5419090</wp:posOffset>
            </wp:positionV>
            <wp:extent cx="521398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-4356100</wp:posOffset>
            </wp:positionV>
            <wp:extent cx="521398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-3669665</wp:posOffset>
            </wp:positionV>
            <wp:extent cx="5213985"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-822960</wp:posOffset>
            </wp:positionV>
            <wp:extent cx="5213985"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i w:val="1"/>
          <w:iCs w:val="1"/>
          <w:color w:val="auto"/>
        </w:rPr>
        <w:t>See notes to the Condensed Consolidated Financial Statements</w:t>
      </w:r>
    </w:p>
    <w:p>
      <w:pPr>
        <w:spacing w:after="0" w:line="200" w:lineRule="exact"/>
        <w:rPr>
          <w:sz w:val="20"/>
          <w:szCs w:val="20"/>
          <w:color w:val="auto"/>
        </w:rPr>
      </w:pPr>
    </w:p>
    <w:p>
      <w:pPr>
        <w:spacing w:after="0" w:line="36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9" w:name="page10"/>
    <w:bookmarkEnd w:id="9"/>
    <w:p>
      <w:pPr>
        <w:ind w:left="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 (Continued)</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March 31, 2015</w:t>
      </w:r>
    </w:p>
    <w:p>
      <w:pPr>
        <w:spacing w:after="0" w:line="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1"/>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60" w:type="dxa"/>
            <w:vAlign w:val="bottom"/>
          </w:tcPr>
          <w:p>
            <w:pPr>
              <w:spacing w:after="0"/>
              <w:rPr>
                <w:sz w:val="13"/>
                <w:szCs w:val="13"/>
                <w:color w:val="auto"/>
              </w:rPr>
            </w:pPr>
          </w:p>
        </w:tc>
        <w:tc>
          <w:tcPr>
            <w:tcW w:w="208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Headquarters/Industry</w:t>
            </w:r>
          </w:p>
        </w:tc>
        <w:tc>
          <w:tcPr>
            <w:tcW w:w="8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73"/>
        </w:trPr>
        <w:tc>
          <w:tcPr>
            <w:tcW w:w="2660" w:type="dxa"/>
            <w:vAlign w:val="bottom"/>
            <w:gridSpan w:val="11"/>
            <w:vMerge w:val="continue"/>
          </w:tcPr>
          <w:p>
            <w:pPr>
              <w:spacing w:after="0"/>
              <w:rPr>
                <w:sz w:val="15"/>
                <w:szCs w:val="15"/>
                <w:color w:val="auto"/>
              </w:rPr>
            </w:pPr>
          </w:p>
        </w:tc>
        <w:tc>
          <w:tcPr>
            <w:tcW w:w="60" w:type="dxa"/>
            <w:vAlign w:val="bottom"/>
          </w:tcPr>
          <w:p>
            <w:pPr>
              <w:spacing w:after="0"/>
              <w:rPr>
                <w:sz w:val="15"/>
                <w:szCs w:val="15"/>
                <w:color w:val="auto"/>
              </w:rPr>
            </w:pPr>
          </w:p>
        </w:tc>
        <w:tc>
          <w:tcPr>
            <w:tcW w:w="2080" w:type="dxa"/>
            <w:vAlign w:val="bottom"/>
            <w:gridSpan w:val="3"/>
            <w:vMerge w:val="continue"/>
          </w:tcPr>
          <w:p>
            <w:pPr>
              <w:spacing w:after="0"/>
              <w:rPr>
                <w:sz w:val="15"/>
                <w:szCs w:val="15"/>
                <w:color w:val="auto"/>
              </w:rPr>
            </w:pP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96"/>
        </w:trPr>
        <w:tc>
          <w:tcPr>
            <w:tcW w:w="2660" w:type="dxa"/>
            <w:vAlign w:val="bottom"/>
            <w:tcBorders>
              <w:top w:val="single" w:sz="8" w:color="auto"/>
            </w:tcBorders>
            <w:gridSpan w:val="11"/>
            <w:shd w:val="clear" w:color="auto" w:fill="CCEEFF"/>
          </w:tcPr>
          <w:p>
            <w:pPr>
              <w:ind w:left="20"/>
              <w:spacing w:after="0" w:line="197" w:lineRule="exact"/>
              <w:rPr>
                <w:sz w:val="20"/>
                <w:szCs w:val="20"/>
                <w:color w:val="auto"/>
              </w:rPr>
            </w:pPr>
            <w:r>
              <w:rPr>
                <w:rFonts w:ascii="Times New Roman" w:cs="Times New Roman" w:eastAsia="Times New Roman" w:hAnsi="Times New Roman"/>
                <w:sz w:val="14"/>
                <w:szCs w:val="14"/>
                <w:b w:val="1"/>
                <w:bCs w:val="1"/>
                <w:color w:val="auto"/>
              </w:rPr>
              <w:t>CUX, Inc. (d/b/a CorpU)</w:t>
            </w:r>
            <w:r>
              <w:rPr>
                <w:rFonts w:ascii="Times New Roman" w:cs="Times New Roman" w:eastAsia="Times New Roman" w:hAnsi="Times New Roman"/>
                <w:sz w:val="22"/>
                <w:szCs w:val="22"/>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1"/>
          </w:tcPr>
          <w:p>
            <w:pPr>
              <w:ind w:left="20"/>
              <w:spacing w:after="0"/>
              <w:rPr>
                <w:sz w:val="20"/>
                <w:szCs w:val="20"/>
                <w:color w:val="auto"/>
              </w:rPr>
            </w:pPr>
            <w:r>
              <w:rPr>
                <w:rFonts w:ascii="Times New Roman" w:cs="Times New Roman" w:eastAsia="Times New Roman" w:hAnsi="Times New Roman"/>
                <w:sz w:val="16"/>
                <w:szCs w:val="16"/>
                <w:color w:val="auto"/>
              </w:rPr>
              <w:t>Convertible preferred shares,</w:t>
            </w:r>
          </w:p>
        </w:tc>
        <w:tc>
          <w:tcPr>
            <w:tcW w:w="60" w:type="dxa"/>
            <w:vAlign w:val="bottom"/>
          </w:tcPr>
          <w:p>
            <w:pPr>
              <w:spacing w:after="0"/>
              <w:rPr>
                <w:sz w:val="16"/>
                <w:szCs w:val="16"/>
                <w:color w:val="auto"/>
              </w:rPr>
            </w:pPr>
          </w:p>
        </w:tc>
        <w:tc>
          <w:tcPr>
            <w:tcW w:w="20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San Francisco,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10"/>
          </w:tcPr>
          <w:p>
            <w:pPr>
              <w:ind w:left="180"/>
              <w:spacing w:after="0"/>
              <w:rPr>
                <w:sz w:val="20"/>
                <w:szCs w:val="20"/>
                <w:color w:val="auto"/>
              </w:rPr>
            </w:pPr>
            <w:r>
              <w:rPr>
                <w:rFonts w:ascii="Times New Roman" w:cs="Times New Roman" w:eastAsia="Times New Roman" w:hAnsi="Times New Roman"/>
                <w:sz w:val="16"/>
                <w:szCs w:val="16"/>
                <w:color w:val="auto"/>
              </w:rPr>
              <w:t>Series C</w:t>
            </w: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Corporate Education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615,763</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2,006,077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2,339,899</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0.77%</w:t>
            </w:r>
          </w:p>
        </w:tc>
        <w:tc>
          <w:tcPr>
            <w:tcW w:w="0" w:type="dxa"/>
            <w:vAlign w:val="bottom"/>
          </w:tcPr>
          <w:p>
            <w:pPr>
              <w:spacing w:after="0"/>
              <w:rPr>
                <w:sz w:val="1"/>
                <w:szCs w:val="1"/>
                <w:color w:val="auto"/>
              </w:rPr>
            </w:pPr>
          </w:p>
        </w:tc>
      </w:tr>
      <w:tr>
        <w:trPr>
          <w:trHeight w:val="192"/>
        </w:trPr>
        <w:tc>
          <w:tcPr>
            <w:tcW w:w="266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Subordinated Convertible</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2640" w:type="dxa"/>
            <w:vAlign w:val="bottom"/>
            <w:gridSpan w:val="10"/>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Promissory Note 8% Due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720" w:type="dxa"/>
            <w:vAlign w:val="bottom"/>
            <w:gridSpan w:val="7"/>
            <w:shd w:val="clear" w:color="auto" w:fill="CCEEFF"/>
          </w:tcPr>
          <w:p>
            <w:pPr>
              <w:ind w:left="200"/>
              <w:spacing w:after="0" w:line="255" w:lineRule="exact"/>
              <w:rPr>
                <w:sz w:val="20"/>
                <w:szCs w:val="20"/>
                <w:color w:val="auto"/>
              </w:rPr>
            </w:pPr>
            <w:r>
              <w:rPr>
                <w:rFonts w:ascii="Times New Roman" w:cs="Times New Roman" w:eastAsia="Times New Roman" w:hAnsi="Times New Roman"/>
                <w:sz w:val="16"/>
                <w:szCs w:val="16"/>
                <w:color w:val="auto"/>
              </w:rPr>
              <w:t>11/26/2018***</w:t>
            </w:r>
            <w:r>
              <w:rPr>
                <w:rFonts w:ascii="Times New Roman" w:cs="Times New Roman" w:eastAsia="Times New Roman" w:hAnsi="Times New Roman"/>
                <w:sz w:val="27"/>
                <w:szCs w:val="27"/>
                <w:color w:val="auto"/>
                <w:vertAlign w:val="superscript"/>
              </w:rPr>
              <w:t>(11)</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1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140" w:type="dxa"/>
            <w:vAlign w:val="bottom"/>
            <w:tcBorders>
              <w:lef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1,026,707</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0.34%</w:t>
            </w:r>
          </w:p>
        </w:tc>
        <w:tc>
          <w:tcPr>
            <w:tcW w:w="0" w:type="dxa"/>
            <w:vAlign w:val="bottom"/>
          </w:tcPr>
          <w:p>
            <w:pPr>
              <w:spacing w:after="0"/>
              <w:rPr>
                <w:sz w:val="1"/>
                <w:szCs w:val="1"/>
                <w:color w:val="auto"/>
              </w:rPr>
            </w:pPr>
          </w:p>
        </w:tc>
      </w:tr>
      <w:tr>
        <w:trPr>
          <w:trHeight w:val="189"/>
        </w:trPr>
        <w:tc>
          <w:tcPr>
            <w:tcW w:w="2660" w:type="dxa"/>
            <w:vAlign w:val="bottom"/>
            <w:gridSpan w:val="11"/>
          </w:tcPr>
          <w:p>
            <w:pPr>
              <w:ind w:left="20"/>
              <w:spacing w:after="0"/>
              <w:rPr>
                <w:sz w:val="20"/>
                <w:szCs w:val="20"/>
                <w:color w:val="auto"/>
              </w:rPr>
            </w:pPr>
            <w:r>
              <w:rPr>
                <w:rFonts w:ascii="Times New Roman" w:cs="Times New Roman" w:eastAsia="Times New Roman" w:hAnsi="Times New Roman"/>
                <w:sz w:val="16"/>
                <w:szCs w:val="16"/>
                <w:color w:val="auto"/>
              </w:rPr>
              <w:t>Convertible preferred shares,</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10"/>
          </w:tcPr>
          <w:p>
            <w:pPr>
              <w:ind w:left="180"/>
              <w:spacing w:after="0"/>
              <w:rPr>
                <w:sz w:val="20"/>
                <w:szCs w:val="20"/>
                <w:color w:val="auto"/>
              </w:rPr>
            </w:pPr>
            <w:r>
              <w:rPr>
                <w:rFonts w:ascii="Times New Roman" w:cs="Times New Roman" w:eastAsia="Times New Roman" w:hAnsi="Times New Roman"/>
                <w:sz w:val="16"/>
                <w:szCs w:val="16"/>
                <w:color w:val="auto"/>
              </w:rPr>
              <w:t>Series D</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778,607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730,285</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0.24%</w:t>
            </w:r>
          </w:p>
        </w:tc>
        <w:tc>
          <w:tcPr>
            <w:tcW w:w="0" w:type="dxa"/>
            <w:vAlign w:val="bottom"/>
          </w:tcPr>
          <w:p>
            <w:pPr>
              <w:spacing w:after="0"/>
              <w:rPr>
                <w:sz w:val="1"/>
                <w:szCs w:val="1"/>
                <w:color w:val="auto"/>
              </w:rPr>
            </w:pPr>
          </w:p>
        </w:tc>
      </w:tr>
      <w:tr>
        <w:trPr>
          <w:trHeight w:val="192"/>
        </w:trPr>
        <w:tc>
          <w:tcPr>
            <w:tcW w:w="266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warrants, $4.59 Strike Price,</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2640" w:type="dxa"/>
            <w:vAlign w:val="bottom"/>
            <w:gridSpan w:val="10"/>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Expiration Date 02/25/2018</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12,846</w:t>
            </w:r>
          </w:p>
        </w:tc>
        <w:tc>
          <w:tcPr>
            <w:tcW w:w="14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640" w:type="dxa"/>
            <w:vAlign w:val="bottom"/>
            <w:gridSpan w:val="10"/>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3,784,684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4,109,737</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156"/>
        </w:trPr>
        <w:tc>
          <w:tcPr>
            <w:tcW w:w="2660" w:type="dxa"/>
            <w:vAlign w:val="bottom"/>
            <w:gridSpan w:val="11"/>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Parchment,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1"/>
          </w:tcPr>
          <w:p>
            <w:pPr>
              <w:ind w:left="20"/>
              <w:spacing w:after="0"/>
              <w:rPr>
                <w:sz w:val="20"/>
                <w:szCs w:val="20"/>
                <w:color w:val="auto"/>
              </w:rPr>
            </w:pPr>
            <w:r>
              <w:rPr>
                <w:rFonts w:ascii="Times New Roman" w:cs="Times New Roman" w:eastAsia="Times New Roman" w:hAnsi="Times New Roman"/>
                <w:sz w:val="16"/>
                <w:szCs w:val="16"/>
                <w:color w:val="auto"/>
              </w:rPr>
              <w:t>Preferred shares, Series D</w:t>
            </w:r>
          </w:p>
        </w:tc>
        <w:tc>
          <w:tcPr>
            <w:tcW w:w="60" w:type="dxa"/>
            <w:vAlign w:val="bottom"/>
          </w:tcPr>
          <w:p>
            <w:pPr>
              <w:spacing w:after="0"/>
              <w:rPr>
                <w:sz w:val="16"/>
                <w:szCs w:val="16"/>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Scottsdale, AZ</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w w:val="99"/>
              </w:rPr>
              <w:t>E-Transcript Exchange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3,200,512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4,000,982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4,000,000</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165"/>
        </w:trPr>
        <w:tc>
          <w:tcPr>
            <w:tcW w:w="2660" w:type="dxa"/>
            <w:vAlign w:val="bottom"/>
            <w:gridSpan w:val="11"/>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Global Education Learning</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gridSpan w:val="8"/>
            <w:shd w:val="clear" w:color="auto" w:fill="CCEEFF"/>
          </w:tcPr>
          <w:p>
            <w:pPr>
              <w:ind w:left="180"/>
              <w:spacing w:after="0" w:line="223" w:lineRule="exact"/>
              <w:rPr>
                <w:sz w:val="20"/>
                <w:szCs w:val="20"/>
                <w:color w:val="auto"/>
              </w:rPr>
            </w:pPr>
            <w:r>
              <w:rPr>
                <w:rFonts w:ascii="Times New Roman" w:cs="Times New Roman" w:eastAsia="Times New Roman" w:hAnsi="Times New Roman"/>
                <w:sz w:val="15"/>
                <w:szCs w:val="15"/>
                <w:b w:val="1"/>
                <w:bCs w:val="1"/>
                <w:color w:val="auto"/>
              </w:rPr>
              <w:t>(Holdings) Ltd.</w:t>
            </w:r>
            <w:r>
              <w:rPr>
                <w:rFonts w:ascii="Times New Roman" w:cs="Times New Roman" w:eastAsia="Times New Roman" w:hAnsi="Times New Roman"/>
                <w:sz w:val="25"/>
                <w:szCs w:val="25"/>
                <w:b w:val="1"/>
                <w:bCs w:val="1"/>
                <w:color w:val="auto"/>
                <w:vertAlign w:val="superscript"/>
              </w:rPr>
              <w:t>(1)</w:t>
            </w:r>
            <w:r>
              <w:rPr>
                <w:rFonts w:ascii="Times New Roman" w:cs="Times New Roman" w:eastAsia="Times New Roman" w:hAnsi="Times New Roman"/>
                <w:sz w:val="15"/>
                <w:szCs w:val="15"/>
                <w:b w:val="1"/>
                <w:bCs w:val="1"/>
                <w:color w:val="auto"/>
              </w:rPr>
              <w:t>**</w:t>
            </w:r>
          </w:p>
        </w:tc>
        <w:tc>
          <w:tcPr>
            <w:tcW w:w="740" w:type="dxa"/>
            <w:vAlign w:val="bottom"/>
            <w:tcBorders>
              <w:top w:val="single" w:sz="8" w:color="CCEEFF"/>
            </w:tcBorders>
            <w:gridSpan w:val="2"/>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left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left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1"/>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60" w:type="dxa"/>
            <w:vAlign w:val="bottom"/>
          </w:tcPr>
          <w:p>
            <w:pPr>
              <w:spacing w:after="0"/>
              <w:rPr>
                <w:sz w:val="16"/>
                <w:szCs w:val="16"/>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Hong Kong</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Education Technology</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2,126,475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4,343,409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3,995,221</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165"/>
        </w:trPr>
        <w:tc>
          <w:tcPr>
            <w:tcW w:w="2660" w:type="dxa"/>
            <w:vAlign w:val="bottom"/>
            <w:gridSpan w:val="11"/>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Bloom Energy Corporation</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1"/>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tcPr>
          <w:p>
            <w:pPr>
              <w:spacing w:after="0"/>
              <w:rPr>
                <w:sz w:val="16"/>
                <w:szCs w:val="16"/>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Sunnyvale,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Fuel Cell Energy</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3,855,601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2,865,933</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0.95%</w:t>
            </w:r>
          </w:p>
        </w:tc>
        <w:tc>
          <w:tcPr>
            <w:tcW w:w="0" w:type="dxa"/>
            <w:vAlign w:val="bottom"/>
          </w:tcPr>
          <w:p>
            <w:pPr>
              <w:spacing w:after="0"/>
              <w:rPr>
                <w:sz w:val="1"/>
                <w:szCs w:val="1"/>
                <w:color w:val="auto"/>
              </w:rPr>
            </w:pPr>
          </w:p>
        </w:tc>
      </w:tr>
      <w:tr>
        <w:trPr>
          <w:trHeight w:val="165"/>
        </w:trPr>
        <w:tc>
          <w:tcPr>
            <w:tcW w:w="2660" w:type="dxa"/>
            <w:vAlign w:val="bottom"/>
            <w:gridSpan w:val="11"/>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DogVacay,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1"/>
          </w:tcPr>
          <w:p>
            <w:pPr>
              <w:ind w:left="20"/>
              <w:spacing w:after="0"/>
              <w:rPr>
                <w:sz w:val="20"/>
                <w:szCs w:val="20"/>
                <w:color w:val="auto"/>
              </w:rPr>
            </w:pPr>
            <w:r>
              <w:rPr>
                <w:rFonts w:ascii="Times New Roman" w:cs="Times New Roman" w:eastAsia="Times New Roman" w:hAnsi="Times New Roman"/>
                <w:sz w:val="16"/>
                <w:szCs w:val="16"/>
                <w:color w:val="auto"/>
              </w:rPr>
              <w:t>Preferred shares, Series B-1</w:t>
            </w:r>
          </w:p>
        </w:tc>
        <w:tc>
          <w:tcPr>
            <w:tcW w:w="60" w:type="dxa"/>
            <w:vAlign w:val="bottom"/>
          </w:tcPr>
          <w:p>
            <w:pPr>
              <w:spacing w:after="0"/>
              <w:rPr>
                <w:sz w:val="16"/>
                <w:szCs w:val="16"/>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Santa Monica,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Dog Boarding</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514,562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2,506,119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2,505,917</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0.83%</w:t>
            </w:r>
          </w:p>
        </w:tc>
        <w:tc>
          <w:tcPr>
            <w:tcW w:w="0" w:type="dxa"/>
            <w:vAlign w:val="bottom"/>
          </w:tcPr>
          <w:p>
            <w:pPr>
              <w:spacing w:after="0"/>
              <w:rPr>
                <w:sz w:val="1"/>
                <w:szCs w:val="1"/>
                <w:color w:val="auto"/>
              </w:rPr>
            </w:pPr>
          </w:p>
        </w:tc>
      </w:tr>
      <w:tr>
        <w:trPr>
          <w:trHeight w:val="206"/>
        </w:trPr>
        <w:tc>
          <w:tcPr>
            <w:tcW w:w="2660" w:type="dxa"/>
            <w:vAlign w:val="bottom"/>
            <w:gridSpan w:val="11"/>
            <w:shd w:val="clear" w:color="auto" w:fill="CCEEFF"/>
          </w:tcPr>
          <w:p>
            <w:pPr>
              <w:ind w:left="20"/>
              <w:spacing w:after="0" w:line="205" w:lineRule="exact"/>
              <w:rPr>
                <w:sz w:val="20"/>
                <w:szCs w:val="20"/>
                <w:color w:val="auto"/>
              </w:rPr>
            </w:pPr>
            <w:r>
              <w:rPr>
                <w:rFonts w:ascii="Times New Roman" w:cs="Times New Roman" w:eastAsia="Times New Roman" w:hAnsi="Times New Roman"/>
                <w:sz w:val="14"/>
                <w:szCs w:val="14"/>
                <w:b w:val="1"/>
                <w:bCs w:val="1"/>
                <w:color w:val="auto"/>
              </w:rPr>
              <w:t>SharesPost, Inc.</w:t>
            </w:r>
            <w:r>
              <w:rPr>
                <w:rFonts w:ascii="Times New Roman" w:cs="Times New Roman" w:eastAsia="Times New Roman" w:hAnsi="Times New Roman"/>
                <w:sz w:val="23"/>
                <w:szCs w:val="23"/>
                <w:b w:val="1"/>
                <w:bCs w:val="1"/>
                <w:color w:val="auto"/>
                <w:vertAlign w:val="superscript"/>
              </w:rPr>
              <w:t>(1)(6)</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1"/>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60" w:type="dxa"/>
            <w:vAlign w:val="bottom"/>
          </w:tcPr>
          <w:p>
            <w:pPr>
              <w:spacing w:after="0"/>
              <w:rPr>
                <w:sz w:val="16"/>
                <w:szCs w:val="16"/>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San Bruno,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Online Marketplace</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Finance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1,771,653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2,259,716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2,249,999</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0.74%</w:t>
            </w:r>
          </w:p>
        </w:tc>
        <w:tc>
          <w:tcPr>
            <w:tcW w:w="0" w:type="dxa"/>
            <w:vAlign w:val="bottom"/>
          </w:tcPr>
          <w:p>
            <w:pPr>
              <w:spacing w:after="0"/>
              <w:rPr>
                <w:sz w:val="1"/>
                <w:szCs w:val="1"/>
                <w:color w:val="auto"/>
              </w:rPr>
            </w:pPr>
          </w:p>
        </w:tc>
      </w:tr>
      <w:tr>
        <w:trPr>
          <w:trHeight w:val="192"/>
        </w:trPr>
        <w:tc>
          <w:tcPr>
            <w:tcW w:w="266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warrants, $0.13 Strike Price,</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2640" w:type="dxa"/>
            <w:vAlign w:val="bottom"/>
            <w:gridSpan w:val="10"/>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Expiration Date 6/15/2018</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770,934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23,128</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146,477</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640" w:type="dxa"/>
            <w:vAlign w:val="bottom"/>
            <w:gridSpan w:val="10"/>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2,282,844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2,396,476</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0.79%</w:t>
            </w:r>
          </w:p>
        </w:tc>
        <w:tc>
          <w:tcPr>
            <w:tcW w:w="0" w:type="dxa"/>
            <w:vAlign w:val="bottom"/>
          </w:tcPr>
          <w:p>
            <w:pPr>
              <w:spacing w:after="0"/>
              <w:rPr>
                <w:sz w:val="1"/>
                <w:szCs w:val="1"/>
                <w:color w:val="auto"/>
              </w:rPr>
            </w:pPr>
          </w:p>
        </w:tc>
      </w:tr>
      <w:tr>
        <w:trPr>
          <w:trHeight w:val="156"/>
        </w:trPr>
        <w:tc>
          <w:tcPr>
            <w:tcW w:w="2660" w:type="dxa"/>
            <w:vAlign w:val="bottom"/>
            <w:gridSpan w:val="11"/>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Circle Media (f.k.a. S3 Digital Corp.</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gridSpan w:val="9"/>
            <w:shd w:val="clear" w:color="auto" w:fill="CCEEFF"/>
          </w:tcPr>
          <w:p>
            <w:pPr>
              <w:ind w:left="180"/>
              <w:spacing w:after="0" w:line="223" w:lineRule="exact"/>
              <w:rPr>
                <w:sz w:val="20"/>
                <w:szCs w:val="20"/>
                <w:color w:val="auto"/>
              </w:rPr>
            </w:pPr>
            <w:r>
              <w:rPr>
                <w:rFonts w:ascii="Times New Roman" w:cs="Times New Roman" w:eastAsia="Times New Roman" w:hAnsi="Times New Roman"/>
                <w:sz w:val="15"/>
                <w:szCs w:val="15"/>
                <w:b w:val="1"/>
                <w:bCs w:val="1"/>
                <w:color w:val="auto"/>
              </w:rPr>
              <w:t>(d/b/a S3i)</w:t>
            </w:r>
            <w:r>
              <w:rPr>
                <w:rFonts w:ascii="Times New Roman" w:cs="Times New Roman" w:eastAsia="Times New Roman" w:hAnsi="Times New Roman"/>
                <w:sz w:val="25"/>
                <w:szCs w:val="25"/>
                <w:b w:val="1"/>
                <w:bCs w:val="1"/>
                <w:color w:val="auto"/>
                <w:vertAlign w:val="superscript"/>
              </w:rPr>
              <w:t>(1)</w:t>
            </w:r>
          </w:p>
        </w:tc>
        <w:tc>
          <w:tcPr>
            <w:tcW w:w="1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left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left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1"/>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60" w:type="dxa"/>
            <w:vAlign w:val="bottom"/>
          </w:tcPr>
          <w:p>
            <w:pPr>
              <w:spacing w:after="0"/>
              <w:rPr>
                <w:sz w:val="16"/>
                <w:szCs w:val="16"/>
                <w:color w:val="auto"/>
              </w:rPr>
            </w:pPr>
          </w:p>
        </w:tc>
        <w:tc>
          <w:tcPr>
            <w:tcW w:w="20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w w:val="99"/>
              </w:rPr>
              <w:t>New York, NY</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Sports Analytics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1,462,269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1,496,059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1,649,247</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0.55%</w:t>
            </w:r>
          </w:p>
        </w:tc>
        <w:tc>
          <w:tcPr>
            <w:tcW w:w="0" w:type="dxa"/>
            <w:vAlign w:val="bottom"/>
          </w:tcPr>
          <w:p>
            <w:pPr>
              <w:spacing w:after="0"/>
              <w:rPr>
                <w:sz w:val="1"/>
                <w:szCs w:val="1"/>
                <w:color w:val="auto"/>
              </w:rPr>
            </w:pPr>
          </w:p>
        </w:tc>
      </w:tr>
      <w:tr>
        <w:trPr>
          <w:trHeight w:val="246"/>
        </w:trPr>
        <w:tc>
          <w:tcPr>
            <w:tcW w:w="2660" w:type="dxa"/>
            <w:vAlign w:val="bottom"/>
            <w:gridSpan w:val="11"/>
            <w:shd w:val="clear" w:color="auto" w:fill="CCEEFF"/>
          </w:tcPr>
          <w:p>
            <w:pPr>
              <w:ind w:left="20"/>
              <w:spacing w:after="0" w:line="246" w:lineRule="exact"/>
              <w:rPr>
                <w:sz w:val="20"/>
                <w:szCs w:val="20"/>
                <w:color w:val="auto"/>
              </w:rPr>
            </w:pPr>
            <w:r>
              <w:rPr>
                <w:rFonts w:ascii="Times New Roman" w:cs="Times New Roman" w:eastAsia="Times New Roman" w:hAnsi="Times New Roman"/>
                <w:sz w:val="16"/>
                <w:szCs w:val="16"/>
                <w:color w:val="auto"/>
              </w:rPr>
              <w:t>Term Loan, 12%, 09/30/15</w:t>
            </w:r>
            <w:r>
              <w:rPr>
                <w:rFonts w:ascii="Times New Roman" w:cs="Times New Roman" w:eastAsia="Times New Roman" w:hAnsi="Times New Roman"/>
                <w:sz w:val="27"/>
                <w:szCs w:val="27"/>
                <w:color w:val="auto"/>
                <w:vertAlign w:val="superscript"/>
              </w:rPr>
              <w:t>***</w:t>
            </w:r>
          </w:p>
        </w:tc>
        <w:tc>
          <w:tcPr>
            <w:tcW w:w="21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272,500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283,901</w:t>
            </w:r>
          </w:p>
        </w:tc>
        <w:tc>
          <w:tcPr>
            <w:tcW w:w="14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296,278</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189"/>
        </w:trPr>
        <w:tc>
          <w:tcPr>
            <w:tcW w:w="2660" w:type="dxa"/>
            <w:vAlign w:val="bottom"/>
            <w:gridSpan w:val="11"/>
          </w:tcPr>
          <w:p>
            <w:pPr>
              <w:ind w:left="20"/>
              <w:spacing w:after="0"/>
              <w:rPr>
                <w:sz w:val="20"/>
                <w:szCs w:val="20"/>
                <w:color w:val="auto"/>
              </w:rPr>
            </w:pPr>
            <w:r>
              <w:rPr>
                <w:rFonts w:ascii="Times New Roman" w:cs="Times New Roman" w:eastAsia="Times New Roman" w:hAnsi="Times New Roman"/>
                <w:sz w:val="16"/>
                <w:szCs w:val="16"/>
                <w:color w:val="auto"/>
              </w:rPr>
              <w:t>Preferred warrants, $1.00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10"/>
          </w:tcPr>
          <w:p>
            <w:pPr>
              <w:ind w:left="180"/>
              <w:spacing w:after="0"/>
              <w:rPr>
                <w:sz w:val="20"/>
                <w:szCs w:val="20"/>
                <w:color w:val="auto"/>
              </w:rPr>
            </w:pPr>
            <w:r>
              <w:rPr>
                <w:rFonts w:ascii="Times New Roman" w:cs="Times New Roman" w:eastAsia="Times New Roman" w:hAnsi="Times New Roman"/>
                <w:sz w:val="16"/>
                <w:szCs w:val="16"/>
                <w:color w:val="auto"/>
              </w:rPr>
              <w:t>Expiration Date 11/21/2017</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220,000</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0.07%</w:t>
            </w:r>
          </w:p>
        </w:tc>
        <w:tc>
          <w:tcPr>
            <w:tcW w:w="0" w:type="dxa"/>
            <w:vAlign w:val="bottom"/>
          </w:tcPr>
          <w:p>
            <w:pPr>
              <w:spacing w:after="0"/>
              <w:rPr>
                <w:sz w:val="1"/>
                <w:szCs w:val="1"/>
                <w:color w:val="auto"/>
              </w:rPr>
            </w:pPr>
          </w:p>
        </w:tc>
      </w:tr>
      <w:tr>
        <w:trPr>
          <w:trHeight w:val="192"/>
        </w:trPr>
        <w:tc>
          <w:tcPr>
            <w:tcW w:w="266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warrants, $1.17 Strike Price,</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640" w:type="dxa"/>
            <w:vAlign w:val="bottom"/>
            <w:gridSpan w:val="10"/>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Expiration Date 08/29/2021</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70,326</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189"/>
        </w:trPr>
        <w:tc>
          <w:tcPr>
            <w:tcW w:w="2660" w:type="dxa"/>
            <w:vAlign w:val="bottom"/>
            <w:gridSpan w:val="11"/>
          </w:tcPr>
          <w:p>
            <w:pPr>
              <w:ind w:left="20"/>
              <w:spacing w:after="0"/>
              <w:rPr>
                <w:sz w:val="20"/>
                <w:szCs w:val="20"/>
                <w:color w:val="auto"/>
              </w:rPr>
            </w:pPr>
            <w:r>
              <w:rPr>
                <w:rFonts w:ascii="Times New Roman" w:cs="Times New Roman" w:eastAsia="Times New Roman" w:hAnsi="Times New Roman"/>
                <w:sz w:val="16"/>
                <w:szCs w:val="16"/>
                <w:color w:val="auto"/>
              </w:rPr>
              <w:t>Preferred warrants, $1.17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10"/>
          </w:tcPr>
          <w:p>
            <w:pPr>
              <w:ind w:left="180"/>
              <w:spacing w:after="0"/>
              <w:rPr>
                <w:sz w:val="20"/>
                <w:szCs w:val="20"/>
                <w:color w:val="auto"/>
              </w:rPr>
            </w:pPr>
            <w:r>
              <w:rPr>
                <w:rFonts w:ascii="Times New Roman" w:cs="Times New Roman" w:eastAsia="Times New Roman" w:hAnsi="Times New Roman"/>
                <w:sz w:val="16"/>
                <w:szCs w:val="16"/>
                <w:color w:val="auto"/>
              </w:rPr>
              <w:t>Expiration Date 09/30/2020</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64,322</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192"/>
        </w:trPr>
        <w:tc>
          <w:tcPr>
            <w:tcW w:w="266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warrants, $1.16 Strike Price,</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2640" w:type="dxa"/>
            <w:vAlign w:val="bottom"/>
            <w:gridSpan w:val="10"/>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Expiration Date 6/26/2021</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15,438</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640" w:type="dxa"/>
            <w:vAlign w:val="bottom"/>
            <w:gridSpan w:val="10"/>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1,811,314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2,315,611</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0.77%</w:t>
            </w:r>
          </w:p>
        </w:tc>
        <w:tc>
          <w:tcPr>
            <w:tcW w:w="0" w:type="dxa"/>
            <w:vAlign w:val="bottom"/>
          </w:tcPr>
          <w:p>
            <w:pPr>
              <w:spacing w:after="0"/>
              <w:rPr>
                <w:sz w:val="1"/>
                <w:szCs w:val="1"/>
                <w:color w:val="auto"/>
              </w:rPr>
            </w:pPr>
          </w:p>
        </w:tc>
      </w:tr>
      <w:tr>
        <w:trPr>
          <w:trHeight w:val="156"/>
        </w:trPr>
        <w:tc>
          <w:tcPr>
            <w:tcW w:w="2660" w:type="dxa"/>
            <w:vAlign w:val="bottom"/>
            <w:gridSpan w:val="11"/>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DreamBox Learning,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1"/>
          </w:tcPr>
          <w:p>
            <w:pPr>
              <w:ind w:left="20"/>
              <w:spacing w:after="0"/>
              <w:rPr>
                <w:sz w:val="20"/>
                <w:szCs w:val="20"/>
                <w:color w:val="auto"/>
              </w:rPr>
            </w:pPr>
            <w:r>
              <w:rPr>
                <w:rFonts w:ascii="Times New Roman" w:cs="Times New Roman" w:eastAsia="Times New Roman" w:hAnsi="Times New Roman"/>
                <w:sz w:val="16"/>
                <w:szCs w:val="16"/>
                <w:color w:val="auto"/>
              </w:rPr>
              <w:t>Preferred shares, Series A-1</w:t>
            </w:r>
          </w:p>
        </w:tc>
        <w:tc>
          <w:tcPr>
            <w:tcW w:w="60" w:type="dxa"/>
            <w:vAlign w:val="bottom"/>
          </w:tcPr>
          <w:p>
            <w:pPr>
              <w:spacing w:after="0"/>
              <w:rPr>
                <w:sz w:val="16"/>
                <w:szCs w:val="16"/>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Bellevue, WA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Education Technology</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7,159,221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1,502,362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0.50%</w:t>
            </w:r>
          </w:p>
        </w:tc>
        <w:tc>
          <w:tcPr>
            <w:tcW w:w="0" w:type="dxa"/>
            <w:vAlign w:val="bottom"/>
          </w:tcPr>
          <w:p>
            <w:pPr>
              <w:spacing w:after="0"/>
              <w:rPr>
                <w:sz w:val="1"/>
                <w:szCs w:val="1"/>
                <w:color w:val="auto"/>
              </w:rPr>
            </w:pPr>
          </w:p>
        </w:tc>
      </w:tr>
      <w:tr>
        <w:trPr>
          <w:trHeight w:val="206"/>
        </w:trPr>
        <w:tc>
          <w:tcPr>
            <w:tcW w:w="266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3,579,610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758,017</w:t>
            </w: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0.25%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0"/>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2,260,379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2,250,000</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-5316220</wp:posOffset>
            </wp:positionV>
            <wp:extent cx="5213985"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-2675255</wp:posOffset>
            </wp:positionV>
            <wp:extent cx="5213985"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-805180</wp:posOffset>
            </wp:positionV>
            <wp:extent cx="5213985"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-145415</wp:posOffset>
            </wp:positionV>
            <wp:extent cx="5213985"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i w:val="1"/>
          <w:iCs w:val="1"/>
          <w:color w:val="auto"/>
        </w:rPr>
        <w:t>See notes to the Condensed Consolidated Financial Statements</w:t>
      </w:r>
    </w:p>
    <w:p>
      <w:pPr>
        <w:spacing w:after="0" w:line="200" w:lineRule="exact"/>
        <w:rPr>
          <w:sz w:val="20"/>
          <w:szCs w:val="20"/>
          <w:color w:val="auto"/>
        </w:rPr>
      </w:pPr>
    </w:p>
    <w:p>
      <w:pPr>
        <w:spacing w:after="0" w:line="36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10" w:name="page11"/>
    <w:bookmarkEnd w:id="10"/>
    <w:p>
      <w:pPr>
        <w:ind w:left="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 (Continued)</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March 31, 2015</w:t>
      </w:r>
    </w:p>
    <w:p>
      <w:pPr>
        <w:spacing w:after="0" w:line="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60" w:type="dxa"/>
            <w:vAlign w:val="bottom"/>
          </w:tcPr>
          <w:p>
            <w:pPr>
              <w:spacing w:after="0"/>
              <w:rPr>
                <w:sz w:val="13"/>
                <w:szCs w:val="13"/>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Headquarters/Industry</w:t>
            </w:r>
          </w:p>
        </w:tc>
        <w:tc>
          <w:tcPr>
            <w:tcW w:w="80" w:type="dxa"/>
            <w:vAlign w:val="bottom"/>
          </w:tcPr>
          <w:p>
            <w:pPr>
              <w:spacing w:after="0"/>
              <w:rPr>
                <w:sz w:val="13"/>
                <w:szCs w:val="13"/>
                <w:color w:val="auto"/>
              </w:rPr>
            </w:pP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3"/>
                <w:szCs w:val="13"/>
                <w:color w:val="auto"/>
              </w:rPr>
            </w:pPr>
          </w:p>
        </w:tc>
        <w:tc>
          <w:tcPr>
            <w:tcW w:w="8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3"/>
                <w:szCs w:val="13"/>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73"/>
        </w:trPr>
        <w:tc>
          <w:tcPr>
            <w:tcW w:w="2660" w:type="dxa"/>
            <w:vAlign w:val="bottom"/>
            <w:tcBorders>
              <w:bottom w:val="single" w:sz="8" w:color="auto"/>
            </w:tcBorders>
            <w:gridSpan w:val="16"/>
            <w:vMerge w:val="continue"/>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96"/>
        </w:trPr>
        <w:tc>
          <w:tcPr>
            <w:tcW w:w="2660" w:type="dxa"/>
            <w:vAlign w:val="bottom"/>
            <w:gridSpan w:val="16"/>
            <w:shd w:val="clear" w:color="auto" w:fill="CCEEFF"/>
          </w:tcPr>
          <w:p>
            <w:pPr>
              <w:ind w:left="20"/>
              <w:spacing w:after="0" w:line="197" w:lineRule="exact"/>
              <w:rPr>
                <w:sz w:val="20"/>
                <w:szCs w:val="20"/>
                <w:color w:val="auto"/>
              </w:rPr>
            </w:pPr>
            <w:r>
              <w:rPr>
                <w:rFonts w:ascii="Times New Roman" w:cs="Times New Roman" w:eastAsia="Times New Roman" w:hAnsi="Times New Roman"/>
                <w:sz w:val="14"/>
                <w:szCs w:val="14"/>
                <w:b w:val="1"/>
                <w:bCs w:val="1"/>
                <w:color w:val="auto"/>
              </w:rPr>
              <w:t>Maven Research, Inc.</w:t>
            </w:r>
            <w:r>
              <w:rPr>
                <w:rFonts w:ascii="Times New Roman" w:cs="Times New Roman" w:eastAsia="Times New Roman" w:hAnsi="Times New Roman"/>
                <w:sz w:val="22"/>
                <w:szCs w:val="22"/>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6"/>
          </w:tcPr>
          <w:p>
            <w:pPr>
              <w:ind w:left="20"/>
              <w:spacing w:after="0"/>
              <w:rPr>
                <w:sz w:val="20"/>
                <w:szCs w:val="20"/>
                <w:color w:val="auto"/>
              </w:rPr>
            </w:pPr>
            <w:r>
              <w:rPr>
                <w:rFonts w:ascii="Times New Roman" w:cs="Times New Roman" w:eastAsia="Times New Roman" w:hAnsi="Times New Roman"/>
                <w:sz w:val="16"/>
                <w:szCs w:val="16"/>
                <w:color w:val="auto"/>
              </w:rPr>
              <w:t>Preferred shares, Series C</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San Francisco, CA</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Knowledge Networks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318,979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$ 2,000,447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$ 1,999,998</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0.66%</w:t>
            </w:r>
          </w:p>
        </w:tc>
        <w:tc>
          <w:tcPr>
            <w:tcW w:w="0" w:type="dxa"/>
            <w:vAlign w:val="bottom"/>
          </w:tcPr>
          <w:p>
            <w:pPr>
              <w:spacing w:after="0"/>
              <w:rPr>
                <w:sz w:val="1"/>
                <w:szCs w:val="1"/>
                <w:color w:val="auto"/>
              </w:rPr>
            </w:pPr>
          </w:p>
        </w:tc>
      </w:tr>
      <w:tr>
        <w:trPr>
          <w:trHeight w:val="206"/>
        </w:trPr>
        <w:tc>
          <w:tcPr>
            <w:tcW w:w="266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49,505</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217,206</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249,505</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2,217,653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2,249,503</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0.74%</w:t>
            </w:r>
          </w:p>
        </w:tc>
        <w:tc>
          <w:tcPr>
            <w:tcW w:w="0" w:type="dxa"/>
            <w:vAlign w:val="bottom"/>
          </w:tcPr>
          <w:p>
            <w:pPr>
              <w:spacing w:after="0"/>
              <w:rPr>
                <w:sz w:val="1"/>
                <w:szCs w:val="1"/>
                <w:color w:val="auto"/>
              </w:rPr>
            </w:pPr>
          </w:p>
        </w:tc>
      </w:tr>
      <w:tr>
        <w:trPr>
          <w:trHeight w:val="156"/>
        </w:trPr>
        <w:tc>
          <w:tcPr>
            <w:tcW w:w="2660" w:type="dxa"/>
            <w:vAlign w:val="bottom"/>
            <w:gridSpan w:val="16"/>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Clever,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6"/>
          </w:tcPr>
          <w:p>
            <w:pPr>
              <w:ind w:left="20"/>
              <w:spacing w:after="0"/>
              <w:rPr>
                <w:sz w:val="20"/>
                <w:szCs w:val="20"/>
                <w:color w:val="auto"/>
              </w:rPr>
            </w:pPr>
            <w:r>
              <w:rPr>
                <w:rFonts w:ascii="Times New Roman" w:cs="Times New Roman" w:eastAsia="Times New Roman" w:hAnsi="Times New Roman"/>
                <w:sz w:val="16"/>
                <w:szCs w:val="16"/>
                <w:color w:val="auto"/>
              </w:rPr>
              <w:t>Series B Preferred Stock</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San Francisco, CA</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Education Software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1,799,047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2,000,601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2,005,701</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0.66%</w:t>
            </w:r>
          </w:p>
        </w:tc>
        <w:tc>
          <w:tcPr>
            <w:tcW w:w="0" w:type="dxa"/>
            <w:vAlign w:val="bottom"/>
          </w:tcPr>
          <w:p>
            <w:pPr>
              <w:spacing w:after="0"/>
              <w:rPr>
                <w:sz w:val="1"/>
                <w:szCs w:val="1"/>
                <w:color w:val="auto"/>
              </w:rPr>
            </w:pPr>
          </w:p>
        </w:tc>
      </w:tr>
      <w:tr>
        <w:trPr>
          <w:trHeight w:val="165"/>
        </w:trPr>
        <w:tc>
          <w:tcPr>
            <w:tcW w:w="2660" w:type="dxa"/>
            <w:vAlign w:val="bottom"/>
            <w:gridSpan w:val="16"/>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Gilt Groupe Holdings,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6"/>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NY</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e-Commerce Flash Sales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248,600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6,594,433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1,128,644</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0.37%</w:t>
            </w:r>
          </w:p>
        </w:tc>
        <w:tc>
          <w:tcPr>
            <w:tcW w:w="0" w:type="dxa"/>
            <w:vAlign w:val="bottom"/>
          </w:tcPr>
          <w:p>
            <w:pPr>
              <w:spacing w:after="0"/>
              <w:rPr>
                <w:sz w:val="1"/>
                <w:szCs w:val="1"/>
                <w:color w:val="auto"/>
              </w:rPr>
            </w:pPr>
          </w:p>
        </w:tc>
      </w:tr>
      <w:tr>
        <w:trPr>
          <w:trHeight w:val="206"/>
        </w:trPr>
        <w:tc>
          <w:tcPr>
            <w:tcW w:w="2660" w:type="dxa"/>
            <w:vAlign w:val="bottom"/>
            <w:gridSpan w:val="16"/>
            <w:shd w:val="clear" w:color="auto" w:fill="CCEEFF"/>
          </w:tcPr>
          <w:p>
            <w:pPr>
              <w:ind w:left="20"/>
              <w:spacing w:after="0" w:line="205" w:lineRule="exact"/>
              <w:rPr>
                <w:sz w:val="20"/>
                <w:szCs w:val="20"/>
                <w:color w:val="auto"/>
              </w:rPr>
            </w:pPr>
            <w:r>
              <w:rPr>
                <w:rFonts w:ascii="Times New Roman" w:cs="Times New Roman" w:eastAsia="Times New Roman" w:hAnsi="Times New Roman"/>
                <w:sz w:val="14"/>
                <w:szCs w:val="14"/>
                <w:b w:val="1"/>
                <w:bCs w:val="1"/>
                <w:color w:val="auto"/>
              </w:rPr>
              <w:t>AlwaysOn, Inc.</w:t>
            </w:r>
            <w:r>
              <w:rPr>
                <w:rFonts w:ascii="Times New Roman" w:cs="Times New Roman" w:eastAsia="Times New Roman" w:hAnsi="Times New Roman"/>
                <w:sz w:val="23"/>
                <w:szCs w:val="23"/>
                <w:b w:val="1"/>
                <w:bCs w:val="1"/>
                <w:color w:val="auto"/>
                <w:vertAlign w:val="superscript"/>
              </w:rPr>
              <w:t>(2)</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6"/>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Woodside, CA</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Social Media</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1,066,626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1,027,391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554,646</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0.18%</w:t>
            </w:r>
          </w:p>
        </w:tc>
        <w:tc>
          <w:tcPr>
            <w:tcW w:w="0" w:type="dxa"/>
            <w:vAlign w:val="bottom"/>
          </w:tcPr>
          <w:p>
            <w:pPr>
              <w:spacing w:after="0"/>
              <w:rPr>
                <w:sz w:val="1"/>
                <w:szCs w:val="1"/>
                <w:color w:val="auto"/>
              </w:rPr>
            </w:pPr>
          </w:p>
        </w:tc>
      </w:tr>
      <w:tr>
        <w:trPr>
          <w:trHeight w:val="206"/>
        </w:trPr>
        <w:tc>
          <w:tcPr>
            <w:tcW w:w="266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A-1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4,465,925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876,342</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446,593</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189"/>
        </w:trPr>
        <w:tc>
          <w:tcPr>
            <w:tcW w:w="2660" w:type="dxa"/>
            <w:vAlign w:val="bottom"/>
            <w:gridSpan w:val="16"/>
          </w:tcPr>
          <w:p>
            <w:pPr>
              <w:ind w:left="20"/>
              <w:spacing w:after="0"/>
              <w:rPr>
                <w:sz w:val="20"/>
                <w:szCs w:val="20"/>
                <w:color w:val="auto"/>
              </w:rPr>
            </w:pPr>
            <w:r>
              <w:rPr>
                <w:rFonts w:ascii="Times New Roman" w:cs="Times New Roman" w:eastAsia="Times New Roman" w:hAnsi="Times New Roman"/>
                <w:sz w:val="16"/>
                <w:szCs w:val="16"/>
                <w:color w:val="auto"/>
              </w:rPr>
              <w:t>Preferred warrants Series A, $1.00 strike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15"/>
          </w:tcPr>
          <w:p>
            <w:pPr>
              <w:ind w:left="180"/>
              <w:spacing w:after="0"/>
              <w:rPr>
                <w:sz w:val="20"/>
                <w:szCs w:val="20"/>
                <w:color w:val="auto"/>
              </w:rPr>
            </w:pPr>
            <w:r>
              <w:rPr>
                <w:rFonts w:ascii="Times New Roman" w:cs="Times New Roman" w:eastAsia="Times New Roman" w:hAnsi="Times New Roman"/>
                <w:sz w:val="16"/>
                <w:szCs w:val="16"/>
                <w:color w:val="auto"/>
              </w:rPr>
              <w:t>price, expire 1/9/2017</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109,375</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40" w:type="dxa"/>
            <w:vAlign w:val="bottom"/>
            <w:gridSpan w:val="15"/>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1,903,733</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1,004,520</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0.33%</w:t>
            </w: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gridSpan w:val="16"/>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Enjoy Technology, Inc.</w:t>
            </w:r>
          </w:p>
        </w:tc>
        <w:tc>
          <w:tcPr>
            <w:tcW w:w="6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9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A Preferred Shares</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Menlo Park, CA</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Online Shopping</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879,198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1,002,440</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1,002,440</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0.33%</w:t>
            </w:r>
          </w:p>
        </w:tc>
        <w:tc>
          <w:tcPr>
            <w:tcW w:w="0" w:type="dxa"/>
            <w:vAlign w:val="bottom"/>
          </w:tcPr>
          <w:p>
            <w:pPr>
              <w:spacing w:after="0"/>
              <w:rPr>
                <w:sz w:val="1"/>
                <w:szCs w:val="1"/>
                <w:color w:val="auto"/>
              </w:rPr>
            </w:pPr>
          </w:p>
        </w:tc>
      </w:tr>
      <w:tr>
        <w:trPr>
          <w:trHeight w:val="203"/>
        </w:trPr>
        <w:tc>
          <w:tcPr>
            <w:tcW w:w="2660" w:type="dxa"/>
            <w:vAlign w:val="bottom"/>
            <w:gridSpan w:val="16"/>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Strategic Data Command, LLC</w:t>
            </w:r>
            <w:r>
              <w:rPr>
                <w:rFonts w:ascii="Times New Roman" w:cs="Times New Roman" w:eastAsia="Times New Roman" w:hAnsi="Times New Roman"/>
                <w:sz w:val="23"/>
                <w:szCs w:val="23"/>
                <w:b w:val="1"/>
                <w:bCs w:val="1"/>
                <w:color w:val="auto"/>
                <w:vertAlign w:val="superscript"/>
              </w:rPr>
              <w:t>(1)(7)</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Sunnyvale, CA</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Software Development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1,001,650</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0.33%</w:t>
            </w:r>
          </w:p>
        </w:tc>
        <w:tc>
          <w:tcPr>
            <w:tcW w:w="0" w:type="dxa"/>
            <w:vAlign w:val="bottom"/>
          </w:tcPr>
          <w:p>
            <w:pPr>
              <w:spacing w:after="0"/>
              <w:rPr>
                <w:sz w:val="1"/>
                <w:szCs w:val="1"/>
                <w:color w:val="auto"/>
              </w:rPr>
            </w:pPr>
          </w:p>
        </w:tc>
      </w:tr>
      <w:tr>
        <w:trPr>
          <w:trHeight w:val="162"/>
        </w:trPr>
        <w:tc>
          <w:tcPr>
            <w:tcW w:w="2660" w:type="dxa"/>
            <w:vAlign w:val="bottom"/>
            <w:gridSpan w:val="16"/>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AliphCom, Inc. (d/b/a Jawbone)</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San Francisco, CA</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Smart Device Company</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793,152</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722,455</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0.24%</w:t>
            </w:r>
          </w:p>
        </w:tc>
        <w:tc>
          <w:tcPr>
            <w:tcW w:w="0" w:type="dxa"/>
            <w:vAlign w:val="bottom"/>
          </w:tcPr>
          <w:p>
            <w:pPr>
              <w:spacing w:after="0"/>
              <w:rPr>
                <w:sz w:val="1"/>
                <w:szCs w:val="1"/>
                <w:color w:val="auto"/>
              </w:rPr>
            </w:pPr>
          </w:p>
        </w:tc>
      </w:tr>
      <w:tr>
        <w:trPr>
          <w:trHeight w:val="203"/>
        </w:trPr>
        <w:tc>
          <w:tcPr>
            <w:tcW w:w="2660" w:type="dxa"/>
            <w:vAlign w:val="bottom"/>
            <w:gridSpan w:val="16"/>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EdSurge, Inc.</w:t>
            </w:r>
            <w:r>
              <w:rPr>
                <w:rFonts w:ascii="Times New Roman" w:cs="Times New Roman" w:eastAsia="Times New Roman" w:hAnsi="Times New Roman"/>
                <w:sz w:val="23"/>
                <w:szCs w:val="23"/>
                <w:b w:val="1"/>
                <w:bCs w:val="1"/>
                <w:color w:val="auto"/>
                <w:vertAlign w:val="superscript"/>
              </w:rPr>
              <w:t>(1)</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Burlingame, CA</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Education Media Platform</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494,365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500,801</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512,040</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135"/>
        </w:trPr>
        <w:tc>
          <w:tcPr>
            <w:tcW w:w="2180" w:type="dxa"/>
            <w:vAlign w:val="bottom"/>
            <w:gridSpan w:val="1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Cricket Media (f/k/a ePals Inc.)</w:t>
            </w:r>
          </w:p>
        </w:tc>
        <w:tc>
          <w:tcPr>
            <w:tcW w:w="140" w:type="dxa"/>
            <w:vAlign w:val="bottom"/>
            <w:tcBorders>
              <w:bottom w:val="single" w:sz="8" w:color="auto"/>
            </w:tcBorders>
            <w:gridSpan w:val="3"/>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(1)(8)</w:t>
            </w:r>
          </w:p>
        </w:tc>
        <w:tc>
          <w:tcPr>
            <w:tcW w:w="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180" w:type="dxa"/>
            <w:vAlign w:val="bottom"/>
            <w:gridSpan w:val="12"/>
            <w:vMerge w:val="continue"/>
          </w:tcPr>
          <w:p>
            <w:pPr>
              <w:spacing w:after="0"/>
              <w:rPr>
                <w:sz w:val="4"/>
                <w:szCs w:val="4"/>
                <w:color w:val="auto"/>
              </w:rPr>
            </w:pPr>
          </w:p>
        </w:tc>
        <w:tc>
          <w:tcPr>
            <w:tcW w:w="140" w:type="dxa"/>
            <w:vAlign w:val="bottom"/>
            <w:gridSpan w:val="3"/>
          </w:tcPr>
          <w:p>
            <w:pPr>
              <w:spacing w:after="0"/>
              <w:rPr>
                <w:sz w:val="4"/>
                <w:szCs w:val="4"/>
                <w:color w:val="auto"/>
              </w:rPr>
            </w:pPr>
          </w:p>
        </w:tc>
        <w:tc>
          <w:tcPr>
            <w:tcW w:w="3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Herndon, VA</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Online Education</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1,333,333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2,448,959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316,406</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162"/>
        </w:trPr>
        <w:tc>
          <w:tcPr>
            <w:tcW w:w="2660" w:type="dxa"/>
            <w:vAlign w:val="bottom"/>
            <w:gridSpan w:val="16"/>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New Zoom, Inc.</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San Francisco, CA</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Retail Machines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260,476</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275,223</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162"/>
        </w:trPr>
        <w:tc>
          <w:tcPr>
            <w:tcW w:w="2660" w:type="dxa"/>
            <w:vAlign w:val="bottom"/>
            <w:gridSpan w:val="16"/>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Neuron Fuel, Inc.</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AAI</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San Jose, CA</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Computer Software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262,530</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256,437</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203"/>
        </w:trPr>
        <w:tc>
          <w:tcPr>
            <w:tcW w:w="2660" w:type="dxa"/>
            <w:vAlign w:val="bottom"/>
            <w:gridSpan w:val="16"/>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The rSmart Group, Inc.</w:t>
            </w:r>
            <w:r>
              <w:rPr>
                <w:rFonts w:ascii="Times New Roman" w:cs="Times New Roman" w:eastAsia="Times New Roman" w:hAnsi="Times New Roman"/>
                <w:sz w:val="23"/>
                <w:szCs w:val="23"/>
                <w:b w:val="1"/>
                <w:bCs w:val="1"/>
                <w:color w:val="auto"/>
                <w:vertAlign w:val="superscript"/>
              </w:rPr>
              <w:t>(1)</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Scottsdale, AZ</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Higher Education</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Learning Platform</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1,201,923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1,268,640</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196,768</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0.07%</w:t>
            </w:r>
          </w:p>
        </w:tc>
        <w:tc>
          <w:tcPr>
            <w:tcW w:w="0" w:type="dxa"/>
            <w:vAlign w:val="bottom"/>
          </w:tcPr>
          <w:p>
            <w:pPr>
              <w:spacing w:after="0"/>
              <w:rPr>
                <w:sz w:val="1"/>
                <w:szCs w:val="1"/>
                <w:color w:val="auto"/>
              </w:rPr>
            </w:pPr>
          </w:p>
        </w:tc>
      </w:tr>
      <w:tr>
        <w:trPr>
          <w:trHeight w:val="162"/>
        </w:trPr>
        <w:tc>
          <w:tcPr>
            <w:tcW w:w="2660" w:type="dxa"/>
            <w:vAlign w:val="bottom"/>
            <w:gridSpan w:val="16"/>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Odesk Corporation</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Redwood City, CA</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Online Workplace</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Platform</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183,269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163,725</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-5693410</wp:posOffset>
            </wp:positionV>
            <wp:extent cx="5213985"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-3841115</wp:posOffset>
            </wp:positionV>
            <wp:extent cx="521398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i w:val="1"/>
          <w:iCs w:val="1"/>
          <w:color w:val="auto"/>
        </w:rPr>
        <w:t>See notes to the Condensed Consolidated Financial Statements</w:t>
      </w:r>
    </w:p>
    <w:p>
      <w:pPr>
        <w:spacing w:after="0" w:line="200" w:lineRule="exact"/>
        <w:rPr>
          <w:sz w:val="20"/>
          <w:szCs w:val="20"/>
          <w:color w:val="auto"/>
        </w:rPr>
      </w:pPr>
    </w:p>
    <w:p>
      <w:pPr>
        <w:spacing w:after="0" w:line="36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11" w:name="page12"/>
    <w:bookmarkEnd w:id="11"/>
    <w:p>
      <w:pPr>
        <w:ind w:left="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 (Continued)</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March 31, 2015</w:t>
      </w:r>
    </w:p>
    <w:p>
      <w:pPr>
        <w:spacing w:after="0" w:line="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1714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0"/>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40" w:type="dxa"/>
            <w:vAlign w:val="bottom"/>
          </w:tcPr>
          <w:p>
            <w:pPr>
              <w:spacing w:after="0"/>
              <w:rPr>
                <w:sz w:val="13"/>
                <w:szCs w:val="13"/>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Headquarters/Industry</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8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73"/>
        </w:trPr>
        <w:tc>
          <w:tcPr>
            <w:tcW w:w="2660" w:type="dxa"/>
            <w:vAlign w:val="bottom"/>
            <w:tcBorders>
              <w:bottom w:val="single" w:sz="8" w:color="auto"/>
            </w:tcBorders>
            <w:gridSpan w:val="10"/>
            <w:vMerge w:val="continue"/>
          </w:tcPr>
          <w:p>
            <w:pPr>
              <w:spacing w:after="0"/>
              <w:rPr>
                <w:sz w:val="15"/>
                <w:szCs w:val="15"/>
                <w:color w:val="auto"/>
              </w:rPr>
            </w:pPr>
          </w:p>
        </w:tc>
        <w:tc>
          <w:tcPr>
            <w:tcW w:w="40" w:type="dxa"/>
            <w:vAlign w:val="bottom"/>
          </w:tcPr>
          <w:p>
            <w:pPr>
              <w:spacing w:after="0"/>
              <w:rPr>
                <w:sz w:val="15"/>
                <w:szCs w:val="15"/>
                <w:color w:val="auto"/>
              </w:rPr>
            </w:pPr>
          </w:p>
        </w:tc>
        <w:tc>
          <w:tcPr>
            <w:tcW w:w="186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96"/>
        </w:trPr>
        <w:tc>
          <w:tcPr>
            <w:tcW w:w="2660" w:type="dxa"/>
            <w:vAlign w:val="bottom"/>
            <w:gridSpan w:val="10"/>
            <w:shd w:val="clear" w:color="auto" w:fill="CCEEFF"/>
          </w:tcPr>
          <w:p>
            <w:pPr>
              <w:ind w:left="20"/>
              <w:spacing w:after="0" w:line="197" w:lineRule="exact"/>
              <w:rPr>
                <w:sz w:val="20"/>
                <w:szCs w:val="20"/>
                <w:color w:val="auto"/>
              </w:rPr>
            </w:pPr>
            <w:r>
              <w:rPr>
                <w:rFonts w:ascii="Times New Roman" w:cs="Times New Roman" w:eastAsia="Times New Roman" w:hAnsi="Times New Roman"/>
                <w:sz w:val="14"/>
                <w:szCs w:val="14"/>
                <w:b w:val="1"/>
                <w:bCs w:val="1"/>
                <w:color w:val="auto"/>
              </w:rPr>
              <w:t>Totus Solutions, Inc.</w:t>
            </w:r>
            <w:r>
              <w:rPr>
                <w:rFonts w:ascii="Times New Roman" w:cs="Times New Roman" w:eastAsia="Times New Roman" w:hAnsi="Times New Roman"/>
                <w:sz w:val="22"/>
                <w:szCs w:val="22"/>
                <w:b w:val="1"/>
                <w:bCs w:val="1"/>
                <w:color w:val="auto"/>
                <w:vertAlign w:val="superscript"/>
              </w:rPr>
              <w:t>(1)</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auto"/>
              </w:rPr>
              <w:t>Convertible Promissory Note 6%,</w:t>
            </w:r>
          </w:p>
        </w:tc>
        <w:tc>
          <w:tcPr>
            <w:tcW w:w="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9"/>
          </w:tcPr>
          <w:p>
            <w:pPr>
              <w:ind w:left="180"/>
              <w:spacing w:after="0"/>
              <w:rPr>
                <w:sz w:val="20"/>
                <w:szCs w:val="20"/>
                <w:color w:val="auto"/>
              </w:rPr>
            </w:pPr>
            <w:r>
              <w:rPr>
                <w:rFonts w:ascii="Times New Roman" w:cs="Times New Roman" w:eastAsia="Times New Roman" w:hAnsi="Times New Roman"/>
                <w:sz w:val="16"/>
                <w:szCs w:val="16"/>
                <w:color w:val="auto"/>
              </w:rPr>
              <w:t>Expiration Date, 4/01/2016***</w:t>
            </w:r>
          </w:p>
        </w:tc>
        <w:tc>
          <w:tcPr>
            <w:tcW w:w="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Carrollton, TX</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76,110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76,430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79,550</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06"/>
        </w:trPr>
        <w:tc>
          <w:tcPr>
            <w:tcW w:w="266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LED Lighting</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1,111,111</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75,044</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03"/>
        </w:trPr>
        <w:tc>
          <w:tcPr>
            <w:tcW w:w="266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869,265</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2,184,422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66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1,130,735</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2,840,591</w:t>
            </w: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lef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9"/>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6,101,443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154,594</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156"/>
        </w:trPr>
        <w:tc>
          <w:tcPr>
            <w:tcW w:w="2660" w:type="dxa"/>
            <w:vAlign w:val="bottom"/>
            <w:gridSpan w:val="10"/>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4C Insights (f.k.a The Echo Systems</w:t>
            </w:r>
          </w:p>
        </w:tc>
        <w:tc>
          <w:tcPr>
            <w:tcW w:w="4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2480" w:type="dxa"/>
            <w:vAlign w:val="bottom"/>
            <w:tcBorders>
              <w:top w:val="single" w:sz="8" w:color="auto"/>
            </w:tcBorders>
            <w:gridSpan w:val="8"/>
            <w:shd w:val="clear" w:color="auto" w:fill="CCEEFF"/>
          </w:tcPr>
          <w:p>
            <w:pPr>
              <w:ind w:left="180"/>
              <w:spacing w:after="0" w:line="183" w:lineRule="exact"/>
              <w:rPr>
                <w:sz w:val="20"/>
                <w:szCs w:val="20"/>
                <w:color w:val="auto"/>
              </w:rPr>
            </w:pPr>
            <w:r>
              <w:rPr>
                <w:rFonts w:ascii="Times New Roman" w:cs="Times New Roman" w:eastAsia="Times New Roman" w:hAnsi="Times New Roman"/>
                <w:sz w:val="16"/>
                <w:szCs w:val="16"/>
                <w:b w:val="1"/>
                <w:bCs w:val="1"/>
                <w:color w:val="auto"/>
              </w:rPr>
              <w:t>Corp.)</w:t>
            </w: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lef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left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4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Chicago, IL</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Social Data Platform</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512,365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1,436,404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153,710</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165"/>
        </w:trPr>
        <w:tc>
          <w:tcPr>
            <w:tcW w:w="2660" w:type="dxa"/>
            <w:vAlign w:val="bottom"/>
            <w:gridSpan w:val="10"/>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Earlyshares.com</w:t>
            </w:r>
          </w:p>
        </w:tc>
        <w:tc>
          <w:tcPr>
            <w:tcW w:w="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4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Miami, FL</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Equity Crowd Funding</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165,715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261,598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125,115</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06"/>
        </w:trPr>
        <w:tc>
          <w:tcPr>
            <w:tcW w:w="2660" w:type="dxa"/>
            <w:vAlign w:val="bottom"/>
            <w:gridSpan w:val="10"/>
            <w:shd w:val="clear" w:color="auto" w:fill="CCEEFF"/>
          </w:tcPr>
          <w:p>
            <w:pPr>
              <w:ind w:left="20"/>
              <w:spacing w:after="0" w:line="205" w:lineRule="exact"/>
              <w:rPr>
                <w:sz w:val="20"/>
                <w:szCs w:val="20"/>
                <w:color w:val="auto"/>
              </w:rPr>
            </w:pPr>
            <w:r>
              <w:rPr>
                <w:rFonts w:ascii="Times New Roman" w:cs="Times New Roman" w:eastAsia="Times New Roman" w:hAnsi="Times New Roman"/>
                <w:sz w:val="14"/>
                <w:szCs w:val="14"/>
                <w:b w:val="1"/>
                <w:bCs w:val="1"/>
                <w:color w:val="auto"/>
              </w:rPr>
              <w:t>Dailybreak, Inc.</w:t>
            </w:r>
            <w:r>
              <w:rPr>
                <w:rFonts w:ascii="Times New Roman" w:cs="Times New Roman" w:eastAsia="Times New Roman" w:hAnsi="Times New Roman"/>
                <w:sz w:val="23"/>
                <w:szCs w:val="23"/>
                <w:b w:val="1"/>
                <w:bCs w:val="1"/>
                <w:color w:val="auto"/>
                <w:vertAlign w:val="superscript"/>
              </w:rPr>
              <w:t>(1)</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auto"/>
              </w:rPr>
              <w:t>Preferred shares, Series A-2</w:t>
            </w:r>
          </w:p>
        </w:tc>
        <w:tc>
          <w:tcPr>
            <w:tcW w:w="4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Boston, MA</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Social Advertising</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347,666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426,254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266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A-1</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1,878,129</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2,430,950</w:t>
            </w: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lef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6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2,857,204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6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Portfolio Investments</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303,771,356</w:t>
            </w: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401,423,763</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132.67%</w:t>
            </w: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gridSpan w:val="10"/>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U.S. Treasury</w:t>
            </w:r>
          </w:p>
        </w:tc>
        <w:tc>
          <w:tcPr>
            <w:tcW w:w="4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Bill, 0%, due 4/2/2015</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100,000,000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100,013,333</w:t>
            </w:r>
          </w:p>
        </w:tc>
        <w:tc>
          <w:tcPr>
            <w:tcW w:w="1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100,013,333</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33.05%</w:t>
            </w:r>
          </w:p>
        </w:tc>
        <w:tc>
          <w:tcPr>
            <w:tcW w:w="0" w:type="dxa"/>
            <w:vAlign w:val="bottom"/>
          </w:tcPr>
          <w:p>
            <w:pPr>
              <w:spacing w:after="0"/>
              <w:rPr>
                <w:sz w:val="1"/>
                <w:szCs w:val="1"/>
                <w:color w:val="auto"/>
              </w:rPr>
            </w:pPr>
          </w:p>
        </w:tc>
      </w:tr>
      <w:tr>
        <w:trPr>
          <w:trHeight w:val="203"/>
        </w:trPr>
        <w:tc>
          <w:tcPr>
            <w:tcW w:w="2660" w:type="dxa"/>
            <w:vAlign w:val="bottom"/>
            <w:gridSpan w:val="10"/>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U.S. Treasury Strips</w:t>
            </w:r>
            <w:r>
              <w:rPr>
                <w:rFonts w:ascii="Times New Roman" w:cs="Times New Roman" w:eastAsia="Times New Roman" w:hAnsi="Times New Roman"/>
                <w:sz w:val="23"/>
                <w:szCs w:val="23"/>
                <w:b w:val="1"/>
                <w:bCs w:val="1"/>
                <w:color w:val="auto"/>
                <w:vertAlign w:val="superscript"/>
              </w:rPr>
              <w:t>(10)</w:t>
            </w: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Treasury Strip Coupon,</w:t>
            </w:r>
          </w:p>
        </w:tc>
        <w:tc>
          <w:tcPr>
            <w:tcW w:w="4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64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0.00% due 08/15/2016</w:t>
            </w:r>
          </w:p>
        </w:tc>
        <w:tc>
          <w:tcPr>
            <w:tcW w:w="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1,851,000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1,832,074</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1,840,264</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0.61%</w:t>
            </w:r>
          </w:p>
        </w:tc>
        <w:tc>
          <w:tcPr>
            <w:tcW w:w="0" w:type="dxa"/>
            <w:vAlign w:val="bottom"/>
          </w:tcPr>
          <w:p>
            <w:pPr>
              <w:spacing w:after="0"/>
              <w:rPr>
                <w:sz w:val="1"/>
                <w:szCs w:val="1"/>
                <w:color w:val="auto"/>
              </w:rPr>
            </w:pPr>
          </w:p>
        </w:tc>
      </w:tr>
      <w:tr>
        <w:trPr>
          <w:trHeight w:val="189"/>
        </w:trPr>
        <w:tc>
          <w:tcPr>
            <w:tcW w:w="266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auto"/>
              </w:rPr>
              <w:t>United States Treasury Strip Coupon,</w:t>
            </w:r>
          </w:p>
        </w:tc>
        <w:tc>
          <w:tcPr>
            <w:tcW w:w="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9"/>
          </w:tcPr>
          <w:p>
            <w:pPr>
              <w:ind w:left="180"/>
              <w:spacing w:after="0"/>
              <w:rPr>
                <w:sz w:val="20"/>
                <w:szCs w:val="20"/>
                <w:color w:val="auto"/>
              </w:rPr>
            </w:pPr>
            <w:r>
              <w:rPr>
                <w:rFonts w:ascii="Times New Roman" w:cs="Times New Roman" w:eastAsia="Times New Roman" w:hAnsi="Times New Roman"/>
                <w:sz w:val="16"/>
                <w:szCs w:val="16"/>
                <w:color w:val="auto"/>
              </w:rPr>
              <w:t>0.00% due 02/15/2016</w:t>
            </w:r>
          </w:p>
        </w:tc>
        <w:tc>
          <w:tcPr>
            <w:tcW w:w="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1,834,000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1,825,362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1,830,149</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0.61%</w:t>
            </w:r>
          </w:p>
        </w:tc>
        <w:tc>
          <w:tcPr>
            <w:tcW w:w="0" w:type="dxa"/>
            <w:vAlign w:val="bottom"/>
          </w:tcPr>
          <w:p>
            <w:pPr>
              <w:spacing w:after="0"/>
              <w:rPr>
                <w:sz w:val="1"/>
                <w:szCs w:val="1"/>
                <w:color w:val="auto"/>
              </w:rPr>
            </w:pPr>
          </w:p>
        </w:tc>
      </w:tr>
      <w:tr>
        <w:trPr>
          <w:trHeight w:val="192"/>
        </w:trPr>
        <w:tc>
          <w:tcPr>
            <w:tcW w:w="266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Treasury Strip Coupon,</w:t>
            </w:r>
          </w:p>
        </w:tc>
        <w:tc>
          <w:tcPr>
            <w:tcW w:w="4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264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0.00% due 08/15/2015</w:t>
            </w:r>
          </w:p>
        </w:tc>
        <w:tc>
          <w:tcPr>
            <w:tcW w:w="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1,823,000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1,820,690</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1,822,089</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0.60%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640" w:type="dxa"/>
            <w:vAlign w:val="bottom"/>
            <w:gridSpan w:val="9"/>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5,478,126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5,492,502</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6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Investments</w:t>
            </w:r>
          </w:p>
        </w:tc>
        <w:tc>
          <w:tcPr>
            <w:tcW w:w="4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409,262,815</w:t>
            </w:r>
          </w:p>
        </w:tc>
        <w:tc>
          <w:tcPr>
            <w:tcW w:w="1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506,929,598</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167.54%</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180" w:type="dxa"/>
            <w:vAlign w:val="bottom"/>
            <w:tcBorders>
              <w:top w:val="single" w:sz="8" w:color="CCEEFF"/>
              <w:bottom w:val="single" w:sz="8" w:color="auto"/>
            </w:tcBorders>
          </w:tcPr>
          <w:p>
            <w:pPr>
              <w:spacing w:after="0"/>
              <w:rPr>
                <w:sz w:val="22"/>
                <w:szCs w:val="22"/>
                <w:color w:val="auto"/>
              </w:rPr>
            </w:pPr>
          </w:p>
        </w:tc>
        <w:tc>
          <w:tcPr>
            <w:tcW w:w="440" w:type="dxa"/>
            <w:vAlign w:val="bottom"/>
            <w:tcBorders>
              <w:top w:val="single" w:sz="8" w:color="CCEEFF"/>
              <w:bottom w:val="single" w:sz="8" w:color="auto"/>
            </w:tcBorders>
          </w:tcPr>
          <w:p>
            <w:pPr>
              <w:spacing w:after="0"/>
              <w:rPr>
                <w:sz w:val="22"/>
                <w:szCs w:val="22"/>
                <w:color w:val="auto"/>
              </w:rPr>
            </w:pPr>
          </w:p>
        </w:tc>
        <w:tc>
          <w:tcPr>
            <w:tcW w:w="320" w:type="dxa"/>
            <w:vAlign w:val="bottom"/>
            <w:tcBorders>
              <w:top w:val="single" w:sz="8" w:color="CCEEFF"/>
              <w:bottom w:val="single" w:sz="8" w:color="auto"/>
            </w:tcBorders>
          </w:tcPr>
          <w:p>
            <w:pPr>
              <w:spacing w:after="0"/>
              <w:rPr>
                <w:sz w:val="22"/>
                <w:szCs w:val="22"/>
                <w:color w:val="auto"/>
              </w:rPr>
            </w:pPr>
          </w:p>
        </w:tc>
        <w:tc>
          <w:tcPr>
            <w:tcW w:w="40" w:type="dxa"/>
            <w:vAlign w:val="bottom"/>
            <w:tcBorders>
              <w:top w:val="single" w:sz="8" w:color="CCEEFF"/>
              <w:bottom w:val="single" w:sz="8" w:color="auto"/>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10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86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90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-3541395</wp:posOffset>
            </wp:positionV>
            <wp:extent cx="5213985"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-1954530</wp:posOffset>
            </wp:positionV>
            <wp:extent cx="5213985"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-1680210</wp:posOffset>
            </wp:positionV>
            <wp:extent cx="521398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-488315</wp:posOffset>
            </wp:positionV>
            <wp:extent cx="5213985"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2" w:lineRule="exact"/>
        <w:rPr>
          <w:sz w:val="20"/>
          <w:szCs w:val="20"/>
          <w:color w:val="auto"/>
        </w:rPr>
      </w:pPr>
    </w:p>
    <w:p>
      <w:pPr>
        <w:ind w:left="300" w:right="539" w:hanging="272"/>
        <w:spacing w:after="0" w:line="282" w:lineRule="auto"/>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portfolio investments are non-control/non-affiliated and non-income producing, unless identified. Equity investments are subject to lock-up restrictions upon their initial public offering.</w:t>
      </w:r>
    </w:p>
    <w:p>
      <w:pPr>
        <w:spacing w:after="0" w:line="54" w:lineRule="exact"/>
        <w:rPr>
          <w:sz w:val="20"/>
          <w:szCs w:val="20"/>
          <w:color w:val="auto"/>
        </w:rPr>
      </w:pPr>
    </w:p>
    <w:p>
      <w:pPr>
        <w:ind w:left="300" w:right="519" w:hanging="272"/>
        <w:spacing w:after="0" w:line="282" w:lineRule="auto"/>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assets that GSV Capital Corp. believes do not represent “qualifying assets” under Section 55(a) of the Investment Company Act of 1940, as amended.</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is income producing.</w:t>
      </w:r>
    </w:p>
    <w:p>
      <w:pPr>
        <w:spacing w:after="0" w:line="117" w:lineRule="exact"/>
        <w:rPr>
          <w:sz w:val="20"/>
          <w:szCs w:val="20"/>
          <w:color w:val="auto"/>
        </w:rPr>
      </w:pPr>
    </w:p>
    <w:p>
      <w:pPr>
        <w:jc w:val="both"/>
        <w:ind w:left="300" w:right="519" w:hanging="272"/>
        <w:spacing w:after="0" w:line="266"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an Affiliate Investment. “Affiliate Investments” are investments in those companies that are “Affiliated Companies” of GSV Capital Corp., as defined in the Investment Company Act of 1940. A company is deemed to be an “Affiliate” of GSV Capital Corp. if GSV Capital Corp. owns 5% or more of the voting securities of such company.</w:t>
      </w:r>
    </w:p>
    <w:p>
      <w:pPr>
        <w:spacing w:after="0" w:line="68" w:lineRule="exact"/>
        <w:rPr>
          <w:rFonts w:ascii="Times New Roman" w:cs="Times New Roman" w:eastAsia="Times New Roman" w:hAnsi="Times New Roman"/>
          <w:sz w:val="18"/>
          <w:szCs w:val="18"/>
          <w:color w:val="auto"/>
        </w:rPr>
      </w:pPr>
    </w:p>
    <w:p>
      <w:pPr>
        <w:jc w:val="both"/>
        <w:ind w:left="300" w:right="519" w:hanging="272"/>
        <w:spacing w:after="0" w:line="266"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 Control Investment. “Control Investments” are investments in those companies that are “Controlled Companies” of GSV Capital Corp., as defined in the Investment Company Act of 1940. A company is deemed to be a “Controlled Company” of GSV Capital Corp. if GSV Capital Corp. owns 25% or more of the voting securities of such company.</w:t>
      </w:r>
    </w:p>
    <w:p>
      <w:pPr>
        <w:spacing w:after="0" w:line="68" w:lineRule="exact"/>
        <w:rPr>
          <w:rFonts w:ascii="Times New Roman" w:cs="Times New Roman" w:eastAsia="Times New Roman" w:hAnsi="Times New Roman"/>
          <w:sz w:val="18"/>
          <w:szCs w:val="18"/>
          <w:color w:val="auto"/>
        </w:rPr>
      </w:pPr>
    </w:p>
    <w:p>
      <w:pPr>
        <w:ind w:left="300" w:right="539" w:hanging="272"/>
        <w:spacing w:after="0" w:line="282"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GSV Capital Corp.’s investment in Avenues Global Holdings, LLC is held through its wholly-owned subsidiary GSVC AV Holdings, Inc.</w:t>
      </w:r>
    </w:p>
    <w:p>
      <w:pPr>
        <w:spacing w:after="0" w:line="200" w:lineRule="exact"/>
        <w:rPr>
          <w:sz w:val="20"/>
          <w:szCs w:val="20"/>
          <w:color w:val="auto"/>
        </w:rPr>
      </w:pPr>
    </w:p>
    <w:p>
      <w:pPr>
        <w:spacing w:after="0" w:line="28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i w:val="1"/>
          <w:iCs w:val="1"/>
          <w:color w:val="auto"/>
        </w:rPr>
        <w:t>See notes to the Condensed Consolidated Financial Statements</w:t>
      </w:r>
    </w:p>
    <w:p>
      <w:pPr>
        <w:spacing w:after="0" w:line="200" w:lineRule="exact"/>
        <w:rPr>
          <w:sz w:val="20"/>
          <w:szCs w:val="20"/>
          <w:color w:val="auto"/>
        </w:rPr>
      </w:pPr>
    </w:p>
    <w:p>
      <w:pPr>
        <w:spacing w:after="0" w:line="36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12" w:name="page13"/>
    <w:bookmarkEnd w:id="1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 (Continued)</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March 31, 2015</w:t>
      </w:r>
    </w:p>
    <w:p>
      <w:pPr>
        <w:spacing w:after="0" w:line="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left="280" w:right="519" w:hanging="272"/>
        <w:spacing w:after="0" w:line="282" w:lineRule="auto"/>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GSV Capital Corp.’s investment in Whittle Schools, LLC is held through its wholly-owned subsidiary GSVC WS Holdings, Inc. Whittle Schools, LLC is an investment whose economics are derived from the value of Avenues Global Holdings LLC.</w:t>
      </w:r>
    </w:p>
    <w:p>
      <w:pPr>
        <w:spacing w:after="0" w:line="5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GSV Capital Corp.’s investment in StormWind, LLC is held through its wholly-owned subsidiary GSVC SW Holdings, Inc.</w:t>
      </w:r>
    </w:p>
    <w:p>
      <w:pPr>
        <w:spacing w:after="0" w:line="11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GSV Capital Corp.’s investment in SharesPost, Inc. is held through its wholly-owned subsidiary SPNPM Holdings, LLC.</w:t>
      </w:r>
    </w:p>
    <w:p>
      <w:pPr>
        <w:spacing w:after="0" w:line="117" w:lineRule="exact"/>
        <w:rPr>
          <w:rFonts w:ascii="Times New Roman" w:cs="Times New Roman" w:eastAsia="Times New Roman" w:hAnsi="Times New Roman"/>
          <w:sz w:val="18"/>
          <w:szCs w:val="18"/>
          <w:color w:val="auto"/>
        </w:rPr>
      </w:pPr>
    </w:p>
    <w:p>
      <w:pPr>
        <w:ind w:left="280" w:right="539" w:hanging="272"/>
        <w:spacing w:after="0" w:line="282" w:lineRule="auto"/>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GSV Capital Corp.’s investment in Strategic Data Command, LLC is held through its wholly-owned subsidiary GSVC SVDS Holdings, Inc.</w:t>
      </w:r>
    </w:p>
    <w:p>
      <w:pPr>
        <w:spacing w:after="0" w:line="53" w:lineRule="exact"/>
        <w:rPr>
          <w:rFonts w:ascii="Times New Roman" w:cs="Times New Roman" w:eastAsia="Times New Roman" w:hAnsi="Times New Roman"/>
          <w:sz w:val="18"/>
          <w:szCs w:val="18"/>
          <w:color w:val="auto"/>
        </w:rPr>
      </w:pPr>
    </w:p>
    <w:p>
      <w:pPr>
        <w:jc w:val="both"/>
        <w:ind w:left="280" w:right="519" w:hanging="272"/>
        <w:spacing w:after="0" w:line="261" w:lineRule="auto"/>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22, 2013, Cricket Media (f/k/a ePals Inc.), priced its initial public offering, selling 40,267,333 shares at a price of CAD $0.075 per share. At March 31, 2015, GSV Capital Corp. valued Cricket Media (f/k/a ePals Inc.), based on its March 31, 2015 closing price. GSV Capital Corp.’s Chief Executive Officer, Michael Moe is a Board member of Cricket Media (f/k/a ePals Inc.), which subjects GSV Capital Corp. to insider trading restrictions under Canadian securities law.</w:t>
      </w:r>
    </w:p>
    <w:p>
      <w:pPr>
        <w:spacing w:after="0" w:line="71" w:lineRule="exact"/>
        <w:rPr>
          <w:rFonts w:ascii="Times New Roman" w:cs="Times New Roman" w:eastAsia="Times New Roman" w:hAnsi="Times New Roman"/>
          <w:sz w:val="18"/>
          <w:szCs w:val="18"/>
          <w:color w:val="auto"/>
        </w:rPr>
      </w:pPr>
    </w:p>
    <w:p>
      <w:pPr>
        <w:jc w:val="both"/>
        <w:ind w:left="280" w:right="519" w:hanging="272"/>
        <w:spacing w:after="0" w:line="261" w:lineRule="auto"/>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28, 2014, 2U, Inc. (f/k/a 2tor, Inc.) priced its initial public offering, selling 9,175,000 shares at a price of $13 per share. At March 31, 2015, GSV Capital Corp. valued 2U, Inc. (f/k/a 2tor, Inc.), based on its March 31, 2015 closing price less 10.0% as the shares are subject to trading restrictions under SEC Rule 144. Michael Moe is a Board member of 2U, Inc. (f/k/a 2tor, Inc.), which subjects GSV Capital Corp. to insider trading restrictions under U.S securities law.</w:t>
      </w:r>
    </w:p>
    <w:p>
      <w:pPr>
        <w:spacing w:after="0" w:line="71" w:lineRule="exact"/>
        <w:rPr>
          <w:rFonts w:ascii="Times New Roman" w:cs="Times New Roman" w:eastAsia="Times New Roman" w:hAnsi="Times New Roman"/>
          <w:sz w:val="18"/>
          <w:szCs w:val="18"/>
          <w:color w:val="auto"/>
        </w:rPr>
      </w:pPr>
    </w:p>
    <w:p>
      <w:pPr>
        <w:jc w:val="both"/>
        <w:ind w:left="320" w:right="519" w:hanging="312"/>
        <w:spacing w:after="0" w:line="256" w:lineRule="auto"/>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9 — Long Term Liabilities. In accordance with the terms of the Company’s Convertible Senior Notes payable, the Company deposited $10,867,500 in an escrow account with the Trustee. These funds were used to purchase U.S. Treasury Strips (“Government Securities”) with an original cost of $10,845,236. As of March 31, 2015, 3 of the government securities purchased had matured and the proceeds were used by the trustee in accordance with the terms of the escrow agreement. At March 31, 2015, the remaining government securities are shown on the Consolidated Schedule of Investments and have an amortized cost of $5,478,126.</w:t>
      </w:r>
    </w:p>
    <w:p>
      <w:pPr>
        <w:spacing w:after="0" w:line="80" w:lineRule="exact"/>
        <w:rPr>
          <w:sz w:val="20"/>
          <w:szCs w:val="20"/>
          <w:color w:val="auto"/>
        </w:rPr>
      </w:pPr>
    </w:p>
    <w:p>
      <w:pPr>
        <w:jc w:val="both"/>
        <w:ind w:left="300" w:right="539" w:hanging="296"/>
        <w:spacing w:after="0" w:line="266" w:lineRule="auto"/>
        <w:rPr>
          <w:sz w:val="20"/>
          <w:szCs w:val="20"/>
          <w:color w:val="auto"/>
        </w:rPr>
      </w:pPr>
      <w:r>
        <w:rPr>
          <w:rFonts w:ascii="Times New Roman" w:cs="Times New Roman" w:eastAsia="Times New Roman" w:hAnsi="Times New Roman"/>
          <w:sz w:val="18"/>
          <w:szCs w:val="18"/>
          <w:color w:val="auto"/>
        </w:rPr>
        <w:t>(11)Interest will accrue daily on the unpaid principal balance of the note. Accrued interest is not payable until the earlier of a) the closing of a subsequent equity offering by CUX, Inc., or b) the maturity of the note (November 26, 2018). Interest will compound annually beginning on November 26, 2015.</w:t>
      </w:r>
    </w:p>
    <w:p>
      <w:pPr>
        <w:spacing w:after="0" w:line="200" w:lineRule="exact"/>
        <w:rPr>
          <w:sz w:val="20"/>
          <w:szCs w:val="20"/>
          <w:color w:val="auto"/>
        </w:rPr>
      </w:pPr>
    </w:p>
    <w:p>
      <w:pPr>
        <w:spacing w:after="0" w:line="298"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i w:val="1"/>
          <w:iCs w:val="1"/>
          <w:color w:val="auto"/>
        </w:rPr>
        <w:t>See notes to the Condensed Consolidated Financial Statements</w:t>
      </w:r>
    </w:p>
    <w:p>
      <w:pPr>
        <w:spacing w:after="0" w:line="200" w:lineRule="exact"/>
        <w:rPr>
          <w:sz w:val="20"/>
          <w:szCs w:val="20"/>
          <w:color w:val="auto"/>
        </w:rPr>
      </w:pPr>
    </w:p>
    <w:p>
      <w:pPr>
        <w:spacing w:after="0" w:line="36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13" w:name="page14"/>
    <w:bookmarkEnd w:id="13"/>
    <w:p>
      <w:pPr>
        <w:ind w:left="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057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60" w:type="dxa"/>
            <w:vAlign w:val="bottom"/>
          </w:tcPr>
          <w:p>
            <w:pPr>
              <w:spacing w:after="0"/>
              <w:rPr>
                <w:sz w:val="13"/>
                <w:szCs w:val="13"/>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Headquarters/Industry</w:t>
            </w:r>
          </w:p>
        </w:tc>
        <w:tc>
          <w:tcPr>
            <w:tcW w:w="80" w:type="dxa"/>
            <w:vAlign w:val="bottom"/>
          </w:tcPr>
          <w:p>
            <w:pPr>
              <w:spacing w:after="0"/>
              <w:rPr>
                <w:sz w:val="13"/>
                <w:szCs w:val="13"/>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3"/>
                <w:szCs w:val="13"/>
                <w:color w:val="auto"/>
              </w:rPr>
            </w:pPr>
          </w:p>
        </w:tc>
        <w:tc>
          <w:tcPr>
            <w:tcW w:w="8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3"/>
                <w:szCs w:val="13"/>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73"/>
        </w:trPr>
        <w:tc>
          <w:tcPr>
            <w:tcW w:w="2660" w:type="dxa"/>
            <w:vAlign w:val="bottom"/>
            <w:tcBorders>
              <w:bottom w:val="single" w:sz="8" w:color="auto"/>
            </w:tcBorders>
            <w:gridSpan w:val="12"/>
            <w:vMerge w:val="continue"/>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56"/>
        </w:trPr>
        <w:tc>
          <w:tcPr>
            <w:tcW w:w="2660" w:type="dxa"/>
            <w:vAlign w:val="bottom"/>
            <w:gridSpan w:val="12"/>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Twitter,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San Francisco, CA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Social Communication</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1,600,600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$27,551,563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$57,413,522</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20.08%</w:t>
            </w:r>
          </w:p>
        </w:tc>
        <w:tc>
          <w:tcPr>
            <w:tcW w:w="0" w:type="dxa"/>
            <w:vAlign w:val="bottom"/>
          </w:tcPr>
          <w:p>
            <w:pPr>
              <w:spacing w:after="0"/>
              <w:rPr>
                <w:sz w:val="1"/>
                <w:szCs w:val="1"/>
                <w:color w:val="auto"/>
              </w:rPr>
            </w:pPr>
          </w:p>
        </w:tc>
      </w:tr>
      <w:tr>
        <w:trPr>
          <w:trHeight w:val="165"/>
        </w:trPr>
        <w:tc>
          <w:tcPr>
            <w:tcW w:w="2660" w:type="dxa"/>
            <w:vAlign w:val="bottom"/>
            <w:gridSpan w:val="1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Palantir Technologies,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Common shares, Class A</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Palo Alto, CA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Cyber Security</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5,773,690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16,189,935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42,985,122</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15.03%</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G</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326,797</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1,008,968</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2,490,193</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0.87%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17,198,903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45,475,315</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15.90%</w:t>
            </w:r>
          </w:p>
        </w:tc>
        <w:tc>
          <w:tcPr>
            <w:tcW w:w="0" w:type="dxa"/>
            <w:vAlign w:val="bottom"/>
          </w:tcPr>
          <w:p>
            <w:pPr>
              <w:spacing w:after="0"/>
              <w:rPr>
                <w:sz w:val="1"/>
                <w:szCs w:val="1"/>
                <w:color w:val="auto"/>
              </w:rPr>
            </w:pPr>
          </w:p>
        </w:tc>
      </w:tr>
      <w:tr>
        <w:trPr>
          <w:trHeight w:val="156"/>
        </w:trPr>
        <w:tc>
          <w:tcPr>
            <w:tcW w:w="2660" w:type="dxa"/>
            <w:vAlign w:val="bottom"/>
            <w:gridSpan w:val="12"/>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Dropbox,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San Francisco, CA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Online Storage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760,000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8,641,153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14,516,000</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5.08%</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A-1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552,486</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5,015,773</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10,552,483</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13,656,926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25,068,483</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8.77%</w:t>
            </w:r>
          </w:p>
        </w:tc>
        <w:tc>
          <w:tcPr>
            <w:tcW w:w="0" w:type="dxa"/>
            <w:vAlign w:val="bottom"/>
          </w:tcPr>
          <w:p>
            <w:pPr>
              <w:spacing w:after="0"/>
              <w:rPr>
                <w:sz w:val="1"/>
                <w:szCs w:val="1"/>
                <w:color w:val="auto"/>
              </w:rPr>
            </w:pPr>
          </w:p>
        </w:tc>
      </w:tr>
      <w:tr>
        <w:trPr>
          <w:trHeight w:val="196"/>
        </w:trPr>
        <w:tc>
          <w:tcPr>
            <w:tcW w:w="2660" w:type="dxa"/>
            <w:vAlign w:val="bottom"/>
            <w:gridSpan w:val="12"/>
            <w:shd w:val="clear" w:color="auto" w:fill="CCEEFF"/>
          </w:tcPr>
          <w:p>
            <w:pPr>
              <w:ind w:left="20"/>
              <w:spacing w:after="0" w:line="197" w:lineRule="exact"/>
              <w:rPr>
                <w:sz w:val="20"/>
                <w:szCs w:val="20"/>
                <w:color w:val="auto"/>
              </w:rPr>
            </w:pPr>
            <w:r>
              <w:rPr>
                <w:rFonts w:ascii="Times New Roman" w:cs="Times New Roman" w:eastAsia="Times New Roman" w:hAnsi="Times New Roman"/>
                <w:sz w:val="14"/>
                <w:szCs w:val="14"/>
                <w:b w:val="1"/>
                <w:bCs w:val="1"/>
                <w:color w:val="auto"/>
              </w:rPr>
              <w:t>2U, Inc. (f/k/a 2tor, Inc.)</w:t>
            </w:r>
            <w:r>
              <w:rPr>
                <w:rFonts w:ascii="Times New Roman" w:cs="Times New Roman" w:eastAsia="Times New Roman" w:hAnsi="Times New Roman"/>
                <w:sz w:val="22"/>
                <w:szCs w:val="22"/>
                <w:b w:val="1"/>
                <w:bCs w:val="1"/>
                <w:color w:val="auto"/>
                <w:vertAlign w:val="superscript"/>
              </w:rPr>
              <w:t>(9)</w:t>
            </w: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Landover, MD</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Online Education</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1,319,233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10,032,117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23,342,509</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8.16%</w:t>
            </w:r>
          </w:p>
        </w:tc>
        <w:tc>
          <w:tcPr>
            <w:tcW w:w="0" w:type="dxa"/>
            <w:vAlign w:val="bottom"/>
          </w:tcPr>
          <w:p>
            <w:pPr>
              <w:spacing w:after="0"/>
              <w:rPr>
                <w:sz w:val="1"/>
                <w:szCs w:val="1"/>
                <w:color w:val="auto"/>
              </w:rPr>
            </w:pPr>
          </w:p>
        </w:tc>
      </w:tr>
      <w:tr>
        <w:trPr>
          <w:trHeight w:val="165"/>
        </w:trPr>
        <w:tc>
          <w:tcPr>
            <w:tcW w:w="2660" w:type="dxa"/>
            <w:vAlign w:val="bottom"/>
            <w:gridSpan w:val="1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Coursera,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Mountain View, CA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Online Education</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2,961,399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14,519,519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14,510,855</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5.08%</w:t>
            </w:r>
          </w:p>
        </w:tc>
        <w:tc>
          <w:tcPr>
            <w:tcW w:w="0" w:type="dxa"/>
            <w:vAlign w:val="bottom"/>
          </w:tcPr>
          <w:p>
            <w:pPr>
              <w:spacing w:after="0"/>
              <w:rPr>
                <w:sz w:val="1"/>
                <w:szCs w:val="1"/>
                <w:color w:val="auto"/>
              </w:rPr>
            </w:pPr>
          </w:p>
        </w:tc>
      </w:tr>
      <w:tr>
        <w:trPr>
          <w:trHeight w:val="165"/>
        </w:trPr>
        <w:tc>
          <w:tcPr>
            <w:tcW w:w="2660" w:type="dxa"/>
            <w:vAlign w:val="bottom"/>
            <w:gridSpan w:val="1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Solexel,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Preferred shares, Series C</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Milpitas, CA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Solar Power</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5,300,158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11,598,648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11,607,346</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4.06%</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D</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1,613,413</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2,419,751</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2,420,120</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0.85%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14,018,399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14,027,466</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4.91%</w:t>
            </w:r>
          </w:p>
        </w:tc>
        <w:tc>
          <w:tcPr>
            <w:tcW w:w="0" w:type="dxa"/>
            <w:vAlign w:val="bottom"/>
          </w:tcPr>
          <w:p>
            <w:pPr>
              <w:spacing w:after="0"/>
              <w:rPr>
                <w:sz w:val="1"/>
                <w:szCs w:val="1"/>
                <w:color w:val="auto"/>
              </w:rPr>
            </w:pPr>
          </w:p>
        </w:tc>
      </w:tr>
      <w:tr>
        <w:trPr>
          <w:trHeight w:val="196"/>
        </w:trPr>
        <w:tc>
          <w:tcPr>
            <w:tcW w:w="2660" w:type="dxa"/>
            <w:vAlign w:val="bottom"/>
            <w:gridSpan w:val="12"/>
            <w:shd w:val="clear" w:color="auto" w:fill="CCEEFF"/>
          </w:tcPr>
          <w:p>
            <w:pPr>
              <w:ind w:left="20"/>
              <w:spacing w:after="0" w:line="197" w:lineRule="exact"/>
              <w:rPr>
                <w:sz w:val="20"/>
                <w:szCs w:val="20"/>
                <w:color w:val="auto"/>
              </w:rPr>
            </w:pPr>
            <w:r>
              <w:rPr>
                <w:rFonts w:ascii="Times New Roman" w:cs="Times New Roman" w:eastAsia="Times New Roman" w:hAnsi="Times New Roman"/>
                <w:sz w:val="14"/>
                <w:szCs w:val="14"/>
                <w:b w:val="1"/>
                <w:bCs w:val="1"/>
                <w:color w:val="auto"/>
              </w:rPr>
              <w:t>Avenues Global Holdings, LLC</w:t>
            </w:r>
            <w:r>
              <w:rPr>
                <w:rFonts w:ascii="Times New Roman" w:cs="Times New Roman" w:eastAsia="Times New Roman" w:hAnsi="Times New Roman"/>
                <w:sz w:val="22"/>
                <w:szCs w:val="22"/>
                <w:b w:val="1"/>
                <w:bCs w:val="1"/>
                <w:color w:val="auto"/>
                <w:vertAlign w:val="superscript"/>
              </w:rPr>
              <w:t>(3)</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Preferred shares, Junior Preferred</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NY</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Globally-focused</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Private School</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10,014,270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10,151,854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11,303,410</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3.95%</w:t>
            </w:r>
          </w:p>
        </w:tc>
        <w:tc>
          <w:tcPr>
            <w:tcW w:w="0" w:type="dxa"/>
            <w:vAlign w:val="bottom"/>
          </w:tcPr>
          <w:p>
            <w:pPr>
              <w:spacing w:after="0"/>
              <w:rPr>
                <w:sz w:val="1"/>
                <w:szCs w:val="1"/>
                <w:color w:val="auto"/>
              </w:rPr>
            </w:pPr>
          </w:p>
        </w:tc>
      </w:tr>
      <w:tr>
        <w:trPr>
          <w:trHeight w:val="165"/>
        </w:trPr>
        <w:tc>
          <w:tcPr>
            <w:tcW w:w="2660" w:type="dxa"/>
            <w:vAlign w:val="bottom"/>
            <w:gridSpan w:val="1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SugarCRM,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Cupertino, CA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Customer Relationship</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Manager</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1,899,799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6,799,392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9,214,025</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3.22%</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373,134</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1,500,522</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2,046,909</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0.72%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8,299,914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11,260,934</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3.94%</w:t>
            </w:r>
          </w:p>
        </w:tc>
        <w:tc>
          <w:tcPr>
            <w:tcW w:w="0" w:type="dxa"/>
            <w:vAlign w:val="bottom"/>
          </w:tcPr>
          <w:p>
            <w:pPr>
              <w:spacing w:after="0"/>
              <w:rPr>
                <w:sz w:val="1"/>
                <w:szCs w:val="1"/>
                <w:color w:val="auto"/>
              </w:rPr>
            </w:pPr>
          </w:p>
        </w:tc>
      </w:tr>
      <w:tr>
        <w:trPr>
          <w:trHeight w:val="196"/>
        </w:trPr>
        <w:tc>
          <w:tcPr>
            <w:tcW w:w="2660" w:type="dxa"/>
            <w:vAlign w:val="bottom"/>
            <w:gridSpan w:val="12"/>
            <w:shd w:val="clear" w:color="auto" w:fill="CCEEFF"/>
          </w:tcPr>
          <w:p>
            <w:pPr>
              <w:ind w:left="20"/>
              <w:spacing w:after="0" w:line="197" w:lineRule="exact"/>
              <w:rPr>
                <w:sz w:val="20"/>
                <w:szCs w:val="20"/>
                <w:color w:val="auto"/>
              </w:rPr>
            </w:pPr>
            <w:r>
              <w:rPr>
                <w:rFonts w:ascii="Times New Roman" w:cs="Times New Roman" w:eastAsia="Times New Roman" w:hAnsi="Times New Roman"/>
                <w:sz w:val="14"/>
                <w:szCs w:val="14"/>
                <w:b w:val="1"/>
                <w:bCs w:val="1"/>
                <w:color w:val="auto"/>
              </w:rPr>
              <w:t>Ozy Media, Inc.</w:t>
            </w:r>
            <w:r>
              <w:rPr>
                <w:rFonts w:ascii="Times New Roman" w:cs="Times New Roman" w:eastAsia="Times New Roman" w:hAnsi="Times New Roman"/>
                <w:sz w:val="22"/>
                <w:szCs w:val="22"/>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Mountain View, CA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Daily News and</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Information Site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922,509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4,999,999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4,999,999</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1,090,909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3,000,200</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4,165,091</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03"/>
        </w:trPr>
        <w:tc>
          <w:tcPr>
            <w:tcW w:w="266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Preferred shares, Series Seed</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1,573,000</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640" w:type="dxa"/>
            <w:vAlign w:val="bottom"/>
            <w:gridSpan w:val="11"/>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8,500,199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10,738,090</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196"/>
        </w:trPr>
        <w:tc>
          <w:tcPr>
            <w:tcW w:w="2660" w:type="dxa"/>
            <w:vAlign w:val="bottom"/>
            <w:tcBorders>
              <w:top w:val="single" w:sz="8" w:color="CCEEFF"/>
            </w:tcBorders>
            <w:gridSpan w:val="12"/>
          </w:tcPr>
          <w:p>
            <w:pPr>
              <w:ind w:left="20"/>
              <w:spacing w:after="0" w:line="197" w:lineRule="exact"/>
              <w:rPr>
                <w:sz w:val="20"/>
                <w:szCs w:val="20"/>
                <w:color w:val="auto"/>
              </w:rPr>
            </w:pPr>
            <w:r>
              <w:rPr>
                <w:rFonts w:ascii="Times New Roman" w:cs="Times New Roman" w:eastAsia="Times New Roman" w:hAnsi="Times New Roman"/>
                <w:sz w:val="14"/>
                <w:szCs w:val="14"/>
                <w:b w:val="1"/>
                <w:bCs w:val="1"/>
                <w:color w:val="auto"/>
              </w:rPr>
              <w:t>Declara, Inc.</w:t>
            </w:r>
            <w:r>
              <w:rPr>
                <w:rFonts w:ascii="Times New Roman" w:cs="Times New Roman" w:eastAsia="Times New Roman" w:hAnsi="Times New Roman"/>
                <w:sz w:val="22"/>
                <w:szCs w:val="22"/>
                <w:b w:val="1"/>
                <w:bCs w:val="1"/>
                <w:color w:val="auto"/>
                <w:vertAlign w:val="superscript"/>
              </w:rPr>
              <w:t>(1)</w:t>
            </w:r>
          </w:p>
        </w:tc>
        <w:tc>
          <w:tcPr>
            <w:tcW w:w="6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Palo Alto, CA</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Social Cognitive Learning</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5,358,195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9,999,999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10,019,825</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162"/>
        </w:trPr>
        <w:tc>
          <w:tcPr>
            <w:tcW w:w="2660" w:type="dxa"/>
            <w:vAlign w:val="bottom"/>
            <w:gridSpan w:val="1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JAMF Holdings, Inc.</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Minneapolis, MN</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Mobile Device</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Management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73,440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9,999,928</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9,999,590</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-5462270</wp:posOffset>
            </wp:positionV>
            <wp:extent cx="5213985"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-4801870</wp:posOffset>
            </wp:positionV>
            <wp:extent cx="5213985"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-3343910</wp:posOffset>
            </wp:positionV>
            <wp:extent cx="5213985"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-2014855</wp:posOffset>
            </wp:positionV>
            <wp:extent cx="5213985"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-934085</wp:posOffset>
            </wp:positionV>
            <wp:extent cx="5213985"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i w:val="1"/>
          <w:iCs w:val="1"/>
          <w:color w:val="auto"/>
        </w:rPr>
        <w:t>See notes to the Condensed Consolidated Financial Statements</w:t>
      </w:r>
    </w:p>
    <w:p>
      <w:pPr>
        <w:spacing w:after="0" w:line="200" w:lineRule="exact"/>
        <w:rPr>
          <w:sz w:val="20"/>
          <w:szCs w:val="20"/>
          <w:color w:val="auto"/>
        </w:rPr>
      </w:pPr>
    </w:p>
    <w:p>
      <w:pPr>
        <w:spacing w:after="0" w:line="36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14" w:name="page15"/>
    <w:bookmarkEnd w:id="14"/>
    <w:p>
      <w:pPr>
        <w:ind w:left="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 (Continued)</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60" w:type="dxa"/>
            <w:vAlign w:val="bottom"/>
          </w:tcPr>
          <w:p>
            <w:pPr>
              <w:spacing w:after="0"/>
              <w:rPr>
                <w:sz w:val="13"/>
                <w:szCs w:val="13"/>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Headquarters/Industry</w:t>
            </w:r>
          </w:p>
        </w:tc>
        <w:tc>
          <w:tcPr>
            <w:tcW w:w="80" w:type="dxa"/>
            <w:vAlign w:val="bottom"/>
          </w:tcPr>
          <w:p>
            <w:pPr>
              <w:spacing w:after="0"/>
              <w:rPr>
                <w:sz w:val="13"/>
                <w:szCs w:val="13"/>
                <w:color w:val="auto"/>
              </w:rPr>
            </w:pP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3"/>
                <w:szCs w:val="13"/>
                <w:color w:val="auto"/>
              </w:rPr>
            </w:pPr>
          </w:p>
        </w:tc>
        <w:tc>
          <w:tcPr>
            <w:tcW w:w="8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3"/>
                <w:szCs w:val="13"/>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73"/>
        </w:trPr>
        <w:tc>
          <w:tcPr>
            <w:tcW w:w="2660" w:type="dxa"/>
            <w:vAlign w:val="bottom"/>
            <w:tcBorders>
              <w:bottom w:val="single" w:sz="8" w:color="auto"/>
            </w:tcBorders>
            <w:gridSpan w:val="13"/>
            <w:vMerge w:val="continue"/>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96"/>
        </w:trPr>
        <w:tc>
          <w:tcPr>
            <w:tcW w:w="2660" w:type="dxa"/>
            <w:vAlign w:val="bottom"/>
            <w:gridSpan w:val="13"/>
            <w:shd w:val="clear" w:color="auto" w:fill="CCEEFF"/>
          </w:tcPr>
          <w:p>
            <w:pPr>
              <w:ind w:left="20"/>
              <w:spacing w:after="0" w:line="197" w:lineRule="exact"/>
              <w:rPr>
                <w:sz w:val="20"/>
                <w:szCs w:val="20"/>
                <w:color w:val="auto"/>
              </w:rPr>
            </w:pPr>
            <w:r>
              <w:rPr>
                <w:rFonts w:ascii="Times New Roman" w:cs="Times New Roman" w:eastAsia="Times New Roman" w:hAnsi="Times New Roman"/>
                <w:sz w:val="14"/>
                <w:szCs w:val="14"/>
                <w:b w:val="1"/>
                <w:bCs w:val="1"/>
                <w:color w:val="auto"/>
              </w:rPr>
              <w:t>Curious.com Inc.</w:t>
            </w:r>
            <w:r>
              <w:rPr>
                <w:rFonts w:ascii="Times New Roman" w:cs="Times New Roman" w:eastAsia="Times New Roman" w:hAnsi="Times New Roman"/>
                <w:sz w:val="22"/>
                <w:szCs w:val="22"/>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Menlo Park, CA</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Online Education</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2,839,861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$10,000,003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$ 9,996,311</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06"/>
        </w:trPr>
        <w:tc>
          <w:tcPr>
            <w:tcW w:w="2660" w:type="dxa"/>
            <w:vAlign w:val="bottom"/>
            <w:gridSpan w:val="13"/>
            <w:shd w:val="clear" w:color="auto" w:fill="CCEEFF"/>
          </w:tcPr>
          <w:p>
            <w:pPr>
              <w:ind w:left="20"/>
              <w:spacing w:after="0" w:line="205" w:lineRule="exact"/>
              <w:rPr>
                <w:sz w:val="20"/>
                <w:szCs w:val="20"/>
                <w:color w:val="auto"/>
              </w:rPr>
            </w:pPr>
            <w:r>
              <w:rPr>
                <w:rFonts w:ascii="Times New Roman" w:cs="Times New Roman" w:eastAsia="Times New Roman" w:hAnsi="Times New Roman"/>
                <w:sz w:val="14"/>
                <w:szCs w:val="14"/>
                <w:b w:val="1"/>
                <w:bCs w:val="1"/>
                <w:color w:val="auto"/>
              </w:rPr>
              <w:t>PayNearMe, Inc.</w:t>
            </w:r>
            <w:r>
              <w:rPr>
                <w:rFonts w:ascii="Times New Roman" w:cs="Times New Roman" w:eastAsia="Times New Roman" w:hAnsi="Times New Roman"/>
                <w:sz w:val="23"/>
                <w:szCs w:val="23"/>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Preferred shares, Series E</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Sunnyvale, CA</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Cash Payment Network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3,914,535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10,000,401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9,982,064</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206"/>
        </w:trPr>
        <w:tc>
          <w:tcPr>
            <w:tcW w:w="2660" w:type="dxa"/>
            <w:vAlign w:val="bottom"/>
            <w:gridSpan w:val="13"/>
            <w:shd w:val="clear" w:color="auto" w:fill="CCEEFF"/>
          </w:tcPr>
          <w:p>
            <w:pPr>
              <w:ind w:left="20"/>
              <w:spacing w:after="0" w:line="205" w:lineRule="exact"/>
              <w:rPr>
                <w:sz w:val="20"/>
                <w:szCs w:val="20"/>
                <w:color w:val="auto"/>
              </w:rPr>
            </w:pPr>
            <w:r>
              <w:rPr>
                <w:rFonts w:ascii="Times New Roman" w:cs="Times New Roman" w:eastAsia="Times New Roman" w:hAnsi="Times New Roman"/>
                <w:sz w:val="14"/>
                <w:szCs w:val="14"/>
                <w:b w:val="1"/>
                <w:bCs w:val="1"/>
                <w:color w:val="auto"/>
              </w:rPr>
              <w:t>StormWind, LLC</w:t>
            </w:r>
            <w:r>
              <w:rPr>
                <w:rFonts w:ascii="Times New Roman" w:cs="Times New Roman" w:eastAsia="Times New Roman" w:hAnsi="Times New Roman"/>
                <w:sz w:val="23"/>
                <w:szCs w:val="23"/>
                <w:b w:val="1"/>
                <w:bCs w:val="1"/>
                <w:color w:val="auto"/>
                <w:vertAlign w:val="superscript"/>
              </w:rPr>
              <w:t>(2)(5)</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Preferred shares, Series C</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Scottsdale, AZ</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Interactive Learning</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2,779,134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4,000,787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4,338,830</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06"/>
        </w:trPr>
        <w:tc>
          <w:tcPr>
            <w:tcW w:w="2660" w:type="dxa"/>
            <w:vAlign w:val="bottom"/>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3,279,629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2,019,687</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4,347,608</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03"/>
        </w:trPr>
        <w:tc>
          <w:tcPr>
            <w:tcW w:w="266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366,666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391,592</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189"/>
        </w:trPr>
        <w:tc>
          <w:tcPr>
            <w:tcW w:w="2660" w:type="dxa"/>
            <w:vAlign w:val="bottom"/>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Unit Warrants $1.76 Strike</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2640" w:type="dxa"/>
            <w:vAlign w:val="bottom"/>
            <w:gridSpan w:val="1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Price, Expiration Date 1/6/15</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568,753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640" w:type="dxa"/>
            <w:vAlign w:val="bottom"/>
            <w:gridSpan w:val="12"/>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6,130,474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9,078,030</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r>
        <w:trPr>
          <w:trHeight w:val="156"/>
        </w:trPr>
        <w:tc>
          <w:tcPr>
            <w:tcW w:w="2660" w:type="dxa"/>
            <w:vAlign w:val="bottom"/>
            <w:gridSpan w:val="13"/>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Chegg,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Santa Clara, CA</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Textbook Rental</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1,182,792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14,022,863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8,173,093</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165"/>
        </w:trPr>
        <w:tc>
          <w:tcPr>
            <w:tcW w:w="2660" w:type="dxa"/>
            <w:vAlign w:val="bottom"/>
            <w:gridSpan w:val="13"/>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Lytro,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Preferred Stock</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Mountain View, CA</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Consumer Electronics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2,533,784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7,500,001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7,500,001</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165"/>
        </w:trPr>
        <w:tc>
          <w:tcPr>
            <w:tcW w:w="2660" w:type="dxa"/>
            <w:vAlign w:val="bottom"/>
            <w:gridSpan w:val="13"/>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General Assembly Space,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Preferred shares, Series C</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NY</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Online Education</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126,552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2,999,978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3,125,467</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06"/>
        </w:trPr>
        <w:tc>
          <w:tcPr>
            <w:tcW w:w="2660" w:type="dxa"/>
            <w:vAlign w:val="bottom"/>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133,213</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2,999,983</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2,999,957</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2"/>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5,999,961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6,125,424</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156"/>
        </w:trPr>
        <w:tc>
          <w:tcPr>
            <w:tcW w:w="2660" w:type="dxa"/>
            <w:vAlign w:val="bottom"/>
            <w:gridSpan w:val="13"/>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Spotify Technology S.A.**</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Stockholm, Sweden</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Music Streaming Service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3,658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3,598,472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5,676,873</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06"/>
        </w:trPr>
        <w:tc>
          <w:tcPr>
            <w:tcW w:w="2660" w:type="dxa"/>
            <w:vAlign w:val="bottom"/>
            <w:gridSpan w:val="13"/>
            <w:shd w:val="clear" w:color="auto" w:fill="CCEEFF"/>
          </w:tcPr>
          <w:p>
            <w:pPr>
              <w:ind w:left="20"/>
              <w:spacing w:after="0" w:line="205" w:lineRule="exact"/>
              <w:rPr>
                <w:sz w:val="20"/>
                <w:szCs w:val="20"/>
                <w:color w:val="auto"/>
              </w:rPr>
            </w:pPr>
            <w:r>
              <w:rPr>
                <w:rFonts w:ascii="Times New Roman" w:cs="Times New Roman" w:eastAsia="Times New Roman" w:hAnsi="Times New Roman"/>
                <w:sz w:val="14"/>
                <w:szCs w:val="14"/>
                <w:b w:val="1"/>
                <w:bCs w:val="1"/>
                <w:color w:val="auto"/>
              </w:rPr>
              <w:t>Learnist Inc. (f/k/a Grockit, Inc.)</w:t>
            </w:r>
            <w:r>
              <w:rPr>
                <w:rFonts w:ascii="Times New Roman" w:cs="Times New Roman" w:eastAsia="Times New Roman" w:hAnsi="Times New Roman"/>
                <w:sz w:val="23"/>
                <w:szCs w:val="23"/>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Preferred shares, Series D</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San Francisco, CA</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Online Learning Platform</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2,728,252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2,005,945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2,319,014</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0.81%</w:t>
            </w:r>
          </w:p>
        </w:tc>
        <w:tc>
          <w:tcPr>
            <w:tcW w:w="0" w:type="dxa"/>
            <w:vAlign w:val="bottom"/>
          </w:tcPr>
          <w:p>
            <w:pPr>
              <w:spacing w:after="0"/>
              <w:rPr>
                <w:sz w:val="1"/>
                <w:szCs w:val="1"/>
                <w:color w:val="auto"/>
              </w:rPr>
            </w:pPr>
          </w:p>
        </w:tc>
      </w:tr>
      <w:tr>
        <w:trPr>
          <w:trHeight w:val="206"/>
        </w:trPr>
        <w:tc>
          <w:tcPr>
            <w:tcW w:w="2660" w:type="dxa"/>
            <w:vAlign w:val="bottom"/>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1,731,501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1,503,670</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1,610,296</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0.56%</w:t>
            </w:r>
          </w:p>
        </w:tc>
        <w:tc>
          <w:tcPr>
            <w:tcW w:w="0" w:type="dxa"/>
            <w:vAlign w:val="bottom"/>
          </w:tcPr>
          <w:p>
            <w:pPr>
              <w:spacing w:after="0"/>
              <w:rPr>
                <w:sz w:val="1"/>
                <w:szCs w:val="1"/>
                <w:color w:val="auto"/>
              </w:rPr>
            </w:pPr>
          </w:p>
        </w:tc>
      </w:tr>
      <w:tr>
        <w:trPr>
          <w:trHeight w:val="203"/>
        </w:trPr>
        <w:tc>
          <w:tcPr>
            <w:tcW w:w="266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Preferred shares, Series F</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1,242,928</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1,450,000</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640" w:type="dxa"/>
            <w:vAlign w:val="bottom"/>
            <w:gridSpan w:val="1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4,959,615</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5,379,310</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gridSpan w:val="13"/>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Knewton, Inc.</w:t>
            </w:r>
          </w:p>
        </w:tc>
        <w:tc>
          <w:tcPr>
            <w:tcW w:w="6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9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E</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New York, NY</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Online Education</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375,985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4,999,999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5,000,601</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162"/>
        </w:trPr>
        <w:tc>
          <w:tcPr>
            <w:tcW w:w="2660" w:type="dxa"/>
            <w:vAlign w:val="bottom"/>
            <w:gridSpan w:val="1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Course Hero, Inc.</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Redwood City, CA</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Online Education</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2,145,509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5,000,001</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5,000,001</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162"/>
        </w:trPr>
        <w:tc>
          <w:tcPr>
            <w:tcW w:w="2660" w:type="dxa"/>
            <w:vAlign w:val="bottom"/>
            <w:gridSpan w:val="1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Lyft, Inc.</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D</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San Francisco, CA</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Peer to Peer Ridesharing</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493,490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5,003,634</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4,999,054</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03"/>
        </w:trPr>
        <w:tc>
          <w:tcPr>
            <w:tcW w:w="2660" w:type="dxa"/>
            <w:vAlign w:val="bottom"/>
            <w:gridSpan w:val="13"/>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GSV Sustainability Partners</w:t>
            </w:r>
            <w:r>
              <w:rPr>
                <w:rFonts w:ascii="Times New Roman" w:cs="Times New Roman" w:eastAsia="Times New Roman" w:hAnsi="Times New Roman"/>
                <w:sz w:val="23"/>
                <w:szCs w:val="23"/>
                <w:b w:val="1"/>
                <w:bCs w:val="1"/>
                <w:color w:val="auto"/>
                <w:vertAlign w:val="superscript"/>
              </w:rPr>
              <w:t>(2)</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Class A</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Woodside, CA</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Clean Technology</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9,700,000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4,851,256</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4,850,000</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03"/>
        </w:trPr>
        <w:tc>
          <w:tcPr>
            <w:tcW w:w="266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60" w:type="dxa"/>
            <w:vAlign w:val="bottom"/>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4,861,256</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4,860,000</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-4621530</wp:posOffset>
            </wp:positionV>
            <wp:extent cx="5213985"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-3189605</wp:posOffset>
            </wp:positionV>
            <wp:extent cx="5213985"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-1851660</wp:posOffset>
            </wp:positionV>
            <wp:extent cx="5213985"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i w:val="1"/>
          <w:iCs w:val="1"/>
          <w:color w:val="auto"/>
        </w:rPr>
        <w:t>See notes to the Condensed Consolidated Financial Statements</w:t>
      </w:r>
    </w:p>
    <w:p>
      <w:pPr>
        <w:spacing w:after="0" w:line="200" w:lineRule="exact"/>
        <w:rPr>
          <w:sz w:val="20"/>
          <w:szCs w:val="20"/>
          <w:color w:val="auto"/>
        </w:rPr>
      </w:pPr>
    </w:p>
    <w:p>
      <w:pPr>
        <w:spacing w:after="0" w:line="36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15" w:name="page16"/>
    <w:bookmarkEnd w:id="15"/>
    <w:p>
      <w:pPr>
        <w:ind w:left="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 (Continued)</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0"/>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60" w:type="dxa"/>
            <w:vAlign w:val="bottom"/>
          </w:tcPr>
          <w:p>
            <w:pPr>
              <w:spacing w:after="0"/>
              <w:rPr>
                <w:sz w:val="13"/>
                <w:szCs w:val="13"/>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Headquarters/Industry</w:t>
            </w:r>
          </w:p>
        </w:tc>
        <w:tc>
          <w:tcPr>
            <w:tcW w:w="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Shares/Principal</w:t>
            </w:r>
          </w:p>
        </w:tc>
        <w:tc>
          <w:tcPr>
            <w:tcW w:w="140" w:type="dxa"/>
            <w:vAlign w:val="bottom"/>
          </w:tcPr>
          <w:p>
            <w:pPr>
              <w:spacing w:after="0"/>
              <w:rPr>
                <w:sz w:val="13"/>
                <w:szCs w:val="13"/>
                <w:color w:val="auto"/>
              </w:rPr>
            </w:pPr>
          </w:p>
        </w:tc>
        <w:tc>
          <w:tcPr>
            <w:tcW w:w="80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Cost</w:t>
            </w:r>
          </w:p>
        </w:tc>
        <w:tc>
          <w:tcPr>
            <w:tcW w:w="88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3"/>
                <w:szCs w:val="13"/>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73"/>
        </w:trPr>
        <w:tc>
          <w:tcPr>
            <w:tcW w:w="2660" w:type="dxa"/>
            <w:vAlign w:val="bottom"/>
            <w:gridSpan w:val="10"/>
            <w:vMerge w:val="continue"/>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96"/>
        </w:trPr>
        <w:tc>
          <w:tcPr>
            <w:tcW w:w="2660" w:type="dxa"/>
            <w:vAlign w:val="bottom"/>
            <w:tcBorders>
              <w:top w:val="single" w:sz="8" w:color="auto"/>
            </w:tcBorders>
            <w:gridSpan w:val="10"/>
            <w:shd w:val="clear" w:color="auto" w:fill="CCEEFF"/>
          </w:tcPr>
          <w:p>
            <w:pPr>
              <w:ind w:left="20"/>
              <w:spacing w:after="0" w:line="197" w:lineRule="exact"/>
              <w:rPr>
                <w:sz w:val="20"/>
                <w:szCs w:val="20"/>
                <w:color w:val="auto"/>
              </w:rPr>
            </w:pPr>
            <w:r>
              <w:rPr>
                <w:rFonts w:ascii="Times New Roman" w:cs="Times New Roman" w:eastAsia="Times New Roman" w:hAnsi="Times New Roman"/>
                <w:sz w:val="14"/>
                <w:szCs w:val="14"/>
                <w:b w:val="1"/>
                <w:bCs w:val="1"/>
                <w:color w:val="auto"/>
              </w:rPr>
              <w:t>Fullbridge, Inc.</w:t>
            </w:r>
            <w:r>
              <w:rPr>
                <w:rFonts w:ascii="Times New Roman" w:cs="Times New Roman" w:eastAsia="Times New Roman" w:hAnsi="Times New Roman"/>
                <w:sz w:val="22"/>
                <w:szCs w:val="22"/>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right w:val="single" w:sz="8" w:color="CCEEFF"/>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auto"/>
              </w:rPr>
              <w:t>Preferred shares, Series C</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Cambridge, MA</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Business Education</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1,728,724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3,193,444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$ 1,625,001</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0.57%</w:t>
            </w:r>
          </w:p>
        </w:tc>
        <w:tc>
          <w:tcPr>
            <w:tcW w:w="0" w:type="dxa"/>
            <w:vAlign w:val="bottom"/>
          </w:tcPr>
          <w:p>
            <w:pPr>
              <w:spacing w:after="0"/>
              <w:rPr>
                <w:sz w:val="1"/>
                <w:szCs w:val="1"/>
                <w:color w:val="auto"/>
              </w:rPr>
            </w:pPr>
          </w:p>
        </w:tc>
      </w:tr>
      <w:tr>
        <w:trPr>
          <w:trHeight w:val="206"/>
        </w:trPr>
        <w:tc>
          <w:tcPr>
            <w:tcW w:w="266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D</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1,655,167</w:t>
            </w:r>
          </w:p>
        </w:tc>
        <w:tc>
          <w:tcPr>
            <w:tcW w:w="14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2,956,022</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3,111,714</w:t>
            </w:r>
          </w:p>
        </w:tc>
        <w:tc>
          <w:tcPr>
            <w:tcW w:w="68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189"/>
        </w:trPr>
        <w:tc>
          <w:tcPr>
            <w:tcW w:w="266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auto"/>
              </w:rPr>
              <w:t>Common warrants, $0.91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9"/>
          </w:tcPr>
          <w:p>
            <w:pPr>
              <w:ind w:left="180"/>
              <w:spacing w:after="0"/>
              <w:rPr>
                <w:sz w:val="20"/>
                <w:szCs w:val="20"/>
                <w:color w:val="auto"/>
              </w:rPr>
            </w:pPr>
            <w:r>
              <w:rPr>
                <w:rFonts w:ascii="Times New Roman" w:cs="Times New Roman" w:eastAsia="Times New Roman" w:hAnsi="Times New Roman"/>
                <w:sz w:val="16"/>
                <w:szCs w:val="16"/>
                <w:color w:val="auto"/>
              </w:rPr>
              <w:t>Expiration Date 3/22/2020</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186,170</w:t>
            </w:r>
          </w:p>
        </w:tc>
        <w:tc>
          <w:tcPr>
            <w:tcW w:w="1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67,021</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1,862</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192"/>
        </w:trPr>
        <w:tc>
          <w:tcPr>
            <w:tcW w:w="266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warrants, $0.91 Strike Price,</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64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Expiration Date 12/11/2018</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82,418</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9,799</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68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189"/>
        </w:trPr>
        <w:tc>
          <w:tcPr>
            <w:tcW w:w="266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auto"/>
              </w:rPr>
              <w:t>Common warrants, $0.91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9"/>
          </w:tcPr>
          <w:p>
            <w:pPr>
              <w:ind w:left="180"/>
              <w:spacing w:after="0"/>
              <w:rPr>
                <w:sz w:val="20"/>
                <w:szCs w:val="20"/>
                <w:color w:val="auto"/>
              </w:rPr>
            </w:pPr>
            <w:r>
              <w:rPr>
                <w:rFonts w:ascii="Times New Roman" w:cs="Times New Roman" w:eastAsia="Times New Roman" w:hAnsi="Times New Roman"/>
                <w:sz w:val="16"/>
                <w:szCs w:val="16"/>
                <w:color w:val="auto"/>
              </w:rPr>
              <w:t>Expiration Date 12/11/2018</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412,088</w:t>
            </w:r>
          </w:p>
        </w:tc>
        <w:tc>
          <w:tcPr>
            <w:tcW w:w="1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50,970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4,121</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192"/>
        </w:trPr>
        <w:tc>
          <w:tcPr>
            <w:tcW w:w="266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warrants, $0.91 Strike Price,</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64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Expiration Date 5/16/2019</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192,308</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23,244</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1,923</w:t>
            </w:r>
          </w:p>
        </w:tc>
        <w:tc>
          <w:tcPr>
            <w:tcW w:w="68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189"/>
        </w:trPr>
        <w:tc>
          <w:tcPr>
            <w:tcW w:w="266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auto"/>
              </w:rPr>
              <w:t>Common warrants, $0.91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9"/>
          </w:tcPr>
          <w:p>
            <w:pPr>
              <w:ind w:left="180"/>
              <w:spacing w:after="0"/>
              <w:rPr>
                <w:sz w:val="20"/>
                <w:szCs w:val="20"/>
                <w:color w:val="auto"/>
              </w:rPr>
            </w:pPr>
            <w:r>
              <w:rPr>
                <w:rFonts w:ascii="Times New Roman" w:cs="Times New Roman" w:eastAsia="Times New Roman" w:hAnsi="Times New Roman"/>
                <w:sz w:val="16"/>
                <w:szCs w:val="16"/>
                <w:color w:val="auto"/>
              </w:rPr>
              <w:t>Expiration Date 3/22/2020</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714,286</w:t>
            </w:r>
          </w:p>
        </w:tc>
        <w:tc>
          <w:tcPr>
            <w:tcW w:w="1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85,779</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7,143</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192"/>
        </w:trPr>
        <w:tc>
          <w:tcPr>
            <w:tcW w:w="266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warrants, $0.91 Strike Price,</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264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Expiration Date 10/09/2018</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82,418</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9,901</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68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640" w:type="dxa"/>
            <w:vAlign w:val="bottom"/>
            <w:gridSpan w:val="9"/>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6,396,180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4,753,412</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196"/>
        </w:trPr>
        <w:tc>
          <w:tcPr>
            <w:tcW w:w="2660" w:type="dxa"/>
            <w:vAlign w:val="bottom"/>
            <w:gridSpan w:val="10"/>
            <w:shd w:val="clear" w:color="auto" w:fill="CCEEFF"/>
          </w:tcPr>
          <w:p>
            <w:pPr>
              <w:ind w:left="20"/>
              <w:spacing w:after="0" w:line="197" w:lineRule="exact"/>
              <w:rPr>
                <w:sz w:val="20"/>
                <w:szCs w:val="20"/>
                <w:color w:val="auto"/>
              </w:rPr>
            </w:pPr>
            <w:r>
              <w:rPr>
                <w:rFonts w:ascii="Times New Roman" w:cs="Times New Roman" w:eastAsia="Times New Roman" w:hAnsi="Times New Roman"/>
                <w:sz w:val="14"/>
                <w:szCs w:val="14"/>
                <w:b w:val="1"/>
                <w:bCs w:val="1"/>
                <w:color w:val="auto"/>
              </w:rPr>
              <w:t>Whittle Schools, LLC</w:t>
            </w:r>
            <w:r>
              <w:rPr>
                <w:rFonts w:ascii="Times New Roman" w:cs="Times New Roman" w:eastAsia="Times New Roman" w:hAnsi="Times New Roman"/>
                <w:sz w:val="22"/>
                <w:szCs w:val="22"/>
                <w:b w:val="1"/>
                <w:bCs w:val="1"/>
                <w:color w:val="auto"/>
                <w:vertAlign w:val="superscript"/>
              </w:rPr>
              <w:t>(1)(4)</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right w:val="single" w:sz="8" w:color="CCEEFF"/>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New York, NY</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Globally-focused</w:t>
            </w: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Private School</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3,000,000</w:t>
            </w:r>
          </w:p>
        </w:tc>
        <w:tc>
          <w:tcPr>
            <w:tcW w:w="1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3,000,000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3,000,000</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6"/>
        </w:trPr>
        <w:tc>
          <w:tcPr>
            <w:tcW w:w="266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229</w:t>
            </w:r>
          </w:p>
        </w:tc>
        <w:tc>
          <w:tcPr>
            <w:tcW w:w="14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1,577,097</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68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0.52%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9"/>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4,577,097</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4,500,000</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196"/>
        </w:trPr>
        <w:tc>
          <w:tcPr>
            <w:tcW w:w="2660" w:type="dxa"/>
            <w:vAlign w:val="bottom"/>
            <w:gridSpan w:val="10"/>
            <w:shd w:val="clear" w:color="auto" w:fill="CCEEFF"/>
          </w:tcPr>
          <w:p>
            <w:pPr>
              <w:ind w:left="20"/>
              <w:spacing w:after="0" w:line="197" w:lineRule="exact"/>
              <w:rPr>
                <w:sz w:val="20"/>
                <w:szCs w:val="20"/>
                <w:color w:val="auto"/>
              </w:rPr>
            </w:pPr>
            <w:r>
              <w:rPr>
                <w:rFonts w:ascii="Times New Roman" w:cs="Times New Roman" w:eastAsia="Times New Roman" w:hAnsi="Times New Roman"/>
                <w:sz w:val="14"/>
                <w:szCs w:val="14"/>
                <w:b w:val="1"/>
                <w:bCs w:val="1"/>
                <w:color w:val="auto"/>
              </w:rPr>
              <w:t>CUX, Inc. (d/b/a CorpU)</w:t>
            </w:r>
            <w:r>
              <w:rPr>
                <w:rFonts w:ascii="Times New Roman" w:cs="Times New Roman" w:eastAsia="Times New Roman" w:hAnsi="Times New Roman"/>
                <w:sz w:val="22"/>
                <w:szCs w:val="22"/>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right w:val="single" w:sz="8" w:color="CCEEFF"/>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auto"/>
              </w:rPr>
              <w:t>Convertible preferred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San Francisco, CA</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9"/>
          </w:tcPr>
          <w:p>
            <w:pPr>
              <w:ind w:left="180"/>
              <w:spacing w:after="0"/>
              <w:rPr>
                <w:sz w:val="20"/>
                <w:szCs w:val="20"/>
                <w:color w:val="auto"/>
              </w:rPr>
            </w:pPr>
            <w:r>
              <w:rPr>
                <w:rFonts w:ascii="Times New Roman" w:cs="Times New Roman" w:eastAsia="Times New Roman" w:hAnsi="Times New Roman"/>
                <w:sz w:val="16"/>
                <w:szCs w:val="16"/>
                <w:color w:val="auto"/>
              </w:rPr>
              <w:t>Series C</w:t>
            </w: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Corporate Education</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615,763</w:t>
            </w:r>
          </w:p>
        </w:tc>
        <w:tc>
          <w:tcPr>
            <w:tcW w:w="1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2,006,077</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2,292,582</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0.80%</w:t>
            </w:r>
          </w:p>
        </w:tc>
        <w:tc>
          <w:tcPr>
            <w:tcW w:w="0" w:type="dxa"/>
            <w:vAlign w:val="bottom"/>
          </w:tcPr>
          <w:p>
            <w:pPr>
              <w:spacing w:after="0"/>
              <w:rPr>
                <w:sz w:val="1"/>
                <w:szCs w:val="1"/>
                <w:color w:val="auto"/>
              </w:rPr>
            </w:pPr>
          </w:p>
        </w:tc>
      </w:tr>
      <w:tr>
        <w:trPr>
          <w:trHeight w:val="192"/>
        </w:trPr>
        <w:tc>
          <w:tcPr>
            <w:tcW w:w="266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Subordinated Convertible</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264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Promissory Note 8% Due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520" w:type="dxa"/>
            <w:vAlign w:val="bottom"/>
            <w:gridSpan w:val="7"/>
            <w:shd w:val="clear" w:color="auto" w:fill="CCEEFF"/>
          </w:tcPr>
          <w:p>
            <w:pPr>
              <w:ind w:left="200"/>
              <w:spacing w:after="0" w:line="255" w:lineRule="exact"/>
              <w:rPr>
                <w:sz w:val="20"/>
                <w:szCs w:val="20"/>
                <w:color w:val="auto"/>
              </w:rPr>
            </w:pPr>
            <w:r>
              <w:rPr>
                <w:rFonts w:ascii="Times New Roman" w:cs="Times New Roman" w:eastAsia="Times New Roman" w:hAnsi="Times New Roman"/>
                <w:sz w:val="16"/>
                <w:szCs w:val="16"/>
                <w:color w:val="auto"/>
              </w:rPr>
              <w:t>11/26/2018</w:t>
            </w:r>
            <w:r>
              <w:rPr>
                <w:rFonts w:ascii="Times New Roman" w:cs="Times New Roman" w:eastAsia="Times New Roman" w:hAnsi="Times New Roman"/>
                <w:sz w:val="27"/>
                <w:szCs w:val="27"/>
                <w:color w:val="auto"/>
                <w:vertAlign w:val="superscript"/>
              </w:rPr>
              <w:t>(12)</w:t>
            </w: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   1,000,000</w:t>
            </w:r>
          </w:p>
        </w:tc>
        <w:tc>
          <w:tcPr>
            <w:tcW w:w="140" w:type="dxa"/>
            <w:vAlign w:val="bottom"/>
            <w:shd w:val="clear" w:color="auto" w:fill="CCEEFF"/>
          </w:tcPr>
          <w:p>
            <w:pPr>
              <w:spacing w:after="0"/>
              <w:rPr>
                <w:sz w:val="22"/>
                <w:szCs w:val="22"/>
                <w:color w:val="auto"/>
              </w:rPr>
            </w:pPr>
          </w:p>
        </w:tc>
        <w:tc>
          <w:tcPr>
            <w:tcW w:w="80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1,000,000</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1,007,671</w:t>
            </w:r>
          </w:p>
        </w:tc>
        <w:tc>
          <w:tcPr>
            <w:tcW w:w="68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0.35%</w:t>
            </w:r>
          </w:p>
        </w:tc>
        <w:tc>
          <w:tcPr>
            <w:tcW w:w="0" w:type="dxa"/>
            <w:vAlign w:val="bottom"/>
          </w:tcPr>
          <w:p>
            <w:pPr>
              <w:spacing w:after="0"/>
              <w:rPr>
                <w:sz w:val="1"/>
                <w:szCs w:val="1"/>
                <w:color w:val="auto"/>
              </w:rPr>
            </w:pPr>
          </w:p>
        </w:tc>
      </w:tr>
      <w:tr>
        <w:trPr>
          <w:trHeight w:val="189"/>
        </w:trPr>
        <w:tc>
          <w:tcPr>
            <w:tcW w:w="266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auto"/>
              </w:rPr>
              <w:t>Convertible preferred shares,</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9"/>
          </w:tcPr>
          <w:p>
            <w:pPr>
              <w:ind w:left="180"/>
              <w:spacing w:after="0"/>
              <w:rPr>
                <w:sz w:val="20"/>
                <w:szCs w:val="20"/>
                <w:color w:val="auto"/>
              </w:rPr>
            </w:pPr>
            <w:r>
              <w:rPr>
                <w:rFonts w:ascii="Times New Roman" w:cs="Times New Roman" w:eastAsia="Times New Roman" w:hAnsi="Times New Roman"/>
                <w:sz w:val="16"/>
                <w:szCs w:val="16"/>
                <w:color w:val="auto"/>
              </w:rPr>
              <w:t>Series D</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169,033</w:t>
            </w:r>
          </w:p>
        </w:tc>
        <w:tc>
          <w:tcPr>
            <w:tcW w:w="1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778,607</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716,066</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0.25%</w:t>
            </w:r>
          </w:p>
        </w:tc>
        <w:tc>
          <w:tcPr>
            <w:tcW w:w="0" w:type="dxa"/>
            <w:vAlign w:val="bottom"/>
          </w:tcPr>
          <w:p>
            <w:pPr>
              <w:spacing w:after="0"/>
              <w:rPr>
                <w:sz w:val="1"/>
                <w:szCs w:val="1"/>
                <w:color w:val="auto"/>
              </w:rPr>
            </w:pPr>
          </w:p>
        </w:tc>
      </w:tr>
      <w:tr>
        <w:trPr>
          <w:trHeight w:val="192"/>
        </w:trPr>
        <w:tc>
          <w:tcPr>
            <w:tcW w:w="266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warrants, $4.59 Strike Price,</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264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Expiration Date 02/25/2018</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16,903</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12,508</w:t>
            </w:r>
          </w:p>
        </w:tc>
        <w:tc>
          <w:tcPr>
            <w:tcW w:w="68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640" w:type="dxa"/>
            <w:vAlign w:val="bottom"/>
            <w:gridSpan w:val="9"/>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3,784,684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4,028,827</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156"/>
        </w:trPr>
        <w:tc>
          <w:tcPr>
            <w:tcW w:w="2660" w:type="dxa"/>
            <w:vAlign w:val="bottom"/>
            <w:gridSpan w:val="10"/>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Parchment,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0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right w:val="single" w:sz="8" w:color="CCEEFF"/>
            </w:tcBorders>
            <w:shd w:val="clear" w:color="auto" w:fill="CCEEFF"/>
          </w:tcPr>
          <w:p>
            <w:pPr>
              <w:spacing w:after="0"/>
              <w:rPr>
                <w:sz w:val="13"/>
                <w:szCs w:val="13"/>
                <w:color w:val="auto"/>
              </w:rPr>
            </w:pPr>
          </w:p>
        </w:tc>
        <w:tc>
          <w:tcPr>
            <w:tcW w:w="88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auto"/>
              </w:rPr>
              <w:t>Preferred shares, Series D</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Scottsdale, AZ</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E-Transcript Exchange</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3,200,512</w:t>
            </w:r>
          </w:p>
        </w:tc>
        <w:tc>
          <w:tcPr>
            <w:tcW w:w="1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4,000,982</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4,000,640</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165"/>
        </w:trPr>
        <w:tc>
          <w:tcPr>
            <w:tcW w:w="2660" w:type="dxa"/>
            <w:vAlign w:val="bottom"/>
            <w:gridSpan w:val="10"/>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Global Education Learning</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gridSpan w:val="8"/>
            <w:shd w:val="clear" w:color="auto" w:fill="CCEEFF"/>
          </w:tcPr>
          <w:p>
            <w:pPr>
              <w:ind w:left="180"/>
              <w:spacing w:after="0" w:line="223" w:lineRule="exact"/>
              <w:rPr>
                <w:sz w:val="20"/>
                <w:szCs w:val="20"/>
                <w:color w:val="auto"/>
              </w:rPr>
            </w:pPr>
            <w:r>
              <w:rPr>
                <w:rFonts w:ascii="Times New Roman" w:cs="Times New Roman" w:eastAsia="Times New Roman" w:hAnsi="Times New Roman"/>
                <w:sz w:val="15"/>
                <w:szCs w:val="15"/>
                <w:b w:val="1"/>
                <w:bCs w:val="1"/>
                <w:color w:val="auto"/>
              </w:rPr>
              <w:t>(Holdings) Ltd.</w:t>
            </w:r>
            <w:r>
              <w:rPr>
                <w:rFonts w:ascii="Times New Roman" w:cs="Times New Roman" w:eastAsia="Times New Roman" w:hAnsi="Times New Roman"/>
                <w:sz w:val="25"/>
                <w:szCs w:val="25"/>
                <w:b w:val="1"/>
                <w:bCs w:val="1"/>
                <w:color w:val="auto"/>
                <w:vertAlign w:val="superscript"/>
              </w:rPr>
              <w:t>(1)</w:t>
            </w:r>
            <w:r>
              <w:rPr>
                <w:rFonts w:ascii="Times New Roman" w:cs="Times New Roman" w:eastAsia="Times New Roman" w:hAnsi="Times New Roman"/>
                <w:sz w:val="15"/>
                <w:szCs w:val="15"/>
                <w:b w:val="1"/>
                <w:bCs w:val="1"/>
                <w:color w:val="auto"/>
              </w:rPr>
              <w:t>**</w:t>
            </w:r>
          </w:p>
        </w:tc>
        <w:tc>
          <w:tcPr>
            <w:tcW w:w="7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right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CCEEFF"/>
              <w:right w:val="single" w:sz="8" w:color="CCEEFF"/>
            </w:tcBorders>
            <w:shd w:val="clear" w:color="auto" w:fill="CCEEFF"/>
          </w:tcPr>
          <w:p>
            <w:pPr>
              <w:spacing w:after="0"/>
              <w:rPr>
                <w:sz w:val="19"/>
                <w:szCs w:val="19"/>
                <w:color w:val="auto"/>
              </w:rPr>
            </w:pPr>
          </w:p>
        </w:tc>
        <w:tc>
          <w:tcPr>
            <w:tcW w:w="88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Hong Kong Education</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Technology</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2,126,475</w:t>
            </w:r>
          </w:p>
        </w:tc>
        <w:tc>
          <w:tcPr>
            <w:tcW w:w="1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4,335,769</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3,995,221</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165"/>
        </w:trPr>
        <w:tc>
          <w:tcPr>
            <w:tcW w:w="2660" w:type="dxa"/>
            <w:vAlign w:val="bottom"/>
            <w:gridSpan w:val="10"/>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Dataminr,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New York, NY</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Social Media Analytics</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904,977</w:t>
            </w:r>
          </w:p>
        </w:tc>
        <w:tc>
          <w:tcPr>
            <w:tcW w:w="1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2,063,356</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2,869,320</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6"/>
        </w:trPr>
        <w:tc>
          <w:tcPr>
            <w:tcW w:w="266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C</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301,369</w:t>
            </w:r>
          </w:p>
        </w:tc>
        <w:tc>
          <w:tcPr>
            <w:tcW w:w="14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1,100,909</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1,075,425</w:t>
            </w:r>
          </w:p>
        </w:tc>
        <w:tc>
          <w:tcPr>
            <w:tcW w:w="68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0.38%</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9"/>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3,164,265</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3,944,745</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156"/>
        </w:trPr>
        <w:tc>
          <w:tcPr>
            <w:tcW w:w="2660" w:type="dxa"/>
            <w:vAlign w:val="bottom"/>
            <w:gridSpan w:val="10"/>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w w:val="99"/>
              </w:rPr>
              <w:t>NestGSV, Inc. (d.b.a. GSV Labs,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0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right w:val="single" w:sz="8" w:color="CCEEFF"/>
            </w:tcBorders>
            <w:shd w:val="clear" w:color="auto" w:fill="CCEEFF"/>
          </w:tcPr>
          <w:p>
            <w:pPr>
              <w:spacing w:after="0"/>
              <w:rPr>
                <w:sz w:val="13"/>
                <w:szCs w:val="13"/>
                <w:color w:val="auto"/>
              </w:rPr>
            </w:pPr>
          </w:p>
        </w:tc>
        <w:tc>
          <w:tcPr>
            <w:tcW w:w="88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88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6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auto"/>
              </w:rPr>
              <w:t>Preferred shares, Series C</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Redwood City, CA</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Incubator</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1,561,625</w:t>
            </w:r>
          </w:p>
        </w:tc>
        <w:tc>
          <w:tcPr>
            <w:tcW w:w="1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2,005,730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1,503,832</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0.53%</w:t>
            </w:r>
          </w:p>
        </w:tc>
        <w:tc>
          <w:tcPr>
            <w:tcW w:w="0" w:type="dxa"/>
            <w:vAlign w:val="bottom"/>
          </w:tcPr>
          <w:p>
            <w:pPr>
              <w:spacing w:after="0"/>
              <w:rPr>
                <w:sz w:val="1"/>
                <w:szCs w:val="1"/>
                <w:color w:val="auto"/>
              </w:rPr>
            </w:pPr>
          </w:p>
        </w:tc>
      </w:tr>
      <w:tr>
        <w:trPr>
          <w:trHeight w:val="206"/>
        </w:trPr>
        <w:tc>
          <w:tcPr>
            <w:tcW w:w="266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D</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1,095,418</w:t>
            </w:r>
          </w:p>
        </w:tc>
        <w:tc>
          <w:tcPr>
            <w:tcW w:w="14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1,404,499</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1,460,557</w:t>
            </w:r>
          </w:p>
        </w:tc>
        <w:tc>
          <w:tcPr>
            <w:tcW w:w="68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0.51%</w:t>
            </w:r>
          </w:p>
        </w:tc>
        <w:tc>
          <w:tcPr>
            <w:tcW w:w="0" w:type="dxa"/>
            <w:vAlign w:val="bottom"/>
          </w:tcPr>
          <w:p>
            <w:pPr>
              <w:spacing w:after="0"/>
              <w:rPr>
                <w:sz w:val="1"/>
                <w:szCs w:val="1"/>
                <w:color w:val="auto"/>
              </w:rPr>
            </w:pPr>
          </w:p>
        </w:tc>
      </w:tr>
      <w:tr>
        <w:trPr>
          <w:trHeight w:val="203"/>
        </w:trPr>
        <w:tc>
          <w:tcPr>
            <w:tcW w:w="266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1,000,000</w:t>
            </w:r>
          </w:p>
        </w:tc>
        <w:tc>
          <w:tcPr>
            <w:tcW w:w="1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1,021,778</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440,000</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03"/>
        </w:trPr>
        <w:tc>
          <w:tcPr>
            <w:tcW w:w="266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450,000</w:t>
            </w:r>
          </w:p>
        </w:tc>
        <w:tc>
          <w:tcPr>
            <w:tcW w:w="14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605,500</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265,980</w:t>
            </w:r>
          </w:p>
        </w:tc>
        <w:tc>
          <w:tcPr>
            <w:tcW w:w="68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10"/>
        </w:trPr>
        <w:tc>
          <w:tcPr>
            <w:tcW w:w="266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200,000</w:t>
            </w:r>
          </w:p>
        </w:tc>
        <w:tc>
          <w:tcPr>
            <w:tcW w:w="1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-5055235</wp:posOffset>
            </wp:positionV>
            <wp:extent cx="5213985"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-4240530</wp:posOffset>
            </wp:positionV>
            <wp:extent cx="5213985"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-2757170</wp:posOffset>
            </wp:positionV>
            <wp:extent cx="5213985"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-1170940</wp:posOffset>
            </wp:positionV>
            <wp:extent cx="5213985"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i w:val="1"/>
          <w:iCs w:val="1"/>
          <w:color w:val="auto"/>
        </w:rPr>
        <w:t>See notes to the Condensed Consolidated Financial Statements</w:t>
      </w:r>
    </w:p>
    <w:p>
      <w:pPr>
        <w:spacing w:after="0" w:line="200" w:lineRule="exact"/>
        <w:rPr>
          <w:sz w:val="20"/>
          <w:szCs w:val="20"/>
          <w:color w:val="auto"/>
        </w:rPr>
      </w:pPr>
    </w:p>
    <w:p>
      <w:pPr>
        <w:spacing w:after="0" w:line="36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941" w:gutter="0" w:footer="0" w:header="0"/>
        </w:sectPr>
      </w:pPr>
    </w:p>
    <w:bookmarkStart w:id="16" w:name="page17"/>
    <w:bookmarkEnd w:id="16"/>
    <w:p>
      <w:pPr>
        <w:ind w:left="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 (Continued)</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60" w:type="dxa"/>
            <w:vAlign w:val="bottom"/>
          </w:tcPr>
          <w:p>
            <w:pPr>
              <w:spacing w:after="0"/>
              <w:rPr>
                <w:sz w:val="13"/>
                <w:szCs w:val="13"/>
                <w:color w:val="auto"/>
              </w:rPr>
            </w:pPr>
          </w:p>
        </w:tc>
        <w:tc>
          <w:tcPr>
            <w:tcW w:w="20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Headquarters/Industry</w:t>
            </w:r>
          </w:p>
        </w:tc>
        <w:tc>
          <w:tcPr>
            <w:tcW w:w="8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0" w:type="dxa"/>
            <w:vAlign w:val="bottom"/>
          </w:tcPr>
          <w:p>
            <w:pPr>
              <w:spacing w:after="0"/>
              <w:rPr>
                <w:sz w:val="13"/>
                <w:szCs w:val="13"/>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73"/>
        </w:trPr>
        <w:tc>
          <w:tcPr>
            <w:tcW w:w="2660" w:type="dxa"/>
            <w:vAlign w:val="bottom"/>
            <w:gridSpan w:val="12"/>
            <w:vMerge w:val="continue"/>
          </w:tcPr>
          <w:p>
            <w:pPr>
              <w:spacing w:after="0"/>
              <w:rPr>
                <w:sz w:val="15"/>
                <w:szCs w:val="15"/>
                <w:color w:val="auto"/>
              </w:rPr>
            </w:pPr>
          </w:p>
        </w:tc>
        <w:tc>
          <w:tcPr>
            <w:tcW w:w="60" w:type="dxa"/>
            <w:vAlign w:val="bottom"/>
          </w:tcPr>
          <w:p>
            <w:pPr>
              <w:spacing w:after="0"/>
              <w:rPr>
                <w:sz w:val="15"/>
                <w:szCs w:val="15"/>
                <w:color w:val="auto"/>
              </w:rPr>
            </w:pPr>
          </w:p>
        </w:tc>
        <w:tc>
          <w:tcPr>
            <w:tcW w:w="2080" w:type="dxa"/>
            <w:vAlign w:val="bottom"/>
            <w:gridSpan w:val="3"/>
            <w:vMerge w:val="continue"/>
          </w:tcPr>
          <w:p>
            <w:pPr>
              <w:spacing w:after="0"/>
              <w:rPr>
                <w:sz w:val="15"/>
                <w:szCs w:val="15"/>
                <w:color w:val="auto"/>
              </w:rPr>
            </w:pP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82"/>
        </w:trPr>
        <w:tc>
          <w:tcPr>
            <w:tcW w:w="2660" w:type="dxa"/>
            <w:vAlign w:val="bottom"/>
            <w:tcBorders>
              <w:top w:val="single" w:sz="8" w:color="auto"/>
            </w:tcBorders>
            <w:gridSpan w:val="12"/>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color w:val="auto"/>
              </w:rPr>
              <w:t>Preferred Warrant Series D – $1.33</w:t>
            </w:r>
          </w:p>
        </w:tc>
        <w:tc>
          <w:tcPr>
            <w:tcW w:w="60" w:type="dxa"/>
            <w:vAlign w:val="bottom"/>
            <w:shd w:val="clear" w:color="auto" w:fill="CCEEFF"/>
          </w:tcPr>
          <w:p>
            <w:pPr>
              <w:spacing w:after="0"/>
              <w:rPr>
                <w:sz w:val="15"/>
                <w:szCs w:val="15"/>
                <w:color w:val="auto"/>
              </w:rPr>
            </w:pPr>
          </w:p>
        </w:tc>
        <w:tc>
          <w:tcPr>
            <w:tcW w:w="186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640" w:type="dxa"/>
            <w:vAlign w:val="bottom"/>
            <w:gridSpan w:val="11"/>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Strike Price, Expiration Date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10/6/2019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4"/>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65,000</w:t>
            </w:r>
          </w:p>
        </w:tc>
        <w:tc>
          <w:tcPr>
            <w:tcW w:w="68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189"/>
        </w:trPr>
        <w:tc>
          <w:tcPr>
            <w:tcW w:w="266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Preferred warrants, Series C – $1.33</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Times New Roman" w:cs="Times New Roman" w:eastAsia="Times New Roman" w:hAnsi="Times New Roman"/>
                <w:sz w:val="16"/>
                <w:szCs w:val="16"/>
                <w:color w:val="auto"/>
              </w:rPr>
              <w:t>Strike Price, Expiration Date</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4/9/2019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24,375</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40" w:type="dxa"/>
            <w:vAlign w:val="bottom"/>
            <w:gridSpan w:val="11"/>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5,038,507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3,760,744</w:t>
            </w:r>
          </w:p>
        </w:tc>
        <w:tc>
          <w:tcPr>
            <w:tcW w:w="68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gridSpan w:val="12"/>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Bloom Energy Corporation</w:t>
            </w:r>
          </w:p>
        </w:tc>
        <w:tc>
          <w:tcPr>
            <w:tcW w:w="6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Sunnyvale, CA</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Fuel Cell Energy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3,855,601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3,357,969</w:t>
            </w:r>
          </w:p>
        </w:tc>
        <w:tc>
          <w:tcPr>
            <w:tcW w:w="68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162"/>
        </w:trPr>
        <w:tc>
          <w:tcPr>
            <w:tcW w:w="2660" w:type="dxa"/>
            <w:vAlign w:val="bottom"/>
            <w:gridSpan w:val="1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Gilt Groupe Holdings, Inc.</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9"/>
              </w:rPr>
              <w:t>New York, NY</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e-Commerce Flash Sales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6,594,433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3,168,108</w:t>
            </w:r>
          </w:p>
        </w:tc>
        <w:tc>
          <w:tcPr>
            <w:tcW w:w="680" w:type="dxa"/>
            <w:vAlign w:val="bottom"/>
            <w:gridSpan w:val="3"/>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6"/>
              </w:rPr>
              <w:t>1.11%</w:t>
            </w:r>
          </w:p>
        </w:tc>
        <w:tc>
          <w:tcPr>
            <w:tcW w:w="0" w:type="dxa"/>
            <w:vAlign w:val="bottom"/>
          </w:tcPr>
          <w:p>
            <w:pPr>
              <w:spacing w:after="0"/>
              <w:rPr>
                <w:sz w:val="1"/>
                <w:szCs w:val="1"/>
                <w:color w:val="auto"/>
              </w:rPr>
            </w:pPr>
          </w:p>
        </w:tc>
      </w:tr>
      <w:tr>
        <w:trPr>
          <w:trHeight w:val="203"/>
        </w:trPr>
        <w:tc>
          <w:tcPr>
            <w:tcW w:w="2660" w:type="dxa"/>
            <w:vAlign w:val="bottom"/>
            <w:gridSpan w:val="12"/>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SharesPost, Inc.</w:t>
            </w:r>
            <w:r>
              <w:rPr>
                <w:rFonts w:ascii="Times New Roman" w:cs="Times New Roman" w:eastAsia="Times New Roman" w:hAnsi="Times New Roman"/>
                <w:sz w:val="23"/>
                <w:szCs w:val="23"/>
                <w:b w:val="1"/>
                <w:bCs w:val="1"/>
                <w:color w:val="auto"/>
                <w:vertAlign w:val="superscript"/>
              </w:rPr>
              <w:t>(1)(6)</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6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San Bruno, CA</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8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Online Marketplace</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Finance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1,771,653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2,259,716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2,249,999</w:t>
            </w:r>
          </w:p>
        </w:tc>
        <w:tc>
          <w:tcPr>
            <w:tcW w:w="68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0.79%</w:t>
            </w:r>
          </w:p>
        </w:tc>
        <w:tc>
          <w:tcPr>
            <w:tcW w:w="0" w:type="dxa"/>
            <w:vAlign w:val="bottom"/>
          </w:tcPr>
          <w:p>
            <w:pPr>
              <w:spacing w:after="0"/>
              <w:rPr>
                <w:sz w:val="1"/>
                <w:szCs w:val="1"/>
                <w:color w:val="auto"/>
              </w:rPr>
            </w:pPr>
          </w:p>
        </w:tc>
      </w:tr>
      <w:tr>
        <w:trPr>
          <w:trHeight w:val="189"/>
        </w:trPr>
        <w:tc>
          <w:tcPr>
            <w:tcW w:w="266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Common warrants, $0.13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11"/>
          </w:tcPr>
          <w:p>
            <w:pPr>
              <w:ind w:left="180"/>
              <w:spacing w:after="0"/>
              <w:rPr>
                <w:sz w:val="20"/>
                <w:szCs w:val="20"/>
                <w:color w:val="auto"/>
              </w:rPr>
            </w:pPr>
            <w:r>
              <w:rPr>
                <w:rFonts w:ascii="Times New Roman" w:cs="Times New Roman" w:eastAsia="Times New Roman" w:hAnsi="Times New Roman"/>
                <w:sz w:val="16"/>
                <w:szCs w:val="16"/>
                <w:color w:val="auto"/>
              </w:rPr>
              <w:t>Expiration Date 6/15/2018</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770,934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23,128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485,688</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40" w:type="dxa"/>
            <w:vAlign w:val="bottom"/>
            <w:gridSpan w:val="11"/>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2,282,844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2,735,687</w:t>
            </w:r>
          </w:p>
        </w:tc>
        <w:tc>
          <w:tcPr>
            <w:tcW w:w="68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0.96%</w:t>
            </w: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gridSpan w:val="12"/>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DogVacay, Inc.</w:t>
            </w:r>
          </w:p>
        </w:tc>
        <w:tc>
          <w:tcPr>
            <w:tcW w:w="6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B-1</w:t>
            </w:r>
          </w:p>
        </w:tc>
        <w:tc>
          <w:tcPr>
            <w:tcW w:w="6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Santa Monica, CA</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Dog Boarding</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514,562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2,506,119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2,505,917</w:t>
            </w:r>
          </w:p>
        </w:tc>
        <w:tc>
          <w:tcPr>
            <w:tcW w:w="68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0.88%</w:t>
            </w:r>
          </w:p>
        </w:tc>
        <w:tc>
          <w:tcPr>
            <w:tcW w:w="0" w:type="dxa"/>
            <w:vAlign w:val="bottom"/>
          </w:tcPr>
          <w:p>
            <w:pPr>
              <w:spacing w:after="0"/>
              <w:rPr>
                <w:sz w:val="1"/>
                <w:szCs w:val="1"/>
                <w:color w:val="auto"/>
              </w:rPr>
            </w:pPr>
          </w:p>
        </w:tc>
      </w:tr>
      <w:tr>
        <w:trPr>
          <w:trHeight w:val="162"/>
        </w:trPr>
        <w:tc>
          <w:tcPr>
            <w:tcW w:w="2660" w:type="dxa"/>
            <w:vAlign w:val="bottom"/>
            <w:gridSpan w:val="1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DreamBox Learning, Inc.</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A-1</w:t>
            </w:r>
          </w:p>
        </w:tc>
        <w:tc>
          <w:tcPr>
            <w:tcW w:w="6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Bellevue, WA</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Education Technology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7,159,221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1,502,362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1,606,388</w:t>
            </w:r>
          </w:p>
        </w:tc>
        <w:tc>
          <w:tcPr>
            <w:tcW w:w="68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0.56%</w:t>
            </w:r>
          </w:p>
        </w:tc>
        <w:tc>
          <w:tcPr>
            <w:tcW w:w="0" w:type="dxa"/>
            <w:vAlign w:val="bottom"/>
          </w:tcPr>
          <w:p>
            <w:pPr>
              <w:spacing w:after="0"/>
              <w:rPr>
                <w:sz w:val="1"/>
                <w:szCs w:val="1"/>
                <w:color w:val="auto"/>
              </w:rPr>
            </w:pPr>
          </w:p>
        </w:tc>
      </w:tr>
      <w:tr>
        <w:trPr>
          <w:trHeight w:val="203"/>
        </w:trPr>
        <w:tc>
          <w:tcPr>
            <w:tcW w:w="266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3,579,610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758,017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803,194</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640" w:type="dxa"/>
            <w:vAlign w:val="bottom"/>
            <w:gridSpan w:val="11"/>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2,260,379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2,409,582</w:t>
            </w:r>
          </w:p>
        </w:tc>
        <w:tc>
          <w:tcPr>
            <w:tcW w:w="68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0.84%</w:t>
            </w: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gridSpan w:val="12"/>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Circle Media (f.k.a. S3 Digital Corp.</w:t>
            </w:r>
          </w:p>
        </w:tc>
        <w:tc>
          <w:tcPr>
            <w:tcW w:w="6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00" w:type="dxa"/>
            <w:vAlign w:val="bottom"/>
            <w:tcBorders>
              <w:top w:val="single" w:sz="8" w:color="auto"/>
            </w:tcBorders>
            <w:gridSpan w:val="10"/>
          </w:tcPr>
          <w:p>
            <w:pPr>
              <w:ind w:left="180"/>
              <w:spacing w:after="0" w:line="223" w:lineRule="exact"/>
              <w:rPr>
                <w:sz w:val="20"/>
                <w:szCs w:val="20"/>
                <w:color w:val="auto"/>
              </w:rPr>
            </w:pPr>
            <w:r>
              <w:rPr>
                <w:rFonts w:ascii="Times New Roman" w:cs="Times New Roman" w:eastAsia="Times New Roman" w:hAnsi="Times New Roman"/>
                <w:sz w:val="15"/>
                <w:szCs w:val="15"/>
                <w:b w:val="1"/>
                <w:bCs w:val="1"/>
                <w:color w:val="auto"/>
              </w:rPr>
              <w:t>(d/b/a S3i)</w:t>
            </w:r>
            <w:r>
              <w:rPr>
                <w:rFonts w:ascii="Times New Roman" w:cs="Times New Roman" w:eastAsia="Times New Roman" w:hAnsi="Times New Roman"/>
                <w:sz w:val="25"/>
                <w:szCs w:val="25"/>
                <w:b w:val="1"/>
                <w:bCs w:val="1"/>
                <w:color w:val="auto"/>
                <w:vertAlign w:val="superscript"/>
              </w:rPr>
              <w:t>(1)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6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9"/>
              </w:rPr>
              <w:t>New York, NY</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Sports Analytics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1,462,269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1,496,059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1,705,006</w:t>
            </w:r>
          </w:p>
        </w:tc>
        <w:tc>
          <w:tcPr>
            <w:tcW w:w="68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0.60%</w:t>
            </w:r>
          </w:p>
        </w:tc>
        <w:tc>
          <w:tcPr>
            <w:tcW w:w="0" w:type="dxa"/>
            <w:vAlign w:val="bottom"/>
          </w:tcPr>
          <w:p>
            <w:pPr>
              <w:spacing w:after="0"/>
              <w:rPr>
                <w:sz w:val="1"/>
                <w:szCs w:val="1"/>
                <w:color w:val="auto"/>
              </w:rPr>
            </w:pPr>
          </w:p>
        </w:tc>
      </w:tr>
      <w:tr>
        <w:trPr>
          <w:trHeight w:val="203"/>
        </w:trPr>
        <w:tc>
          <w:tcPr>
            <w:tcW w:w="266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Term Loan, 12%, 09/30/15***</w:t>
            </w:r>
          </w:p>
        </w:tc>
        <w:tc>
          <w:tcPr>
            <w:tcW w:w="21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283,901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288,114</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189"/>
        </w:trPr>
        <w:tc>
          <w:tcPr>
            <w:tcW w:w="266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warrants, $1.17 Strike Price,</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640" w:type="dxa"/>
            <w:vAlign w:val="bottom"/>
            <w:gridSpan w:val="11"/>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Expiration Date 08/29/2021</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58,019</w:t>
            </w:r>
          </w:p>
        </w:tc>
        <w:tc>
          <w:tcPr>
            <w:tcW w:w="68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189"/>
        </w:trPr>
        <w:tc>
          <w:tcPr>
            <w:tcW w:w="266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Preferred warrants, $1.17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11"/>
          </w:tcPr>
          <w:p>
            <w:pPr>
              <w:ind w:left="180"/>
              <w:spacing w:after="0"/>
              <w:rPr>
                <w:sz w:val="20"/>
                <w:szCs w:val="20"/>
                <w:color w:val="auto"/>
              </w:rPr>
            </w:pPr>
            <w:r>
              <w:rPr>
                <w:rFonts w:ascii="Times New Roman" w:cs="Times New Roman" w:eastAsia="Times New Roman" w:hAnsi="Times New Roman"/>
                <w:sz w:val="16"/>
                <w:szCs w:val="16"/>
                <w:color w:val="auto"/>
              </w:rPr>
              <w:t>Expiration Date 09/30/2020</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64,322</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192"/>
        </w:trPr>
        <w:tc>
          <w:tcPr>
            <w:tcW w:w="266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warrants, $1.16 Strike Price,</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640" w:type="dxa"/>
            <w:vAlign w:val="bottom"/>
            <w:gridSpan w:val="11"/>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Expiration Date 6/26/2021</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12,736</w:t>
            </w:r>
          </w:p>
        </w:tc>
        <w:tc>
          <w:tcPr>
            <w:tcW w:w="68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189"/>
        </w:trPr>
        <w:tc>
          <w:tcPr>
            <w:tcW w:w="266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Preferred warrants, $1.00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11"/>
          </w:tcPr>
          <w:p>
            <w:pPr>
              <w:ind w:left="180"/>
              <w:spacing w:after="0"/>
              <w:rPr>
                <w:sz w:val="20"/>
                <w:szCs w:val="20"/>
                <w:color w:val="auto"/>
              </w:rPr>
            </w:pPr>
            <w:r>
              <w:rPr>
                <w:rFonts w:ascii="Times New Roman" w:cs="Times New Roman" w:eastAsia="Times New Roman" w:hAnsi="Times New Roman"/>
                <w:sz w:val="16"/>
                <w:szCs w:val="16"/>
                <w:color w:val="auto"/>
              </w:rPr>
              <w:t>Expiration Date 11/21/2017</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31,354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165,000</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40" w:type="dxa"/>
            <w:vAlign w:val="bottom"/>
            <w:gridSpan w:val="11"/>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1,811,314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2,293,197</w:t>
            </w:r>
          </w:p>
        </w:tc>
        <w:tc>
          <w:tcPr>
            <w:tcW w:w="68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0.80%</w:t>
            </w:r>
          </w:p>
        </w:tc>
        <w:tc>
          <w:tcPr>
            <w:tcW w:w="0" w:type="dxa"/>
            <w:vAlign w:val="bottom"/>
          </w:tcPr>
          <w:p>
            <w:pPr>
              <w:spacing w:after="0"/>
              <w:rPr>
                <w:sz w:val="1"/>
                <w:szCs w:val="1"/>
                <w:color w:val="auto"/>
              </w:rPr>
            </w:pPr>
          </w:p>
        </w:tc>
      </w:tr>
      <w:tr>
        <w:trPr>
          <w:trHeight w:val="196"/>
        </w:trPr>
        <w:tc>
          <w:tcPr>
            <w:tcW w:w="2660" w:type="dxa"/>
            <w:vAlign w:val="bottom"/>
            <w:tcBorders>
              <w:top w:val="single" w:sz="8" w:color="CCEEFF"/>
            </w:tcBorders>
            <w:gridSpan w:val="12"/>
          </w:tcPr>
          <w:p>
            <w:pPr>
              <w:ind w:left="20"/>
              <w:spacing w:after="0" w:line="197" w:lineRule="exact"/>
              <w:rPr>
                <w:sz w:val="20"/>
                <w:szCs w:val="20"/>
                <w:color w:val="auto"/>
              </w:rPr>
            </w:pPr>
            <w:r>
              <w:rPr>
                <w:rFonts w:ascii="Times New Roman" w:cs="Times New Roman" w:eastAsia="Times New Roman" w:hAnsi="Times New Roman"/>
                <w:sz w:val="14"/>
                <w:szCs w:val="14"/>
                <w:b w:val="1"/>
                <w:bCs w:val="1"/>
                <w:color w:val="auto"/>
              </w:rPr>
              <w:t>Maven Research, Inc.</w:t>
            </w:r>
            <w:r>
              <w:rPr>
                <w:rFonts w:ascii="Times New Roman" w:cs="Times New Roman" w:eastAsia="Times New Roman" w:hAnsi="Times New Roman"/>
                <w:sz w:val="22"/>
                <w:szCs w:val="22"/>
                <w:b w:val="1"/>
                <w:bCs w:val="1"/>
                <w:color w:val="auto"/>
                <w:vertAlign w:val="superscript"/>
              </w:rPr>
              <w:t>(1)</w:t>
            </w:r>
          </w:p>
        </w:tc>
        <w:tc>
          <w:tcPr>
            <w:tcW w:w="6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C</w:t>
            </w:r>
          </w:p>
        </w:tc>
        <w:tc>
          <w:tcPr>
            <w:tcW w:w="6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San Francisco, CA</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9"/>
              </w:rPr>
              <w:t>Knowledge Networks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2,000,447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1,999,998</w:t>
            </w:r>
          </w:p>
        </w:tc>
        <w:tc>
          <w:tcPr>
            <w:tcW w:w="68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0.70%</w:t>
            </w:r>
          </w:p>
        </w:tc>
        <w:tc>
          <w:tcPr>
            <w:tcW w:w="0" w:type="dxa"/>
            <w:vAlign w:val="bottom"/>
          </w:tcPr>
          <w:p>
            <w:pPr>
              <w:spacing w:after="0"/>
              <w:rPr>
                <w:sz w:val="1"/>
                <w:szCs w:val="1"/>
                <w:color w:val="auto"/>
              </w:rPr>
            </w:pPr>
          </w:p>
        </w:tc>
      </w:tr>
      <w:tr>
        <w:trPr>
          <w:trHeight w:val="203"/>
        </w:trPr>
        <w:tc>
          <w:tcPr>
            <w:tcW w:w="266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49,505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217,206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249,691</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640" w:type="dxa"/>
            <w:vAlign w:val="bottom"/>
            <w:gridSpan w:val="11"/>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2,217,653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2,249,689</w:t>
            </w:r>
          </w:p>
        </w:tc>
        <w:tc>
          <w:tcPr>
            <w:tcW w:w="68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0.79%</w:t>
            </w: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gridSpan w:val="12"/>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Clever, Inc.</w:t>
            </w:r>
          </w:p>
        </w:tc>
        <w:tc>
          <w:tcPr>
            <w:tcW w:w="6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B Preferred Stock</w:t>
            </w:r>
          </w:p>
        </w:tc>
        <w:tc>
          <w:tcPr>
            <w:tcW w:w="6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San Francisco, CA</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Education Software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1,799,047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2,000,001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2,000,001</w:t>
            </w:r>
          </w:p>
        </w:tc>
        <w:tc>
          <w:tcPr>
            <w:tcW w:w="68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0.70%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-5685155</wp:posOffset>
            </wp:positionV>
            <wp:extent cx="5213985"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-3970020</wp:posOffset>
            </wp:positionV>
            <wp:extent cx="5213985"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-2923540</wp:posOffset>
            </wp:positionV>
            <wp:extent cx="5213985" cy="291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-1080135</wp:posOffset>
            </wp:positionV>
            <wp:extent cx="5213985" cy="163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-393700</wp:posOffset>
            </wp:positionV>
            <wp:extent cx="5213985"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i w:val="1"/>
          <w:iCs w:val="1"/>
          <w:color w:val="auto"/>
        </w:rPr>
        <w:t>See notes to the Condensed Consolidated Financial Statements</w:t>
      </w:r>
    </w:p>
    <w:p>
      <w:pPr>
        <w:spacing w:after="0" w:line="200" w:lineRule="exact"/>
        <w:rPr>
          <w:sz w:val="20"/>
          <w:szCs w:val="20"/>
          <w:color w:val="auto"/>
        </w:rPr>
      </w:pPr>
    </w:p>
    <w:p>
      <w:pPr>
        <w:spacing w:after="0" w:line="36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17" w:name="page18"/>
    <w:bookmarkEnd w:id="17"/>
    <w:p>
      <w:pPr>
        <w:ind w:left="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 (Continued)</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60" w:type="dxa"/>
            <w:vAlign w:val="bottom"/>
          </w:tcPr>
          <w:p>
            <w:pPr>
              <w:spacing w:after="0"/>
              <w:rPr>
                <w:sz w:val="13"/>
                <w:szCs w:val="13"/>
                <w:color w:val="auto"/>
              </w:rPr>
            </w:pPr>
          </w:p>
        </w:tc>
        <w:tc>
          <w:tcPr>
            <w:tcW w:w="20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Headquarters/Industry</w:t>
            </w:r>
          </w:p>
        </w:tc>
        <w:tc>
          <w:tcPr>
            <w:tcW w:w="8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3"/>
                <w:szCs w:val="13"/>
                <w:color w:val="auto"/>
              </w:rPr>
            </w:pPr>
          </w:p>
        </w:tc>
        <w:tc>
          <w:tcPr>
            <w:tcW w:w="88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0" w:type="dxa"/>
            <w:vAlign w:val="bottom"/>
          </w:tcPr>
          <w:p>
            <w:pPr>
              <w:spacing w:after="0"/>
              <w:rPr>
                <w:sz w:val="13"/>
                <w:szCs w:val="13"/>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73"/>
        </w:trPr>
        <w:tc>
          <w:tcPr>
            <w:tcW w:w="2660" w:type="dxa"/>
            <w:vAlign w:val="bottom"/>
            <w:gridSpan w:val="16"/>
            <w:vMerge w:val="continue"/>
          </w:tcPr>
          <w:p>
            <w:pPr>
              <w:spacing w:after="0"/>
              <w:rPr>
                <w:sz w:val="15"/>
                <w:szCs w:val="15"/>
                <w:color w:val="auto"/>
              </w:rPr>
            </w:pPr>
          </w:p>
        </w:tc>
        <w:tc>
          <w:tcPr>
            <w:tcW w:w="60" w:type="dxa"/>
            <w:vAlign w:val="bottom"/>
          </w:tcPr>
          <w:p>
            <w:pPr>
              <w:spacing w:after="0"/>
              <w:rPr>
                <w:sz w:val="15"/>
                <w:szCs w:val="15"/>
                <w:color w:val="auto"/>
              </w:rPr>
            </w:pPr>
          </w:p>
        </w:tc>
        <w:tc>
          <w:tcPr>
            <w:tcW w:w="2080" w:type="dxa"/>
            <w:vAlign w:val="bottom"/>
            <w:gridSpan w:val="3"/>
            <w:vMerge w:val="continue"/>
          </w:tcPr>
          <w:p>
            <w:pPr>
              <w:spacing w:after="0"/>
              <w:rPr>
                <w:sz w:val="15"/>
                <w:szCs w:val="15"/>
                <w:color w:val="auto"/>
              </w:rPr>
            </w:pP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96"/>
        </w:trPr>
        <w:tc>
          <w:tcPr>
            <w:tcW w:w="2660" w:type="dxa"/>
            <w:vAlign w:val="bottom"/>
            <w:tcBorders>
              <w:top w:val="single" w:sz="8" w:color="auto"/>
            </w:tcBorders>
            <w:gridSpan w:val="16"/>
            <w:shd w:val="clear" w:color="auto" w:fill="CCEEFF"/>
          </w:tcPr>
          <w:p>
            <w:pPr>
              <w:ind w:left="20"/>
              <w:spacing w:after="0" w:line="197" w:lineRule="exact"/>
              <w:rPr>
                <w:sz w:val="20"/>
                <w:szCs w:val="20"/>
                <w:color w:val="auto"/>
              </w:rPr>
            </w:pPr>
            <w:r>
              <w:rPr>
                <w:rFonts w:ascii="Times New Roman" w:cs="Times New Roman" w:eastAsia="Times New Roman" w:hAnsi="Times New Roman"/>
                <w:sz w:val="14"/>
                <w:szCs w:val="14"/>
                <w:b w:val="1"/>
                <w:bCs w:val="1"/>
                <w:color w:val="auto"/>
              </w:rPr>
              <w:t>AlwaysOn, Inc.</w:t>
            </w:r>
            <w:r>
              <w:rPr>
                <w:rFonts w:ascii="Times New Roman" w:cs="Times New Roman" w:eastAsia="Times New Roman" w:hAnsi="Times New Roman"/>
                <w:sz w:val="22"/>
                <w:szCs w:val="22"/>
                <w:b w:val="1"/>
                <w:bCs w:val="1"/>
                <w:color w:val="auto"/>
                <w:vertAlign w:val="superscript"/>
              </w:rPr>
              <w:t>(2)</w:t>
            </w:r>
          </w:p>
        </w:tc>
        <w:tc>
          <w:tcPr>
            <w:tcW w:w="60" w:type="dxa"/>
            <w:vAlign w:val="bottom"/>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6"/>
          </w:tcPr>
          <w:p>
            <w:pPr>
              <w:ind w:left="20"/>
              <w:spacing w:after="0"/>
              <w:rPr>
                <w:sz w:val="20"/>
                <w:szCs w:val="20"/>
                <w:color w:val="auto"/>
              </w:rPr>
            </w:pPr>
            <w:r>
              <w:rPr>
                <w:rFonts w:ascii="Times New Roman" w:cs="Times New Roman" w:eastAsia="Times New Roman" w:hAnsi="Times New Roman"/>
                <w:sz w:val="16"/>
                <w:szCs w:val="16"/>
                <w:color w:val="auto"/>
              </w:rPr>
              <w:t>Preferred shares, Series A-1</w:t>
            </w:r>
          </w:p>
        </w:tc>
        <w:tc>
          <w:tcPr>
            <w:tcW w:w="60" w:type="dxa"/>
            <w:vAlign w:val="bottom"/>
          </w:tcPr>
          <w:p>
            <w:pPr>
              <w:spacing w:after="0"/>
              <w:rPr>
                <w:sz w:val="16"/>
                <w:szCs w:val="16"/>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Woodside,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Social Media</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4,465,925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876,023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491,252</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206"/>
        </w:trPr>
        <w:tc>
          <w:tcPr>
            <w:tcW w:w="266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1,066,626</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1,027,391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629,309</w:t>
            </w:r>
          </w:p>
        </w:tc>
        <w:tc>
          <w:tcPr>
            <w:tcW w:w="68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189"/>
        </w:trPr>
        <w:tc>
          <w:tcPr>
            <w:tcW w:w="2660" w:type="dxa"/>
            <w:vAlign w:val="bottom"/>
            <w:gridSpan w:val="16"/>
          </w:tcPr>
          <w:p>
            <w:pPr>
              <w:ind w:left="20"/>
              <w:spacing w:after="0"/>
              <w:rPr>
                <w:sz w:val="20"/>
                <w:szCs w:val="20"/>
                <w:color w:val="auto"/>
              </w:rPr>
            </w:pPr>
            <w:r>
              <w:rPr>
                <w:rFonts w:ascii="Times New Roman" w:cs="Times New Roman" w:eastAsia="Times New Roman" w:hAnsi="Times New Roman"/>
                <w:sz w:val="16"/>
                <w:szCs w:val="16"/>
                <w:color w:val="auto"/>
              </w:rPr>
              <w:t>Preferred warrants Series A-1, $0.19</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15"/>
          </w:tcPr>
          <w:p>
            <w:pPr>
              <w:ind w:left="180"/>
              <w:spacing w:after="0"/>
              <w:rPr>
                <w:sz w:val="20"/>
                <w:szCs w:val="20"/>
                <w:color w:val="auto"/>
              </w:rPr>
            </w:pPr>
            <w:r>
              <w:rPr>
                <w:rFonts w:ascii="Times New Roman" w:cs="Times New Roman" w:eastAsia="Times New Roman" w:hAnsi="Times New Roman"/>
                <w:sz w:val="16"/>
                <w:szCs w:val="16"/>
                <w:color w:val="auto"/>
              </w:rPr>
              <w:t>strike price, expire 12/31/2014</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1,313,508</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192"/>
        </w:trPr>
        <w:tc>
          <w:tcPr>
            <w:tcW w:w="266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warrants Series A, $1.00 strike</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2640" w:type="dxa"/>
            <w:vAlign w:val="bottom"/>
            <w:gridSpan w:val="15"/>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price, expire 1/9/2017</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109,375</w:t>
            </w: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660" w:type="dxa"/>
            <w:vAlign w:val="bottom"/>
            <w:gridSpan w:val="16"/>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1,903,414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1,120,561</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0.39%</w:t>
            </w:r>
          </w:p>
        </w:tc>
        <w:tc>
          <w:tcPr>
            <w:tcW w:w="0" w:type="dxa"/>
            <w:vAlign w:val="bottom"/>
          </w:tcPr>
          <w:p>
            <w:pPr>
              <w:spacing w:after="0"/>
              <w:rPr>
                <w:sz w:val="1"/>
                <w:szCs w:val="1"/>
                <w:color w:val="auto"/>
              </w:rPr>
            </w:pPr>
          </w:p>
        </w:tc>
      </w:tr>
      <w:tr>
        <w:trPr>
          <w:trHeight w:val="156"/>
        </w:trPr>
        <w:tc>
          <w:tcPr>
            <w:tcW w:w="2660" w:type="dxa"/>
            <w:vAlign w:val="bottom"/>
            <w:gridSpan w:val="16"/>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AliphCom, Inc. (d/b/a Jawbone)</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6"/>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tcPr>
          <w:p>
            <w:pPr>
              <w:spacing w:after="0"/>
              <w:rPr>
                <w:sz w:val="16"/>
                <w:szCs w:val="16"/>
                <w:color w:val="auto"/>
              </w:rPr>
            </w:pPr>
          </w:p>
        </w:tc>
        <w:tc>
          <w:tcPr>
            <w:tcW w:w="20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San Francisco,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Smart Device Company</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793,152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1,013,217</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0.35%</w:t>
            </w:r>
          </w:p>
        </w:tc>
        <w:tc>
          <w:tcPr>
            <w:tcW w:w="0" w:type="dxa"/>
            <w:vAlign w:val="bottom"/>
          </w:tcPr>
          <w:p>
            <w:pPr>
              <w:spacing w:after="0"/>
              <w:rPr>
                <w:sz w:val="1"/>
                <w:szCs w:val="1"/>
                <w:color w:val="auto"/>
              </w:rPr>
            </w:pPr>
          </w:p>
        </w:tc>
      </w:tr>
      <w:tr>
        <w:trPr>
          <w:trHeight w:val="165"/>
        </w:trPr>
        <w:tc>
          <w:tcPr>
            <w:tcW w:w="2660" w:type="dxa"/>
            <w:vAlign w:val="bottom"/>
            <w:gridSpan w:val="16"/>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Enjoy Technology,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6"/>
          </w:tcPr>
          <w:p>
            <w:pPr>
              <w:ind w:left="20"/>
              <w:spacing w:after="0"/>
              <w:rPr>
                <w:sz w:val="20"/>
                <w:szCs w:val="20"/>
                <w:color w:val="auto"/>
              </w:rPr>
            </w:pPr>
            <w:r>
              <w:rPr>
                <w:rFonts w:ascii="Times New Roman" w:cs="Times New Roman" w:eastAsia="Times New Roman" w:hAnsi="Times New Roman"/>
                <w:sz w:val="16"/>
                <w:szCs w:val="16"/>
                <w:color w:val="auto"/>
              </w:rPr>
              <w:t>Series A Preferred Shares</w:t>
            </w:r>
          </w:p>
        </w:tc>
        <w:tc>
          <w:tcPr>
            <w:tcW w:w="60" w:type="dxa"/>
            <w:vAlign w:val="bottom"/>
          </w:tcPr>
          <w:p>
            <w:pPr>
              <w:spacing w:after="0"/>
              <w:rPr>
                <w:sz w:val="16"/>
                <w:szCs w:val="16"/>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Menlo Park,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Online Shopping</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879,198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1,002,440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1,002,440</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0.35%</w:t>
            </w:r>
          </w:p>
        </w:tc>
        <w:tc>
          <w:tcPr>
            <w:tcW w:w="0" w:type="dxa"/>
            <w:vAlign w:val="bottom"/>
          </w:tcPr>
          <w:p>
            <w:pPr>
              <w:spacing w:after="0"/>
              <w:rPr>
                <w:sz w:val="1"/>
                <w:szCs w:val="1"/>
                <w:color w:val="auto"/>
              </w:rPr>
            </w:pPr>
          </w:p>
        </w:tc>
      </w:tr>
      <w:tr>
        <w:trPr>
          <w:trHeight w:val="206"/>
        </w:trPr>
        <w:tc>
          <w:tcPr>
            <w:tcW w:w="2660" w:type="dxa"/>
            <w:vAlign w:val="bottom"/>
            <w:gridSpan w:val="16"/>
            <w:shd w:val="clear" w:color="auto" w:fill="CCEEFF"/>
          </w:tcPr>
          <w:p>
            <w:pPr>
              <w:ind w:left="20"/>
              <w:spacing w:after="0" w:line="205" w:lineRule="exact"/>
              <w:rPr>
                <w:sz w:val="20"/>
                <w:szCs w:val="20"/>
                <w:color w:val="auto"/>
              </w:rPr>
            </w:pPr>
            <w:r>
              <w:rPr>
                <w:rFonts w:ascii="Times New Roman" w:cs="Times New Roman" w:eastAsia="Times New Roman" w:hAnsi="Times New Roman"/>
                <w:sz w:val="14"/>
                <w:szCs w:val="14"/>
                <w:b w:val="1"/>
                <w:bCs w:val="1"/>
                <w:color w:val="auto"/>
              </w:rPr>
              <w:t>Strategic Data Command, LLC</w:t>
            </w:r>
            <w:r>
              <w:rPr>
                <w:rFonts w:ascii="Times New Roman" w:cs="Times New Roman" w:eastAsia="Times New Roman" w:hAnsi="Times New Roman"/>
                <w:sz w:val="23"/>
                <w:szCs w:val="23"/>
                <w:b w:val="1"/>
                <w:bCs w:val="1"/>
                <w:color w:val="auto"/>
                <w:vertAlign w:val="superscript"/>
              </w:rPr>
              <w:t>(1)(7)</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6"/>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tcPr>
          <w:p>
            <w:pPr>
              <w:spacing w:after="0"/>
              <w:rPr>
                <w:sz w:val="16"/>
                <w:szCs w:val="16"/>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Sunnyvale,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Software Development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1,001,650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0.35%</w:t>
            </w:r>
          </w:p>
        </w:tc>
        <w:tc>
          <w:tcPr>
            <w:tcW w:w="0" w:type="dxa"/>
            <w:vAlign w:val="bottom"/>
          </w:tcPr>
          <w:p>
            <w:pPr>
              <w:spacing w:after="0"/>
              <w:rPr>
                <w:sz w:val="1"/>
                <w:szCs w:val="1"/>
                <w:color w:val="auto"/>
              </w:rPr>
            </w:pPr>
          </w:p>
        </w:tc>
      </w:tr>
      <w:tr>
        <w:trPr>
          <w:trHeight w:val="206"/>
        </w:trPr>
        <w:tc>
          <w:tcPr>
            <w:tcW w:w="2660" w:type="dxa"/>
            <w:vAlign w:val="bottom"/>
            <w:gridSpan w:val="16"/>
            <w:shd w:val="clear" w:color="auto" w:fill="CCEEFF"/>
          </w:tcPr>
          <w:p>
            <w:pPr>
              <w:ind w:left="20"/>
              <w:spacing w:after="0" w:line="205" w:lineRule="exact"/>
              <w:rPr>
                <w:sz w:val="20"/>
                <w:szCs w:val="20"/>
                <w:color w:val="auto"/>
              </w:rPr>
            </w:pPr>
            <w:r>
              <w:rPr>
                <w:rFonts w:ascii="Times New Roman" w:cs="Times New Roman" w:eastAsia="Times New Roman" w:hAnsi="Times New Roman"/>
                <w:sz w:val="14"/>
                <w:szCs w:val="14"/>
                <w:b w:val="1"/>
                <w:bCs w:val="1"/>
                <w:color w:val="auto"/>
              </w:rPr>
              <w:t>EdSurge, Inc.</w:t>
            </w:r>
            <w:r>
              <w:rPr>
                <w:rFonts w:ascii="Times New Roman" w:cs="Times New Roman" w:eastAsia="Times New Roman" w:hAnsi="Times New Roman"/>
                <w:sz w:val="23"/>
                <w:szCs w:val="23"/>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6"/>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60" w:type="dxa"/>
            <w:vAlign w:val="bottom"/>
          </w:tcPr>
          <w:p>
            <w:pPr>
              <w:spacing w:after="0"/>
              <w:rPr>
                <w:sz w:val="16"/>
                <w:szCs w:val="16"/>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Burlingame,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Education Media Platform</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494,365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500,801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505,328</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0.18%</w:t>
            </w:r>
          </w:p>
        </w:tc>
        <w:tc>
          <w:tcPr>
            <w:tcW w:w="0" w:type="dxa"/>
            <w:vAlign w:val="bottom"/>
          </w:tcPr>
          <w:p>
            <w:pPr>
              <w:spacing w:after="0"/>
              <w:rPr>
                <w:sz w:val="1"/>
                <w:szCs w:val="1"/>
                <w:color w:val="auto"/>
              </w:rPr>
            </w:pPr>
          </w:p>
        </w:tc>
      </w:tr>
      <w:tr>
        <w:trPr>
          <w:trHeight w:val="206"/>
        </w:trPr>
        <w:tc>
          <w:tcPr>
            <w:tcW w:w="2660" w:type="dxa"/>
            <w:vAlign w:val="bottom"/>
            <w:gridSpan w:val="16"/>
            <w:shd w:val="clear" w:color="auto" w:fill="CCEEFF"/>
          </w:tcPr>
          <w:p>
            <w:pPr>
              <w:ind w:left="20"/>
              <w:spacing w:after="0" w:line="205" w:lineRule="exact"/>
              <w:rPr>
                <w:sz w:val="20"/>
                <w:szCs w:val="20"/>
                <w:color w:val="auto"/>
              </w:rPr>
            </w:pPr>
            <w:r>
              <w:rPr>
                <w:rFonts w:ascii="Times New Roman" w:cs="Times New Roman" w:eastAsia="Times New Roman" w:hAnsi="Times New Roman"/>
                <w:sz w:val="14"/>
                <w:szCs w:val="14"/>
                <w:b w:val="1"/>
                <w:bCs w:val="1"/>
                <w:color w:val="auto"/>
              </w:rPr>
              <w:t>Cricket Media (f/k/a ePals Inc.)**</w:t>
            </w:r>
            <w:r>
              <w:rPr>
                <w:rFonts w:ascii="Times New Roman" w:cs="Times New Roman" w:eastAsia="Times New Roman" w:hAnsi="Times New Roman"/>
                <w:sz w:val="23"/>
                <w:szCs w:val="23"/>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(8)</w:t>
            </w: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60" w:type="dxa"/>
            <w:vAlign w:val="bottom"/>
            <w:gridSpan w:val="16"/>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tcPr>
          <w:p>
            <w:pPr>
              <w:spacing w:after="0"/>
              <w:rPr>
                <w:sz w:val="16"/>
                <w:szCs w:val="16"/>
                <w:color w:val="auto"/>
              </w:rPr>
            </w:pPr>
          </w:p>
        </w:tc>
        <w:tc>
          <w:tcPr>
            <w:tcW w:w="20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w w:val="98"/>
              </w:rPr>
              <w:t>Herndon, VA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Online Education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1,333,333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2,448,959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331,126</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0.12%</w:t>
            </w:r>
          </w:p>
        </w:tc>
        <w:tc>
          <w:tcPr>
            <w:tcW w:w="0" w:type="dxa"/>
            <w:vAlign w:val="bottom"/>
          </w:tcPr>
          <w:p>
            <w:pPr>
              <w:spacing w:after="0"/>
              <w:rPr>
                <w:sz w:val="1"/>
                <w:szCs w:val="1"/>
                <w:color w:val="auto"/>
              </w:rPr>
            </w:pPr>
          </w:p>
        </w:tc>
      </w:tr>
      <w:tr>
        <w:trPr>
          <w:trHeight w:val="165"/>
        </w:trPr>
        <w:tc>
          <w:tcPr>
            <w:tcW w:w="2660" w:type="dxa"/>
            <w:vAlign w:val="bottom"/>
            <w:gridSpan w:val="16"/>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Neuron Fuel,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6"/>
          </w:tcPr>
          <w:p>
            <w:pPr>
              <w:ind w:left="20"/>
              <w:spacing w:after="0"/>
              <w:rPr>
                <w:sz w:val="20"/>
                <w:szCs w:val="20"/>
                <w:color w:val="auto"/>
              </w:rPr>
            </w:pPr>
            <w:r>
              <w:rPr>
                <w:rFonts w:ascii="Times New Roman" w:cs="Times New Roman" w:eastAsia="Times New Roman" w:hAnsi="Times New Roman"/>
                <w:sz w:val="16"/>
                <w:szCs w:val="16"/>
                <w:color w:val="auto"/>
              </w:rPr>
              <w:t>Preferred shares, Series AAI</w:t>
            </w:r>
          </w:p>
        </w:tc>
        <w:tc>
          <w:tcPr>
            <w:tcW w:w="60" w:type="dxa"/>
            <w:vAlign w:val="bottom"/>
          </w:tcPr>
          <w:p>
            <w:pPr>
              <w:spacing w:after="0"/>
              <w:rPr>
                <w:sz w:val="16"/>
                <w:szCs w:val="16"/>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San Jose,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Computer Software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262,530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246,160</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165"/>
        </w:trPr>
        <w:tc>
          <w:tcPr>
            <w:tcW w:w="2660" w:type="dxa"/>
            <w:vAlign w:val="bottom"/>
            <w:gridSpan w:val="16"/>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New Zoom,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6"/>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60" w:type="dxa"/>
            <w:vAlign w:val="bottom"/>
          </w:tcPr>
          <w:p>
            <w:pPr>
              <w:spacing w:after="0"/>
              <w:rPr>
                <w:sz w:val="16"/>
                <w:szCs w:val="16"/>
                <w:color w:val="auto"/>
              </w:rPr>
            </w:pPr>
          </w:p>
        </w:tc>
        <w:tc>
          <w:tcPr>
            <w:tcW w:w="20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San Francisco,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w w:val="99"/>
              </w:rPr>
              <w:t>Retail Machines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260,476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230,469</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165"/>
        </w:trPr>
        <w:tc>
          <w:tcPr>
            <w:tcW w:w="2660" w:type="dxa"/>
            <w:vAlign w:val="bottom"/>
            <w:gridSpan w:val="16"/>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4C Insights (f.k.a The Echo Systems</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2480" w:type="dxa"/>
            <w:vAlign w:val="bottom"/>
            <w:tcBorders>
              <w:top w:val="single" w:sz="8" w:color="auto"/>
            </w:tcBorders>
            <w:gridSpan w:val="14"/>
            <w:shd w:val="clear" w:color="auto" w:fill="CCEEFF"/>
          </w:tcPr>
          <w:p>
            <w:pPr>
              <w:ind w:left="180"/>
              <w:spacing w:after="0" w:line="183" w:lineRule="exact"/>
              <w:rPr>
                <w:sz w:val="20"/>
                <w:szCs w:val="20"/>
                <w:color w:val="auto"/>
              </w:rPr>
            </w:pPr>
            <w:r>
              <w:rPr>
                <w:rFonts w:ascii="Times New Roman" w:cs="Times New Roman" w:eastAsia="Times New Roman" w:hAnsi="Times New Roman"/>
                <w:sz w:val="16"/>
                <w:szCs w:val="16"/>
                <w:b w:val="1"/>
                <w:bCs w:val="1"/>
                <w:color w:val="auto"/>
              </w:rPr>
              <w:t>Corp.)</w:t>
            </w: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6"/>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60" w:type="dxa"/>
            <w:vAlign w:val="bottom"/>
          </w:tcPr>
          <w:p>
            <w:pPr>
              <w:spacing w:after="0"/>
              <w:rPr>
                <w:sz w:val="16"/>
                <w:szCs w:val="16"/>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w w:val="99"/>
              </w:rPr>
              <w:t>Chicago, IL</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Social Data Platform</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512,365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1,436,404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219,292</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206"/>
        </w:trPr>
        <w:tc>
          <w:tcPr>
            <w:tcW w:w="2660" w:type="dxa"/>
            <w:vAlign w:val="bottom"/>
            <w:gridSpan w:val="16"/>
            <w:shd w:val="clear" w:color="auto" w:fill="CCEEFF"/>
          </w:tcPr>
          <w:p>
            <w:pPr>
              <w:ind w:left="20"/>
              <w:spacing w:after="0" w:line="205" w:lineRule="exact"/>
              <w:rPr>
                <w:sz w:val="20"/>
                <w:szCs w:val="20"/>
                <w:color w:val="auto"/>
              </w:rPr>
            </w:pPr>
            <w:r>
              <w:rPr>
                <w:rFonts w:ascii="Times New Roman" w:cs="Times New Roman" w:eastAsia="Times New Roman" w:hAnsi="Times New Roman"/>
                <w:sz w:val="14"/>
                <w:szCs w:val="14"/>
                <w:b w:val="1"/>
                <w:bCs w:val="1"/>
                <w:color w:val="auto"/>
              </w:rPr>
              <w:t>Totus Solutions, Inc.</w:t>
            </w:r>
            <w:r>
              <w:rPr>
                <w:rFonts w:ascii="Times New Roman" w:cs="Times New Roman" w:eastAsia="Times New Roman" w:hAnsi="Times New Roman"/>
                <w:sz w:val="23"/>
                <w:szCs w:val="23"/>
                <w:b w:val="1"/>
                <w:bCs w:val="1"/>
                <w:color w:val="auto"/>
                <w:vertAlign w:val="superscript"/>
              </w:rPr>
              <w:t>(1)(10)</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6"/>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60" w:type="dxa"/>
            <w:vAlign w:val="bottom"/>
          </w:tcPr>
          <w:p>
            <w:pPr>
              <w:spacing w:after="0"/>
              <w:rPr>
                <w:sz w:val="16"/>
                <w:szCs w:val="16"/>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Carrollton, TX</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LED Lighting</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1,111,111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128,902</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192"/>
        </w:trPr>
        <w:tc>
          <w:tcPr>
            <w:tcW w:w="266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Convertible Promissory Note 6%,</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640" w:type="dxa"/>
            <w:vAlign w:val="bottom"/>
            <w:gridSpan w:val="15"/>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Expiration Date, 4/01/2016***</w:t>
            </w:r>
          </w:p>
        </w:tc>
        <w:tc>
          <w:tcPr>
            <w:tcW w:w="21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76,110</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78,425</w:t>
            </w:r>
          </w:p>
        </w:tc>
        <w:tc>
          <w:tcPr>
            <w:tcW w:w="68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03"/>
        </w:trPr>
        <w:tc>
          <w:tcPr>
            <w:tcW w:w="2660" w:type="dxa"/>
            <w:vAlign w:val="bottom"/>
            <w:gridSpan w:val="16"/>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869,265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2,184,422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203"/>
        </w:trPr>
        <w:tc>
          <w:tcPr>
            <w:tcW w:w="266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1,130,735</w:t>
            </w: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2,840,591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5"/>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6,101,443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207,327</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196"/>
        </w:trPr>
        <w:tc>
          <w:tcPr>
            <w:tcW w:w="2660" w:type="dxa"/>
            <w:vAlign w:val="bottom"/>
            <w:gridSpan w:val="16"/>
            <w:shd w:val="clear" w:color="auto" w:fill="CCEEFF"/>
          </w:tcPr>
          <w:p>
            <w:pPr>
              <w:ind w:left="20"/>
              <w:spacing w:after="0" w:line="197" w:lineRule="exact"/>
              <w:rPr>
                <w:sz w:val="20"/>
                <w:szCs w:val="20"/>
                <w:color w:val="auto"/>
              </w:rPr>
            </w:pPr>
            <w:r>
              <w:rPr>
                <w:rFonts w:ascii="Times New Roman" w:cs="Times New Roman" w:eastAsia="Times New Roman" w:hAnsi="Times New Roman"/>
                <w:sz w:val="14"/>
                <w:szCs w:val="14"/>
                <w:b w:val="1"/>
                <w:bCs w:val="1"/>
                <w:color w:val="auto"/>
              </w:rPr>
              <w:t>The rSmart Group, Inc.</w:t>
            </w:r>
            <w:r>
              <w:rPr>
                <w:rFonts w:ascii="Times New Roman" w:cs="Times New Roman" w:eastAsia="Times New Roman" w:hAnsi="Times New Roman"/>
                <w:sz w:val="22"/>
                <w:szCs w:val="22"/>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6"/>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60" w:type="dxa"/>
            <w:vAlign w:val="bottom"/>
          </w:tcPr>
          <w:p>
            <w:pPr>
              <w:spacing w:after="0"/>
              <w:rPr>
                <w:sz w:val="16"/>
                <w:szCs w:val="16"/>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Scottsdale, AZ</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Higher Education</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Learning Platform</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1,201,923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1,267,240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192,586</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0.07%</w:t>
            </w:r>
          </w:p>
        </w:tc>
        <w:tc>
          <w:tcPr>
            <w:tcW w:w="0" w:type="dxa"/>
            <w:vAlign w:val="bottom"/>
          </w:tcPr>
          <w:p>
            <w:pPr>
              <w:spacing w:after="0"/>
              <w:rPr>
                <w:sz w:val="1"/>
                <w:szCs w:val="1"/>
                <w:color w:val="auto"/>
              </w:rPr>
            </w:pPr>
          </w:p>
        </w:tc>
      </w:tr>
      <w:tr>
        <w:trPr>
          <w:trHeight w:val="165"/>
        </w:trPr>
        <w:tc>
          <w:tcPr>
            <w:tcW w:w="2660" w:type="dxa"/>
            <w:vAlign w:val="bottom"/>
            <w:gridSpan w:val="16"/>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Odesk Corporation</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16"/>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tcPr>
          <w:p>
            <w:pPr>
              <w:spacing w:after="0"/>
              <w:rPr>
                <w:sz w:val="16"/>
                <w:szCs w:val="16"/>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Redwood City,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Online Workplace</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w w:val="99"/>
              </w:rPr>
              <w:t>Platform</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183,269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156,196</w:t>
            </w:r>
          </w:p>
        </w:tc>
        <w:tc>
          <w:tcPr>
            <w:tcW w:w="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-5681345</wp:posOffset>
            </wp:positionV>
            <wp:extent cx="5213985"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-1196340</wp:posOffset>
            </wp:positionV>
            <wp:extent cx="5213985"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i w:val="1"/>
          <w:iCs w:val="1"/>
          <w:color w:val="auto"/>
        </w:rPr>
        <w:t>See notes to the Condensed Consolidated Financial Statements</w:t>
      </w:r>
    </w:p>
    <w:p>
      <w:pPr>
        <w:spacing w:after="0" w:line="200" w:lineRule="exact"/>
        <w:rPr>
          <w:sz w:val="20"/>
          <w:szCs w:val="20"/>
          <w:color w:val="auto"/>
        </w:rPr>
      </w:pPr>
    </w:p>
    <w:p>
      <w:pPr>
        <w:spacing w:after="0" w:line="36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18" w:name="page19"/>
    <w:bookmarkEnd w:id="18"/>
    <w:p>
      <w:pPr>
        <w:ind w:left="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 (Continued)</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17144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7"/>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40" w:type="dxa"/>
            <w:vAlign w:val="bottom"/>
          </w:tcPr>
          <w:p>
            <w:pPr>
              <w:spacing w:after="0"/>
              <w:rPr>
                <w:sz w:val="13"/>
                <w:szCs w:val="13"/>
                <w:color w:val="auto"/>
              </w:rPr>
            </w:pPr>
          </w:p>
        </w:tc>
        <w:tc>
          <w:tcPr>
            <w:tcW w:w="19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Headquarters/Industry</w:t>
            </w:r>
          </w:p>
        </w:tc>
        <w:tc>
          <w:tcPr>
            <w:tcW w:w="90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80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73"/>
        </w:trPr>
        <w:tc>
          <w:tcPr>
            <w:tcW w:w="2660" w:type="dxa"/>
            <w:vAlign w:val="bottom"/>
            <w:gridSpan w:val="7"/>
            <w:vMerge w:val="continue"/>
          </w:tcPr>
          <w:p>
            <w:pPr>
              <w:spacing w:after="0"/>
              <w:rPr>
                <w:sz w:val="15"/>
                <w:szCs w:val="15"/>
                <w:color w:val="auto"/>
              </w:rPr>
            </w:pPr>
          </w:p>
        </w:tc>
        <w:tc>
          <w:tcPr>
            <w:tcW w:w="40" w:type="dxa"/>
            <w:vAlign w:val="bottom"/>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90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56"/>
        </w:trPr>
        <w:tc>
          <w:tcPr>
            <w:tcW w:w="2660" w:type="dxa"/>
            <w:vAlign w:val="bottom"/>
            <w:tcBorders>
              <w:top w:val="single" w:sz="8" w:color="auto"/>
            </w:tcBorders>
            <w:gridSpan w:val="7"/>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Earlyshares.com</w:t>
            </w:r>
          </w:p>
        </w:tc>
        <w:tc>
          <w:tcPr>
            <w:tcW w:w="40" w:type="dxa"/>
            <w:vAlign w:val="bottom"/>
            <w:shd w:val="clear" w:color="auto" w:fill="CCEEFF"/>
          </w:tcPr>
          <w:p>
            <w:pPr>
              <w:spacing w:after="0"/>
              <w:rPr>
                <w:sz w:val="13"/>
                <w:szCs w:val="13"/>
                <w:color w:val="auto"/>
              </w:rPr>
            </w:pPr>
          </w:p>
        </w:tc>
        <w:tc>
          <w:tcPr>
            <w:tcW w:w="18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40" w:type="dxa"/>
            <w:vAlign w:val="bottom"/>
          </w:tcPr>
          <w:p>
            <w:pPr>
              <w:spacing w:after="0"/>
              <w:rPr>
                <w:sz w:val="16"/>
                <w:szCs w:val="16"/>
                <w:color w:val="auto"/>
              </w:rPr>
            </w:pPr>
          </w:p>
        </w:tc>
        <w:tc>
          <w:tcPr>
            <w:tcW w:w="19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rPr>
              <w:t>Miami, FL</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rPr>
              <w:t>Equity Crowd Funding</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165,715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260,878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125,115</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06"/>
        </w:trPr>
        <w:tc>
          <w:tcPr>
            <w:tcW w:w="2660" w:type="dxa"/>
            <w:vAlign w:val="bottom"/>
            <w:gridSpan w:val="7"/>
            <w:shd w:val="clear" w:color="auto" w:fill="CCEEFF"/>
          </w:tcPr>
          <w:p>
            <w:pPr>
              <w:ind w:left="20"/>
              <w:spacing w:after="0" w:line="205" w:lineRule="exact"/>
              <w:rPr>
                <w:sz w:val="20"/>
                <w:szCs w:val="20"/>
                <w:color w:val="auto"/>
              </w:rPr>
            </w:pPr>
            <w:r>
              <w:rPr>
                <w:rFonts w:ascii="Times New Roman" w:cs="Times New Roman" w:eastAsia="Times New Roman" w:hAnsi="Times New Roman"/>
                <w:sz w:val="14"/>
                <w:szCs w:val="14"/>
                <w:b w:val="1"/>
                <w:bCs w:val="1"/>
                <w:color w:val="auto"/>
              </w:rPr>
              <w:t>Dailybreak, Inc.</w:t>
            </w:r>
            <w:r>
              <w:rPr>
                <w:rFonts w:ascii="Times New Roman" w:cs="Times New Roman" w:eastAsia="Times New Roman" w:hAnsi="Times New Roman"/>
                <w:sz w:val="23"/>
                <w:szCs w:val="23"/>
                <w:b w:val="1"/>
                <w:bCs w:val="1"/>
                <w:color w:val="auto"/>
                <w:vertAlign w:val="superscript"/>
              </w:rPr>
              <w:t>(1)</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Preferred shares, Series A-1</w:t>
            </w:r>
          </w:p>
        </w:tc>
        <w:tc>
          <w:tcPr>
            <w:tcW w:w="40" w:type="dxa"/>
            <w:vAlign w:val="bottom"/>
          </w:tcPr>
          <w:p>
            <w:pPr>
              <w:spacing w:after="0"/>
              <w:rPr>
                <w:sz w:val="16"/>
                <w:szCs w:val="16"/>
                <w:color w:val="auto"/>
              </w:rPr>
            </w:pPr>
          </w:p>
        </w:tc>
        <w:tc>
          <w:tcPr>
            <w:tcW w:w="19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Boston, MA</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rPr>
              <w:t>Social Advertising</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1,878,129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2,430,950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206"/>
        </w:trPr>
        <w:tc>
          <w:tcPr>
            <w:tcW w:w="26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A-2</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347,666</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426,254</w:t>
            </w: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lef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6"/>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2,857,204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Portfolio Investments</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301,111,689</w:t>
            </w: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370,984,317</w:t>
            </w:r>
          </w:p>
        </w:tc>
        <w:tc>
          <w:tcPr>
            <w:tcW w:w="80" w:type="dxa"/>
            <w:vAlign w:val="bottom"/>
            <w:tcBorders>
              <w:lef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129.76%</w:t>
            </w: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gridSpan w:val="7"/>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U.S. Treasury</w:t>
            </w:r>
          </w:p>
        </w:tc>
        <w:tc>
          <w:tcPr>
            <w:tcW w:w="4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Bill, 0%, due 1/2/2015</w:t>
            </w:r>
          </w:p>
        </w:tc>
        <w:tc>
          <w:tcPr>
            <w:tcW w:w="2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100,000,000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100,001,692</w:t>
            </w:r>
          </w:p>
        </w:tc>
        <w:tc>
          <w:tcPr>
            <w:tcW w:w="1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100,000,056</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34.98%</w:t>
            </w:r>
          </w:p>
        </w:tc>
        <w:tc>
          <w:tcPr>
            <w:tcW w:w="0" w:type="dxa"/>
            <w:vAlign w:val="bottom"/>
          </w:tcPr>
          <w:p>
            <w:pPr>
              <w:spacing w:after="0"/>
              <w:rPr>
                <w:sz w:val="1"/>
                <w:szCs w:val="1"/>
                <w:color w:val="auto"/>
              </w:rPr>
            </w:pPr>
          </w:p>
        </w:tc>
      </w:tr>
      <w:tr>
        <w:trPr>
          <w:trHeight w:val="203"/>
        </w:trPr>
        <w:tc>
          <w:tcPr>
            <w:tcW w:w="2660" w:type="dxa"/>
            <w:vAlign w:val="bottom"/>
            <w:gridSpan w:val="7"/>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U.S. Treasury Strips</w:t>
            </w:r>
            <w:r>
              <w:rPr>
                <w:rFonts w:ascii="Times New Roman" w:cs="Times New Roman" w:eastAsia="Times New Roman" w:hAnsi="Times New Roman"/>
                <w:sz w:val="23"/>
                <w:szCs w:val="23"/>
                <w:b w:val="1"/>
                <w:bCs w:val="1"/>
                <w:color w:val="auto"/>
                <w:vertAlign w:val="superscript"/>
              </w:rPr>
              <w:t>(11)</w:t>
            </w: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Treasury Strip Coupon,</w:t>
            </w:r>
          </w:p>
        </w:tc>
        <w:tc>
          <w:tcPr>
            <w:tcW w:w="4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64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0.00% due 08/15/2016</w:t>
            </w:r>
          </w:p>
        </w:tc>
        <w:tc>
          <w:tcPr>
            <w:tcW w:w="2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1,851,000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1,828,695</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1,834,674</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0.64%</w:t>
            </w:r>
          </w:p>
        </w:tc>
        <w:tc>
          <w:tcPr>
            <w:tcW w:w="0" w:type="dxa"/>
            <w:vAlign w:val="bottom"/>
          </w:tcPr>
          <w:p>
            <w:pPr>
              <w:spacing w:after="0"/>
              <w:rPr>
                <w:sz w:val="1"/>
                <w:szCs w:val="1"/>
                <w:color w:val="auto"/>
              </w:rPr>
            </w:pPr>
          </w:p>
        </w:tc>
      </w:tr>
      <w:tr>
        <w:trPr>
          <w:trHeight w:val="189"/>
        </w:trPr>
        <w:tc>
          <w:tcPr>
            <w:tcW w:w="26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United States Treasury Strip Coupon,</w:t>
            </w:r>
          </w:p>
        </w:tc>
        <w:tc>
          <w:tcPr>
            <w:tcW w:w="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6"/>
          </w:tcPr>
          <w:p>
            <w:pPr>
              <w:ind w:left="180"/>
              <w:spacing w:after="0"/>
              <w:rPr>
                <w:sz w:val="20"/>
                <w:szCs w:val="20"/>
                <w:color w:val="auto"/>
              </w:rPr>
            </w:pPr>
            <w:r>
              <w:rPr>
                <w:rFonts w:ascii="Times New Roman" w:cs="Times New Roman" w:eastAsia="Times New Roman" w:hAnsi="Times New Roman"/>
                <w:sz w:val="16"/>
                <w:szCs w:val="16"/>
                <w:color w:val="auto"/>
              </w:rPr>
              <w:t>0.00% due 02/15/2016</w:t>
            </w: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1,834,000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1,822,943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1,826,664</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0.64%</w:t>
            </w:r>
          </w:p>
        </w:tc>
        <w:tc>
          <w:tcPr>
            <w:tcW w:w="0" w:type="dxa"/>
            <w:vAlign w:val="bottom"/>
          </w:tcPr>
          <w:p>
            <w:pPr>
              <w:spacing w:after="0"/>
              <w:rPr>
                <w:sz w:val="1"/>
                <w:szCs w:val="1"/>
                <w:color w:val="auto"/>
              </w:rPr>
            </w:pPr>
          </w:p>
        </w:tc>
      </w:tr>
      <w:tr>
        <w:trPr>
          <w:trHeight w:val="192"/>
        </w:trPr>
        <w:tc>
          <w:tcPr>
            <w:tcW w:w="26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Treasury Strip Coupon,</w:t>
            </w:r>
          </w:p>
        </w:tc>
        <w:tc>
          <w:tcPr>
            <w:tcW w:w="4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64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0.00% due 08/15/2015</w:t>
            </w:r>
          </w:p>
        </w:tc>
        <w:tc>
          <w:tcPr>
            <w:tcW w:w="2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1,823,000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1,819,165</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1,820,904</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0.64%</w:t>
            </w:r>
          </w:p>
        </w:tc>
        <w:tc>
          <w:tcPr>
            <w:tcW w:w="0" w:type="dxa"/>
            <w:vAlign w:val="bottom"/>
          </w:tcPr>
          <w:p>
            <w:pPr>
              <w:spacing w:after="0"/>
              <w:rPr>
                <w:sz w:val="1"/>
                <w:szCs w:val="1"/>
                <w:color w:val="auto"/>
              </w:rPr>
            </w:pPr>
          </w:p>
        </w:tc>
      </w:tr>
      <w:tr>
        <w:trPr>
          <w:trHeight w:val="189"/>
        </w:trPr>
        <w:tc>
          <w:tcPr>
            <w:tcW w:w="26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United States Treasury Strip Coupon,</w:t>
            </w:r>
          </w:p>
        </w:tc>
        <w:tc>
          <w:tcPr>
            <w:tcW w:w="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6"/>
          </w:tcPr>
          <w:p>
            <w:pPr>
              <w:ind w:left="180"/>
              <w:spacing w:after="0"/>
              <w:rPr>
                <w:sz w:val="20"/>
                <w:szCs w:val="20"/>
                <w:color w:val="auto"/>
              </w:rPr>
            </w:pPr>
            <w:r>
              <w:rPr>
                <w:rFonts w:ascii="Times New Roman" w:cs="Times New Roman" w:eastAsia="Times New Roman" w:hAnsi="Times New Roman"/>
                <w:sz w:val="16"/>
                <w:szCs w:val="16"/>
                <w:color w:val="auto"/>
              </w:rPr>
              <w:t>0.00% due 02/15/2015</w:t>
            </w: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1,816,000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1,815,529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1,815,800</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4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7,286,332</w:t>
            </w: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7,298,042</w:t>
            </w:r>
          </w:p>
        </w:tc>
        <w:tc>
          <w:tcPr>
            <w:tcW w:w="80" w:type="dxa"/>
            <w:vAlign w:val="bottom"/>
            <w:tcBorders>
              <w:lef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60" w:type="dxa"/>
            <w:vAlign w:val="bottom"/>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Total Investments</w:t>
            </w: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408,399,713</w:t>
            </w: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478,282,415</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167.29%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-2211705</wp:posOffset>
            </wp:positionV>
            <wp:extent cx="5213985"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-1937385</wp:posOffset>
            </wp:positionV>
            <wp:extent cx="5213985"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-351155</wp:posOffset>
            </wp:positionV>
            <wp:extent cx="5213985"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32" w:lineRule="exact"/>
        <w:rPr>
          <w:sz w:val="20"/>
          <w:szCs w:val="20"/>
          <w:color w:val="auto"/>
        </w:rPr>
      </w:pPr>
    </w:p>
    <w:p>
      <w:pPr>
        <w:ind w:left="300" w:right="539" w:hanging="272"/>
        <w:spacing w:after="0" w:line="282" w:lineRule="auto"/>
        <w:tabs>
          <w:tab w:leader="none" w:pos="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portfolio investments are non-control/non-affiliated and non-income producing, unless identified. Equity investments are subject to lock-up restrictions upon their initial public offering.</w:t>
      </w:r>
    </w:p>
    <w:p>
      <w:pPr>
        <w:spacing w:after="0" w:line="54" w:lineRule="exact"/>
        <w:rPr>
          <w:sz w:val="20"/>
          <w:szCs w:val="20"/>
          <w:color w:val="auto"/>
        </w:rPr>
      </w:pPr>
    </w:p>
    <w:p>
      <w:pPr>
        <w:ind w:left="300" w:right="519" w:hanging="272"/>
        <w:spacing w:after="0" w:line="282" w:lineRule="auto"/>
        <w:tabs>
          <w:tab w:leader="none" w:pos="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assets that GSV Capital Corp. believes do not represent “qualifying assets” under Section 55(a) of the Investment Company Act of 1940, as amended.</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is income producing.</w:t>
      </w:r>
    </w:p>
    <w:p>
      <w:pPr>
        <w:spacing w:after="0" w:line="117" w:lineRule="exact"/>
        <w:rPr>
          <w:sz w:val="20"/>
          <w:szCs w:val="20"/>
          <w:color w:val="auto"/>
        </w:rPr>
      </w:pPr>
    </w:p>
    <w:p>
      <w:pPr>
        <w:jc w:val="both"/>
        <w:ind w:left="300" w:right="519" w:hanging="272"/>
        <w:spacing w:after="0" w:line="266" w:lineRule="auto"/>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an Affiliate Investment. “Affiliate Investments” are investments in those companies that are “Affiliated Companies” of GSV Capital Corp., as defined in the Investment Company Act of 1940. A company is deemed to be an “Affiliate” of GSV Capital Corp. if GSV Capital Corp. owns 5% or more of the voting securities of such company.</w:t>
      </w:r>
    </w:p>
    <w:p>
      <w:pPr>
        <w:spacing w:after="0" w:line="68" w:lineRule="exact"/>
        <w:rPr>
          <w:rFonts w:ascii="Times New Roman" w:cs="Times New Roman" w:eastAsia="Times New Roman" w:hAnsi="Times New Roman"/>
          <w:sz w:val="18"/>
          <w:szCs w:val="18"/>
          <w:color w:val="auto"/>
        </w:rPr>
      </w:pPr>
    </w:p>
    <w:p>
      <w:pPr>
        <w:jc w:val="both"/>
        <w:ind w:left="300" w:right="519" w:hanging="272"/>
        <w:spacing w:after="0" w:line="266" w:lineRule="auto"/>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 Control Investment. “Control Investments” are investments in those companies that are “Controlled Companies” of GSV Capital Corp., as defined in the Investment Company Act of 1940. A company is deemed to be a “Controlled Company” of GSV Capital Corp. if GSV Capital Corp. owns 25% or more of the voting securities of such company.</w:t>
      </w:r>
    </w:p>
    <w:p>
      <w:pPr>
        <w:spacing w:after="0" w:line="68" w:lineRule="exact"/>
        <w:rPr>
          <w:rFonts w:ascii="Times New Roman" w:cs="Times New Roman" w:eastAsia="Times New Roman" w:hAnsi="Times New Roman"/>
          <w:sz w:val="18"/>
          <w:szCs w:val="18"/>
          <w:color w:val="auto"/>
        </w:rPr>
      </w:pPr>
    </w:p>
    <w:p>
      <w:pPr>
        <w:ind w:left="300" w:right="539" w:hanging="272"/>
        <w:spacing w:after="0" w:line="282" w:lineRule="auto"/>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GSV Capital Corp.’s investment in Avenues Global Holdings, LLC is held through its wholly-owned subsidiary GSVC AV Holdings, Inc.</w:t>
      </w:r>
    </w:p>
    <w:p>
      <w:pPr>
        <w:spacing w:after="0" w:line="53" w:lineRule="exact"/>
        <w:rPr>
          <w:rFonts w:ascii="Times New Roman" w:cs="Times New Roman" w:eastAsia="Times New Roman" w:hAnsi="Times New Roman"/>
          <w:sz w:val="18"/>
          <w:szCs w:val="18"/>
          <w:color w:val="auto"/>
        </w:rPr>
      </w:pPr>
    </w:p>
    <w:p>
      <w:pPr>
        <w:ind w:left="300" w:right="519" w:hanging="272"/>
        <w:spacing w:after="0" w:line="282" w:lineRule="auto"/>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GSV Capital Corp.’s investment in Whittle Schools, LLC is held through its wholly-owned subsidiary GSVC WS Holdings, Inc. Whittle Schools, LLC is an investment whose economics are derived from the value of Avenues Global Holdings LLC.</w:t>
      </w:r>
    </w:p>
    <w:p>
      <w:pPr>
        <w:spacing w:after="0" w:line="53" w:lineRule="exact"/>
        <w:rPr>
          <w:rFonts w:ascii="Times New Roman" w:cs="Times New Roman" w:eastAsia="Times New Roman" w:hAnsi="Times New Roman"/>
          <w:sz w:val="18"/>
          <w:szCs w:val="18"/>
          <w:color w:val="auto"/>
        </w:rPr>
      </w:pPr>
    </w:p>
    <w:p>
      <w:pPr>
        <w:ind w:left="300" w:hanging="272"/>
        <w:spacing w:after="0"/>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GSV Capital Corp.’s investment in StormWind, LLC is held through its wholly-owned subsidiary GSVC SW Holdings, Inc.</w:t>
      </w:r>
    </w:p>
    <w:p>
      <w:pPr>
        <w:spacing w:after="0" w:line="117" w:lineRule="exact"/>
        <w:rPr>
          <w:rFonts w:ascii="Times New Roman" w:cs="Times New Roman" w:eastAsia="Times New Roman" w:hAnsi="Times New Roman"/>
          <w:sz w:val="18"/>
          <w:szCs w:val="18"/>
          <w:color w:val="auto"/>
        </w:rPr>
      </w:pPr>
    </w:p>
    <w:p>
      <w:pPr>
        <w:ind w:left="300" w:hanging="272"/>
        <w:spacing w:after="0"/>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GSV Capital Corp.’s investment in SharesPost, Inc. is held through its wholly-owned subsidiary SPNPM Holdings, LLC.</w:t>
      </w:r>
    </w:p>
    <w:p>
      <w:pPr>
        <w:spacing w:after="0" w:line="117" w:lineRule="exact"/>
        <w:rPr>
          <w:rFonts w:ascii="Times New Roman" w:cs="Times New Roman" w:eastAsia="Times New Roman" w:hAnsi="Times New Roman"/>
          <w:sz w:val="18"/>
          <w:szCs w:val="18"/>
          <w:color w:val="auto"/>
        </w:rPr>
      </w:pPr>
    </w:p>
    <w:p>
      <w:pPr>
        <w:ind w:left="300" w:right="539" w:hanging="272"/>
        <w:spacing w:after="0" w:line="282" w:lineRule="auto"/>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GSV Capital Corp.’s investment in Strategic Data Command, LLC is held through its wholly-owned subsidiary GSVC SVDS Holdings, Inc.</w:t>
      </w:r>
    </w:p>
    <w:p>
      <w:pPr>
        <w:spacing w:after="0" w:line="200" w:lineRule="exact"/>
        <w:rPr>
          <w:sz w:val="20"/>
          <w:szCs w:val="20"/>
          <w:color w:val="auto"/>
        </w:rPr>
      </w:pPr>
    </w:p>
    <w:p>
      <w:pPr>
        <w:spacing w:after="0" w:line="28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i w:val="1"/>
          <w:iCs w:val="1"/>
          <w:color w:val="auto"/>
        </w:rPr>
        <w:t>See notes to the Condensed Consolidated Financial Statements</w:t>
      </w:r>
    </w:p>
    <w:p>
      <w:pPr>
        <w:spacing w:after="0" w:line="200" w:lineRule="exact"/>
        <w:rPr>
          <w:sz w:val="20"/>
          <w:szCs w:val="20"/>
          <w:color w:val="auto"/>
        </w:rPr>
      </w:pPr>
    </w:p>
    <w:p>
      <w:pPr>
        <w:spacing w:after="0" w:line="36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19" w:name="page20"/>
    <w:bookmarkEnd w:id="1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 (Continued)</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99" w:lineRule="exact"/>
        <w:rPr>
          <w:sz w:val="20"/>
          <w:szCs w:val="20"/>
          <w:color w:val="auto"/>
        </w:rPr>
      </w:pPr>
    </w:p>
    <w:p>
      <w:pPr>
        <w:jc w:val="both"/>
        <w:ind w:left="280" w:right="519" w:hanging="272"/>
        <w:spacing w:after="0" w:line="256" w:lineRule="auto"/>
        <w:tabs>
          <w:tab w:leader="none" w:pos="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22, 2013, Cricket Media (f/k/a ePals Inc.), priced its initial public offering, selling 40,267,333 shares at a price of CAD $0.075 per share. GSV Capital Corp.’s shares in Cricket Media (f/k/a ePals Inc.), are subject to a lock-up agreement which expired on February 23, 2014. At December 31, 2014, GSV Capital Corp. valued Cricket Media (f/k/a ePals Inc.), based on its December 31, 2014 closing price less 17.5%. GSV Capital Corp.’s Chief Executive Officer, Michael Moe is a Board member of Cricket Media (f/k/a ePals Inc.), which subjects GSV Capital Corp. to insider trading restrictions under Canadian securities law. As such, the Company has applied a 17.5% discount to reflect the aforementioned trading restrictions.</w:t>
      </w:r>
    </w:p>
    <w:p>
      <w:pPr>
        <w:spacing w:after="0" w:line="79" w:lineRule="exact"/>
        <w:rPr>
          <w:rFonts w:ascii="Times New Roman" w:cs="Times New Roman" w:eastAsia="Times New Roman" w:hAnsi="Times New Roman"/>
          <w:sz w:val="18"/>
          <w:szCs w:val="18"/>
          <w:color w:val="auto"/>
        </w:rPr>
      </w:pPr>
    </w:p>
    <w:p>
      <w:pPr>
        <w:jc w:val="both"/>
        <w:ind w:left="280" w:right="519" w:hanging="272"/>
        <w:spacing w:after="0" w:line="256" w:lineRule="auto"/>
        <w:tabs>
          <w:tab w:leader="none" w:pos="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28, 2014, 2U, Inc. (f/k/a 2tor, Inc.) priced its initial public offering, selling 9,175,000 shares at a price of $13 per share. GSV Capital Corp.’s shares in 2U, Inc. (f/k/a 2tor, Inc.) are subject to a lock-up agreement which expired on September 24, 2014. At March 31, 2014, GSV Capital Corp. valued 2U, Inc. (f/k/a 2tor, Inc.), based on its December 31, 2014 closing price less 10.0%. Michael Moe is a Board member of 2U, Inc. (f/k/a 2tor, Inc.), which subjects GSV Capital Corp. to insider trading restrictions under U.S securities law. As such, the Company has applied a 10.0% discount to reflect the aforementioned trading restrictions.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(10)On November 20, 2014, Totus Solutions, Inc., conducted a 10:1 stock split.</w:t>
      </w:r>
    </w:p>
    <w:p>
      <w:pPr>
        <w:spacing w:after="0" w:line="117" w:lineRule="exact"/>
        <w:rPr>
          <w:sz w:val="20"/>
          <w:szCs w:val="20"/>
          <w:color w:val="auto"/>
        </w:rPr>
      </w:pPr>
    </w:p>
    <w:p>
      <w:pPr>
        <w:jc w:val="both"/>
        <w:ind w:left="300" w:right="519" w:hanging="296"/>
        <w:spacing w:after="0" w:line="261" w:lineRule="auto"/>
        <w:rPr>
          <w:sz w:val="20"/>
          <w:szCs w:val="20"/>
          <w:color w:val="auto"/>
        </w:rPr>
      </w:pPr>
      <w:r>
        <w:rPr>
          <w:rFonts w:ascii="Times New Roman" w:cs="Times New Roman" w:eastAsia="Times New Roman" w:hAnsi="Times New Roman"/>
          <w:sz w:val="18"/>
          <w:szCs w:val="18"/>
          <w:color w:val="auto"/>
        </w:rPr>
        <w:t>(11)Refer to Note 9 — Long Term Liabilities. In accordance with the terms of the Company’s Convertible Senior Notes payable, the Company deposited $10,867,500 in an escrow account with the Trustee. These funds were used to purchase U.S. Treasury Strips (“Government Securities”) with an original cost of $10,845,236. At March 31, 2015, the remaining government securities are shown on the Consolidated Schedule of Investments and have an amortized cost of $7,286,332.</w:t>
      </w:r>
    </w:p>
    <w:p>
      <w:pPr>
        <w:spacing w:after="0" w:line="72" w:lineRule="exact"/>
        <w:rPr>
          <w:sz w:val="20"/>
          <w:szCs w:val="20"/>
          <w:color w:val="auto"/>
        </w:rPr>
      </w:pPr>
    </w:p>
    <w:p>
      <w:pPr>
        <w:jc w:val="both"/>
        <w:ind w:left="320" w:right="539" w:hanging="312"/>
        <w:spacing w:after="0" w:line="266"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will accrue daily on the unpaid principal balance of the note. Accrued interest is not payable until the earlier of a) the closing of a subsequent equity offering by CUX, Inc., or b) the maturity of the note (November 26, 2018). Interest will compound annually beginning on November 26, 2015.</w:t>
      </w:r>
    </w:p>
    <w:p>
      <w:pPr>
        <w:spacing w:after="0" w:line="200" w:lineRule="exact"/>
        <w:rPr>
          <w:sz w:val="20"/>
          <w:szCs w:val="20"/>
          <w:color w:val="auto"/>
        </w:rPr>
      </w:pPr>
    </w:p>
    <w:p>
      <w:pPr>
        <w:spacing w:after="0" w:line="298"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i w:val="1"/>
          <w:iCs w:val="1"/>
          <w:color w:val="auto"/>
        </w:rPr>
        <w:t>See notes to the Condensed Consolidated Financial Statements</w:t>
      </w:r>
    </w:p>
    <w:p>
      <w:pPr>
        <w:spacing w:after="0" w:line="200" w:lineRule="exact"/>
        <w:rPr>
          <w:sz w:val="20"/>
          <w:szCs w:val="20"/>
          <w:color w:val="auto"/>
        </w:rPr>
      </w:pPr>
    </w:p>
    <w:p>
      <w:pPr>
        <w:spacing w:after="0" w:line="36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20" w:name="page21"/>
    <w:bookmarkEnd w:id="2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March 31, 2015 (Unaudited)</w:t>
      </w:r>
    </w:p>
    <w:p>
      <w:pPr>
        <w:spacing w:after="0" w:line="122" w:lineRule="exact"/>
        <w:rPr>
          <w:sz w:val="20"/>
          <w:szCs w:val="20"/>
          <w:color w:val="auto"/>
        </w:rPr>
      </w:pPr>
    </w:p>
    <w:p>
      <w:pPr>
        <w:ind w:left="40" w:right="2979"/>
        <w:spacing w:after="0" w:line="401" w:lineRule="auto"/>
        <w:rPr>
          <w:sz w:val="20"/>
          <w:szCs w:val="20"/>
          <w:color w:val="auto"/>
        </w:rPr>
      </w:pPr>
      <w:r>
        <w:rPr>
          <w:rFonts w:ascii="Times New Roman" w:cs="Times New Roman" w:eastAsia="Times New Roman" w:hAnsi="Times New Roman"/>
          <w:sz w:val="18"/>
          <w:szCs w:val="18"/>
          <w:b w:val="1"/>
          <w:bCs w:val="1"/>
          <w:color w:val="auto"/>
        </w:rPr>
        <w:t xml:space="preserve">NOTE 1 — NATURE OF OPERATIONS AND SIGNIFICANT ACCOUNTING POLICIES </w:t>
      </w:r>
      <w:r>
        <w:rPr>
          <w:rFonts w:ascii="Times New Roman" w:cs="Times New Roman" w:eastAsia="Times New Roman" w:hAnsi="Times New Roman"/>
          <w:sz w:val="18"/>
          <w:szCs w:val="18"/>
          <w:b w:val="1"/>
          <w:bCs w:val="1"/>
          <w:u w:val="single" w:color="auto"/>
          <w:color w:val="auto"/>
        </w:rPr>
        <w:t>Nature of Operations</w:t>
      </w:r>
    </w:p>
    <w:p>
      <w:pPr>
        <w:spacing w:after="0" w:line="1" w:lineRule="exact"/>
        <w:rPr>
          <w:sz w:val="20"/>
          <w:szCs w:val="20"/>
          <w:color w:val="auto"/>
        </w:rPr>
      </w:pPr>
    </w:p>
    <w:p>
      <w:pPr>
        <w:jc w:val="both"/>
        <w:ind w:left="40" w:right="519" w:firstLine="270"/>
        <w:spacing w:after="0" w:line="258" w:lineRule="auto"/>
        <w:rPr>
          <w:sz w:val="20"/>
          <w:szCs w:val="20"/>
          <w:color w:val="auto"/>
        </w:rPr>
      </w:pPr>
      <w:r>
        <w:rPr>
          <w:rFonts w:ascii="Times New Roman" w:cs="Times New Roman" w:eastAsia="Times New Roman" w:hAnsi="Times New Roman"/>
          <w:sz w:val="18"/>
          <w:szCs w:val="18"/>
          <w:color w:val="auto"/>
        </w:rPr>
        <w:t>GSV Capital Corp. (the “Company”, “we”, “our”, “GSV Capital”, or “GSV”) was formed in September 2010 as a Maryland corporation structured as an externally managed, non-diversified closed-end management investment company. The Company has elected to be treated as a business development company under the Investment Company Act of 1940, as amended (the “1940 Act”). The Company’s investment activities are managed by GSV Asset Management, LLC (“GSV Asset Management”), and GSV Capital Service Company provides the administrative services necessary for the Company to operate.</w:t>
      </w:r>
    </w:p>
    <w:p>
      <w:pPr>
        <w:spacing w:after="0" w:line="76" w:lineRule="exact"/>
        <w:rPr>
          <w:sz w:val="20"/>
          <w:szCs w:val="20"/>
          <w:color w:val="auto"/>
        </w:rPr>
      </w:pPr>
    </w:p>
    <w:p>
      <w:pPr>
        <w:jc w:val="both"/>
        <w:ind w:left="40" w:right="519" w:firstLine="270"/>
        <w:spacing w:after="0" w:line="266" w:lineRule="auto"/>
        <w:rPr>
          <w:sz w:val="20"/>
          <w:szCs w:val="20"/>
          <w:color w:val="auto"/>
        </w:rPr>
      </w:pPr>
      <w:r>
        <w:rPr>
          <w:rFonts w:ascii="Times New Roman" w:cs="Times New Roman" w:eastAsia="Times New Roman" w:hAnsi="Times New Roman"/>
          <w:sz w:val="18"/>
          <w:szCs w:val="18"/>
          <w:color w:val="auto"/>
        </w:rPr>
        <w:t>The Company’s date of inception is January 6, 2011, which is the date it commenced its development stage activities. The Company’s shares are currently listed on the NASDAQ Capital Market under the symbol “GSVC”. The Company began its investment operations during the second quarter of 2011.</w:t>
      </w:r>
    </w:p>
    <w:p>
      <w:pPr>
        <w:spacing w:after="0" w:line="68" w:lineRule="exact"/>
        <w:rPr>
          <w:sz w:val="20"/>
          <w:szCs w:val="20"/>
          <w:color w:val="auto"/>
        </w:rPr>
      </w:pPr>
    </w:p>
    <w:p>
      <w:pPr>
        <w:jc w:val="both"/>
        <w:ind w:left="40" w:right="519" w:firstLine="270"/>
        <w:spacing w:after="0" w:line="282" w:lineRule="auto"/>
        <w:rPr>
          <w:sz w:val="20"/>
          <w:szCs w:val="20"/>
          <w:color w:val="auto"/>
        </w:rPr>
      </w:pPr>
      <w:r>
        <w:rPr>
          <w:rFonts w:ascii="Times New Roman" w:cs="Times New Roman" w:eastAsia="Times New Roman" w:hAnsi="Times New Roman"/>
          <w:sz w:val="18"/>
          <w:szCs w:val="18"/>
          <w:color w:val="auto"/>
        </w:rPr>
        <w:t>On April 13, 2012, the Company formed a wholly-owned subsidiary, GSV Capital Lending, LLC (“GCL”), a Delaware limited liability company, which was formed to originate portfolio loan investments within the state of California.</w:t>
      </w:r>
    </w:p>
    <w:p>
      <w:pPr>
        <w:spacing w:after="0" w:line="54" w:lineRule="exact"/>
        <w:rPr>
          <w:sz w:val="20"/>
          <w:szCs w:val="20"/>
          <w:color w:val="auto"/>
        </w:rPr>
      </w:pPr>
    </w:p>
    <w:p>
      <w:pPr>
        <w:jc w:val="both"/>
        <w:ind w:left="40" w:right="519" w:firstLine="270"/>
        <w:spacing w:after="0" w:line="258" w:lineRule="auto"/>
        <w:rPr>
          <w:sz w:val="20"/>
          <w:szCs w:val="20"/>
          <w:color w:val="auto"/>
        </w:rPr>
      </w:pPr>
      <w:r>
        <w:rPr>
          <w:rFonts w:ascii="Times New Roman" w:cs="Times New Roman" w:eastAsia="Times New Roman" w:hAnsi="Times New Roman"/>
          <w:sz w:val="18"/>
          <w:szCs w:val="18"/>
          <w:color w:val="auto"/>
        </w:rPr>
        <w:t>On November 28, 2012, the Company formed the following wholly-owned subsidiaries: GSVC AE Holdings, Inc. (“GAE”), GSVC AV Holdings, Inc. (“GAV”), GSVC NG Holdings, Inc. (“GNG”), GSVC SW Holdings, Inc. (“GSW”) and GSVC WS Holdings, Inc. (“GWS”). On July 12, 2013, the Company formed a wholly-owned subsidiary, SPNPM Holdings LLC (“SPNPM”). On August 13, 2013, the Company formed a wholly-owned subsidiary, GSVC SVDS Holdings, Inc. (“SVDS”). Collectively, these entities are known as the “GSVC Holdings”, all Delaware corporations, formed to hold portfolio investments.</w:t>
      </w:r>
    </w:p>
    <w:p>
      <w:pPr>
        <w:spacing w:after="0" w:line="76" w:lineRule="exact"/>
        <w:rPr>
          <w:sz w:val="20"/>
          <w:szCs w:val="20"/>
          <w:color w:val="auto"/>
        </w:rPr>
      </w:pPr>
    </w:p>
    <w:p>
      <w:pPr>
        <w:jc w:val="both"/>
        <w:ind w:left="40" w:right="519" w:firstLine="270"/>
        <w:spacing w:after="0" w:line="256" w:lineRule="auto"/>
        <w:rPr>
          <w:sz w:val="20"/>
          <w:szCs w:val="20"/>
          <w:color w:val="auto"/>
        </w:rPr>
      </w:pPr>
      <w:r>
        <w:rPr>
          <w:rFonts w:ascii="Times New Roman" w:cs="Times New Roman" w:eastAsia="Times New Roman" w:hAnsi="Times New Roman"/>
          <w:sz w:val="18"/>
          <w:szCs w:val="18"/>
          <w:color w:val="auto"/>
        </w:rPr>
        <w:t>The Company’s investment objective is to maximize its portfolio’s total return, principally by seeking capital gains on its equity and equity-related investments. The Company invests principally in the equity securities of what it believes to be rapidly growing venture capital-backed emerging companies. The Company acquires its investments through direct investments with prospective portfolio companies, secondary marketplaces for private companies and negotiations with selling stockholders. The Company may also invest on an opportunistic basis in select publicly traded equity securities or certain non-U.S. companies that otherwise meet its investment criteria.</w:t>
      </w:r>
    </w:p>
    <w:p>
      <w:pPr>
        <w:spacing w:after="0" w:line="1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Significant Accounting Policies</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Times New Roman" w:cs="Times New Roman" w:eastAsia="Times New Roman" w:hAnsi="Times New Roman"/>
          <w:sz w:val="18"/>
          <w:szCs w:val="18"/>
          <w:color w:val="auto"/>
        </w:rPr>
        <w:t>The interim condensed consolidated financial statements of the Company are prepared on the accrual basis of accounting in conformity with U.S. generally accepted accounting principles (“GAAP”) and pursuant to the requirements for reporting on Form 10-Q and Regulation S-X. In the opinion of management, all adjustments, all of which were of a normal recurring nature, considered necessary for the fair presentation of financial statements for the interim period have been included. The results of operations for the current period are not necessarily indicative of results that ultimately may be achieved for any other interim period or for the year ending December 31, 2015. The interim unaudited condensed consolidated financial statements and notes hereto should be read in conjunction with the audited financial statements and notes thereto contained in the Company’s Annual Report on Form 10-K for the year ended December 31, 2014.</w:t>
      </w:r>
    </w:p>
    <w:p>
      <w:pPr>
        <w:spacing w:after="0" w:line="1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21" w:lineRule="exact"/>
        <w:rPr>
          <w:sz w:val="20"/>
          <w:szCs w:val="20"/>
          <w:color w:val="auto"/>
        </w:rPr>
      </w:pPr>
    </w:p>
    <w:p>
      <w:pPr>
        <w:jc w:val="both"/>
        <w:ind w:left="40" w:right="519" w:firstLine="270"/>
        <w:spacing w:after="0" w:line="256" w:lineRule="auto"/>
        <w:rPr>
          <w:sz w:val="20"/>
          <w:szCs w:val="20"/>
          <w:color w:val="auto"/>
        </w:rPr>
      </w:pPr>
      <w:r>
        <w:rPr>
          <w:rFonts w:ascii="Times New Roman" w:cs="Times New Roman" w:eastAsia="Times New Roman" w:hAnsi="Times New Roman"/>
          <w:sz w:val="18"/>
          <w:szCs w:val="18"/>
          <w:color w:val="auto"/>
        </w:rPr>
        <w:t>Under Article 6 of Regulation S-X and the American Institute of Certified Public Accountants’ Audit and Accounting Guide for Investment Companies, the Company is precluded from consolidating any entity other than another investment company, a controlled operating company which provides substantially all of its services and benefits to us and certain entities established for tax purposes where we hold a 100% interest. Accordingly, the Company’s condensed consolidated financial statements include its accounts and the accounts of the GSVC Holdings and GCL, its wholly-owned subsidiaries. All intercompany balances and transactions have been eliminated in consolidation.</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21" w:name="page22"/>
    <w:bookmarkEnd w:id="2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March 31, 2015 (Unaudited)</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40" w:right="519" w:firstLine="270"/>
        <w:spacing w:after="0" w:line="261" w:lineRule="auto"/>
        <w:rPr>
          <w:sz w:val="20"/>
          <w:szCs w:val="20"/>
          <w:color w:val="auto"/>
        </w:rPr>
      </w:pPr>
      <w:r>
        <w:rPr>
          <w:rFonts w:ascii="Times New Roman" w:cs="Times New Roman" w:eastAsia="Times New Roman" w:hAnsi="Times New Roman"/>
          <w:sz w:val="18"/>
          <w:szCs w:val="18"/>
          <w:color w:val="auto"/>
        </w:rPr>
        <w:t>At March 31, 2015, the Company was the majority owner of GSV Sustainability Partners (“GSV SP”). The Company believes that not consolidating the financial statements of GSV SP, results in a more meaningful presentation of the Company’s financial position and results of operations. Further, accounting for GSV SP using the fair value approach is consistent with how the Company accounts for its other investments in portfolio companies.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40" w:right="519" w:firstLine="270"/>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requires the Company to make a number of significant estimates. These include estimates of fair value of certain assets and liabilities and other estimates that affect the reported amounts of certain assets and liabilities as of the date of the condensed consolidated financial statements and the reported amounts of certain revenues and expenses during the reported period. It is likely that changes in these estimates will occur in the near term. The Company’s estimates are inherently subjective in nature and actual results could differ materially from such estimates.</w:t>
      </w:r>
    </w:p>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Times New Roman" w:cs="Times New Roman" w:eastAsia="Times New Roman" w:hAnsi="Times New Roman"/>
          <w:sz w:val="18"/>
          <w:szCs w:val="18"/>
          <w:color w:val="auto"/>
        </w:rPr>
        <w:t>The Company applies fair value accounting in accordance with GAAP. The Company generally values its assets on a quarterly basis, or more frequently if required under the 1940 Act. Securities for which market quotations are readily available on an exchange are valued at the closing price of such security on the valuation date; however, if they are subject to restrictions upon sale (such as to lock-up restrictions), they are discounted accordingly. The Company may also obtain quotes with respect to certain of its investments from pricing services or brokers or dealers in order to value assets. When doing so, the Company determines whether the quote obtained is sufficient according to GAAP to determine the fair value of the security. If determined adequate, the Company uses the quote obtained.</w:t>
      </w:r>
    </w:p>
    <w:p>
      <w:pPr>
        <w:spacing w:after="0" w:line="81" w:lineRule="exact"/>
        <w:rPr>
          <w:sz w:val="20"/>
          <w:szCs w:val="20"/>
          <w:color w:val="auto"/>
        </w:rPr>
      </w:pPr>
    </w:p>
    <w:p>
      <w:pPr>
        <w:jc w:val="both"/>
        <w:ind w:left="40" w:right="519" w:firstLine="270"/>
        <w:spacing w:after="0" w:line="266" w:lineRule="auto"/>
        <w:rPr>
          <w:sz w:val="20"/>
          <w:szCs w:val="20"/>
          <w:color w:val="auto"/>
        </w:rPr>
      </w:pPr>
      <w:r>
        <w:rPr>
          <w:rFonts w:ascii="Times New Roman" w:cs="Times New Roman" w:eastAsia="Times New Roman" w:hAnsi="Times New Roman"/>
          <w:sz w:val="18"/>
          <w:szCs w:val="18"/>
          <w:color w:val="auto"/>
        </w:rPr>
        <w:t>Securities for which reliable market quotations are not readily available or for which the pricing source does not provide a valuation or methodology or provides a valuation or methodology that, in the judgment of GSV Asset Management, the Board or the Valuation Committee of the Board (the “Valuation Committee”), does not represent fair value, shall each be valued as follows:</w:t>
      </w:r>
    </w:p>
    <w:p>
      <w:pPr>
        <w:spacing w:after="0" w:line="68" w:lineRule="exact"/>
        <w:rPr>
          <w:sz w:val="20"/>
          <w:szCs w:val="20"/>
          <w:color w:val="auto"/>
        </w:rPr>
      </w:pPr>
    </w:p>
    <w:p>
      <w:pPr>
        <w:ind w:left="540" w:right="539" w:hanging="262"/>
        <w:spacing w:after="0" w:line="282"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valuation process begins with each portfolio company or investment being initially valued by the investment professionals responsible for the portfolio investment;</w:t>
      </w:r>
    </w:p>
    <w:p>
      <w:pPr>
        <w:spacing w:after="0" w:line="53"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GSV Asset Management senior management;</w:t>
      </w:r>
    </w:p>
    <w:p>
      <w:pPr>
        <w:spacing w:after="0" w:line="117" w:lineRule="exact"/>
        <w:rPr>
          <w:rFonts w:ascii="Times New Roman" w:cs="Times New Roman" w:eastAsia="Times New Roman" w:hAnsi="Times New Roman"/>
          <w:sz w:val="18"/>
          <w:szCs w:val="18"/>
          <w:color w:val="auto"/>
        </w:rPr>
      </w:pPr>
    </w:p>
    <w:p>
      <w:pPr>
        <w:jc w:val="both"/>
        <w:ind w:left="540" w:right="539" w:hanging="262"/>
        <w:spacing w:after="0" w:line="266"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independent third-party valuation firm is engaged by, or on behalf of, the Valuation Committee to conduct independent appraisals and review management’s preliminary valuations and make their own independent assessment, for all material investments;</w:t>
      </w:r>
    </w:p>
    <w:p>
      <w:pPr>
        <w:spacing w:after="0" w:line="68" w:lineRule="exact"/>
        <w:rPr>
          <w:rFonts w:ascii="Times New Roman" w:cs="Times New Roman" w:eastAsia="Times New Roman" w:hAnsi="Times New Roman"/>
          <w:sz w:val="18"/>
          <w:szCs w:val="18"/>
          <w:color w:val="auto"/>
        </w:rPr>
      </w:pPr>
    </w:p>
    <w:p>
      <w:pPr>
        <w:ind w:left="540" w:right="539" w:hanging="262"/>
        <w:spacing w:after="0" w:line="282"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Committee discusses valuations and recommends the fair value of each investment in the portfolio in good faith based on the input of GSV Asset Management and the independent third-party valuation firm; and,</w:t>
      </w:r>
    </w:p>
    <w:p>
      <w:pPr>
        <w:spacing w:after="0" w:line="53" w:lineRule="exact"/>
        <w:rPr>
          <w:rFonts w:ascii="Times New Roman" w:cs="Times New Roman" w:eastAsia="Times New Roman" w:hAnsi="Times New Roman"/>
          <w:sz w:val="18"/>
          <w:szCs w:val="18"/>
          <w:color w:val="auto"/>
        </w:rPr>
      </w:pPr>
    </w:p>
    <w:p>
      <w:pPr>
        <w:jc w:val="both"/>
        <w:ind w:left="540" w:right="519" w:hanging="262"/>
        <w:spacing w:after="0" w:line="266"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then discusses the valuations and determines in good faith the fair value of each investment in the portfolio based upon input of GSV Asset Management, estimates from the independent valuation firm and the recommendations of the Valuation Committee.</w:t>
      </w:r>
    </w:p>
    <w:p>
      <w:pPr>
        <w:spacing w:after="0" w:line="68" w:lineRule="exact"/>
        <w:rPr>
          <w:sz w:val="20"/>
          <w:szCs w:val="20"/>
          <w:color w:val="auto"/>
        </w:rPr>
      </w:pPr>
    </w:p>
    <w:p>
      <w:pPr>
        <w:jc w:val="both"/>
        <w:ind w:left="40" w:right="519" w:firstLine="270"/>
        <w:spacing w:after="0" w:line="258" w:lineRule="auto"/>
        <w:rPr>
          <w:sz w:val="20"/>
          <w:szCs w:val="20"/>
          <w:color w:val="auto"/>
        </w:rPr>
      </w:pPr>
      <w:r>
        <w:rPr>
          <w:rFonts w:ascii="Times New Roman" w:cs="Times New Roman" w:eastAsia="Times New Roman" w:hAnsi="Times New Roman"/>
          <w:sz w:val="18"/>
          <w:szCs w:val="18"/>
          <w:color w:val="auto"/>
        </w:rPr>
        <w:t>In making a good faith determination of the fair value of investments, the Company considers valuation methodologies consistent with industry practice. Valuation methods, among other measures and as applicable, may include comparisons to prices from secondary market transactions and recent venture capital financings, analysis of financial ratios and valuation metrics of the portfolio companies that issued such private equity securities to peer companies that are public, analysis of the portfolio companies’ most recent financial</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22" w:name="page23"/>
    <w:bookmarkEnd w:id="2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March 31, 2015 (Unaudited)</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40" w:right="539"/>
        <w:spacing w:after="0" w:line="282" w:lineRule="auto"/>
        <w:rPr>
          <w:sz w:val="20"/>
          <w:szCs w:val="20"/>
          <w:color w:val="auto"/>
        </w:rPr>
      </w:pPr>
      <w:r>
        <w:rPr>
          <w:rFonts w:ascii="Times New Roman" w:cs="Times New Roman" w:eastAsia="Times New Roman" w:hAnsi="Times New Roman"/>
          <w:sz w:val="18"/>
          <w:szCs w:val="18"/>
          <w:color w:val="auto"/>
        </w:rPr>
        <w:t>statements and forecasts, and the markets in which the portfolio company does business, and other relevant factors. The Company assigns a weighting based upon the relevance of each factor to determine the fair value of each investment.</w:t>
      </w:r>
    </w:p>
    <w:p>
      <w:pPr>
        <w:spacing w:after="0" w:line="54" w:lineRule="exact"/>
        <w:rPr>
          <w:sz w:val="20"/>
          <w:szCs w:val="20"/>
          <w:color w:val="auto"/>
        </w:rPr>
      </w:pPr>
    </w:p>
    <w:p>
      <w:pPr>
        <w:jc w:val="both"/>
        <w:ind w:left="40" w:right="519" w:firstLine="270"/>
        <w:spacing w:after="0" w:line="258" w:lineRule="auto"/>
        <w:rPr>
          <w:sz w:val="20"/>
          <w:szCs w:val="20"/>
          <w:color w:val="auto"/>
        </w:rPr>
      </w:pPr>
      <w:r>
        <w:rPr>
          <w:rFonts w:ascii="Times New Roman" w:cs="Times New Roman" w:eastAsia="Times New Roman" w:hAnsi="Times New Roman"/>
          <w:sz w:val="18"/>
          <w:szCs w:val="18"/>
          <w:color w:val="auto"/>
        </w:rPr>
        <w:t>When an external event such as a purchase transaction, public offering or subsequent equity sale occurs, the Company will consider the pricing indicated by the external event to corroborate the private equity valuation. Due to the inherent uncertainty of determining the fair value of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76" w:lineRule="exact"/>
        <w:rPr>
          <w:sz w:val="20"/>
          <w:szCs w:val="20"/>
          <w:color w:val="auto"/>
        </w:rPr>
      </w:pPr>
    </w:p>
    <w:p>
      <w:pPr>
        <w:jc w:val="both"/>
        <w:ind w:left="40" w:right="519" w:firstLine="270"/>
        <w:spacing w:after="0" w:line="25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76" w:lineRule="exact"/>
        <w:rPr>
          <w:sz w:val="20"/>
          <w:szCs w:val="20"/>
          <w:color w:val="auto"/>
        </w:rPr>
      </w:pPr>
    </w:p>
    <w:p>
      <w:pPr>
        <w:jc w:val="both"/>
        <w:ind w:left="40" w:right="519" w:firstLine="27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Financial assets and liabilities whose values are based on unadjusted quoted prices for identical assets or liabilities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active market that the Company has the ability to access (examples include active exchange-traded equity securities, exchange-traded derivatives, and most U.S. Government and agency securities).</w:t>
      </w:r>
    </w:p>
    <w:p>
      <w:pPr>
        <w:spacing w:after="0" w:line="63" w:lineRule="exact"/>
        <w:rPr>
          <w:sz w:val="20"/>
          <w:szCs w:val="20"/>
          <w:color w:val="auto"/>
        </w:rPr>
      </w:pPr>
    </w:p>
    <w:p>
      <w:pPr>
        <w:jc w:val="both"/>
        <w:ind w:left="40" w:right="519" w:firstLine="27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Financial assets and liabilities whose values are based on quoted prices in markets that are not active or model inputs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are observable either directly or indirectly for substantially the full term of the asset or liability. Level 2 inputs include the following:</w:t>
      </w:r>
    </w:p>
    <w:p>
      <w:pPr>
        <w:spacing w:after="0" w:line="67" w:lineRule="exact"/>
        <w:rPr>
          <w:sz w:val="20"/>
          <w:szCs w:val="20"/>
          <w:color w:val="auto"/>
        </w:rPr>
      </w:pPr>
    </w:p>
    <w:p>
      <w:pPr>
        <w:ind w:left="540" w:hanging="262"/>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117" w:lineRule="exact"/>
        <w:rPr>
          <w:rFonts w:ascii="Times New Roman" w:cs="Times New Roman" w:eastAsia="Times New Roman" w:hAnsi="Times New Roman"/>
          <w:sz w:val="18"/>
          <w:szCs w:val="18"/>
          <w:color w:val="auto"/>
        </w:rPr>
      </w:pPr>
    </w:p>
    <w:p>
      <w:pPr>
        <w:ind w:left="540" w:right="539" w:hanging="262"/>
        <w:spacing w:after="0" w:line="282"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non-active markets (examples include corporate and municipal bonds, which trade infrequently);</w:t>
      </w:r>
    </w:p>
    <w:p>
      <w:pPr>
        <w:spacing w:after="0" w:line="53" w:lineRule="exact"/>
        <w:rPr>
          <w:rFonts w:ascii="Times New Roman" w:cs="Times New Roman" w:eastAsia="Times New Roman" w:hAnsi="Times New Roman"/>
          <w:sz w:val="18"/>
          <w:szCs w:val="18"/>
          <w:color w:val="auto"/>
        </w:rPr>
      </w:pPr>
    </w:p>
    <w:p>
      <w:pPr>
        <w:ind w:left="540" w:right="539" w:hanging="262"/>
        <w:spacing w:after="0" w:line="282"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models whose inputs are observable for substantially the full term of the asset or liability (examples include most over-the-counter derivatives, including foreign exchange forward contracts); and,</w:t>
      </w:r>
    </w:p>
    <w:p>
      <w:pPr>
        <w:spacing w:after="0" w:line="53" w:lineRule="exact"/>
        <w:rPr>
          <w:rFonts w:ascii="Times New Roman" w:cs="Times New Roman" w:eastAsia="Times New Roman" w:hAnsi="Times New Roman"/>
          <w:sz w:val="18"/>
          <w:szCs w:val="18"/>
          <w:color w:val="auto"/>
        </w:rPr>
      </w:pPr>
    </w:p>
    <w:p>
      <w:pPr>
        <w:ind w:left="540" w:right="519" w:hanging="262"/>
        <w:spacing w:after="0" w:line="282"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models whose inputs are derived principally from or corroborated by observable market data through correlation or other means for substantially the full term of the asset or liability.</w:t>
      </w:r>
    </w:p>
    <w:p>
      <w:pPr>
        <w:spacing w:after="0" w:line="50" w:lineRule="exact"/>
        <w:rPr>
          <w:sz w:val="20"/>
          <w:szCs w:val="20"/>
          <w:color w:val="auto"/>
        </w:rPr>
      </w:pPr>
    </w:p>
    <w:p>
      <w:pPr>
        <w:jc w:val="both"/>
        <w:ind w:left="40" w:right="519" w:firstLine="27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Financial assets and liabilities whose values are based on prices or valuation techniques that require inputs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both unobservable and significant to the overall fair value measurement. These inputs reflect management’s own assumptions about the assumptions a market participant would use in pricing the asset or liability (examples include certain of the Company’s private equity investments).</w:t>
      </w:r>
    </w:p>
    <w:p>
      <w:pPr>
        <w:spacing w:after="0" w:line="73" w:lineRule="exact"/>
        <w:rPr>
          <w:sz w:val="20"/>
          <w:szCs w:val="20"/>
          <w:color w:val="auto"/>
        </w:rPr>
      </w:pPr>
    </w:p>
    <w:p>
      <w:pPr>
        <w:jc w:val="both"/>
        <w:ind w:left="40" w:right="519" w:firstLine="270"/>
        <w:spacing w:after="0" w:line="258" w:lineRule="auto"/>
        <w:rPr>
          <w:sz w:val="20"/>
          <w:szCs w:val="20"/>
          <w:color w:val="auto"/>
        </w:rPr>
      </w:pPr>
      <w:r>
        <w:rPr>
          <w:rFonts w:ascii="Times New Roman" w:cs="Times New Roman" w:eastAsia="Times New Roman" w:hAnsi="Times New Roman"/>
          <w:sz w:val="18"/>
          <w:szCs w:val="18"/>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3 may include changes in fair value that are attributable to both observable inputs (Levels 1 and 2) and unobservable inputs (Level 3).</w:t>
      </w:r>
    </w:p>
    <w:p>
      <w:pPr>
        <w:spacing w:after="0" w:line="200" w:lineRule="exact"/>
        <w:rPr>
          <w:sz w:val="20"/>
          <w:szCs w:val="20"/>
          <w:color w:val="auto"/>
        </w:rPr>
      </w:pPr>
    </w:p>
    <w:p>
      <w:pPr>
        <w:spacing w:after="0" w:line="3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23" w:name="page24"/>
    <w:bookmarkEnd w:id="2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March 31, 2015 (Unaudited)</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40" w:right="519" w:firstLine="270"/>
        <w:spacing w:after="0" w:line="261" w:lineRule="auto"/>
        <w:rPr>
          <w:sz w:val="20"/>
          <w:szCs w:val="20"/>
          <w:color w:val="auto"/>
        </w:rPr>
      </w:pPr>
      <w:r>
        <w:rPr>
          <w:rFonts w:ascii="Times New Roman" w:cs="Times New Roman" w:eastAsia="Times New Roman" w:hAnsi="Times New Roman"/>
          <w:sz w:val="18"/>
          <w:szCs w:val="18"/>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quarter in which the reclassifications occur.</w:t>
      </w:r>
    </w:p>
    <w:p>
      <w:pPr>
        <w:spacing w:after="0" w:line="72" w:lineRule="exact"/>
        <w:rPr>
          <w:sz w:val="20"/>
          <w:szCs w:val="20"/>
          <w:color w:val="auto"/>
        </w:rPr>
      </w:pPr>
    </w:p>
    <w:p>
      <w:pPr>
        <w:jc w:val="both"/>
        <w:ind w:left="40" w:right="539" w:firstLine="270"/>
        <w:spacing w:after="0" w:line="282" w:lineRule="auto"/>
        <w:rPr>
          <w:sz w:val="20"/>
          <w:szCs w:val="20"/>
          <w:color w:val="auto"/>
        </w:rPr>
      </w:pPr>
      <w:r>
        <w:rPr>
          <w:rFonts w:ascii="Times New Roman" w:cs="Times New Roman" w:eastAsia="Times New Roman" w:hAnsi="Times New Roman"/>
          <w:sz w:val="18"/>
          <w:szCs w:val="18"/>
          <w:color w:val="auto"/>
        </w:rPr>
        <w:t>An asset’s categorization within the valuation hierarchy is based upon the lowest level of input that is significant to the fair value measurement.</w:t>
      </w:r>
    </w:p>
    <w:p>
      <w:pPr>
        <w:spacing w:after="0" w:line="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Times New Roman" w:cs="Times New Roman" w:eastAsia="Times New Roman" w:hAnsi="Times New Roman"/>
          <w:sz w:val="18"/>
          <w:szCs w:val="18"/>
          <w:color w:val="auto"/>
        </w:rPr>
        <w:t>Equity investments for which market quotations are readily available in an active market are generally valued at the most recently available closing market prices and are classified as Level 1 assets. However, equity investments for which market quotations are readily available, but which are subject to lockup provisions restricting the resale of such investments for a specified period of time, are valued at a discount to the most recently available closing market prices and, accordingly, are classified as Level 2 assets. The Company prices the investment at the closing price on a public exchange as of the measurement date subject to a discount for a lack of marketability, (“DLOM”). The DLOM for each portfolio company investment is based upon the market value of publicly traded put options with similar terms as the lock-up.</w:t>
      </w:r>
    </w:p>
    <w:p>
      <w:pPr>
        <w:spacing w:after="0" w:line="81" w:lineRule="exact"/>
        <w:rPr>
          <w:sz w:val="20"/>
          <w:szCs w:val="20"/>
          <w:color w:val="auto"/>
        </w:rPr>
      </w:pPr>
    </w:p>
    <w:p>
      <w:pPr>
        <w:jc w:val="both"/>
        <w:ind w:left="40" w:right="519" w:firstLine="270"/>
        <w:spacing w:after="0" w:line="253" w:lineRule="auto"/>
        <w:rPr>
          <w:sz w:val="20"/>
          <w:szCs w:val="20"/>
          <w:color w:val="auto"/>
        </w:rPr>
      </w:pPr>
      <w:r>
        <w:rPr>
          <w:rFonts w:ascii="Times New Roman" w:cs="Times New Roman" w:eastAsia="Times New Roman" w:hAnsi="Times New Roman"/>
          <w:sz w:val="18"/>
          <w:szCs w:val="18"/>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Company may analyze the portfolio company’s most recently available historical and projected financial results, public market comparables, and other factors. The Company may also consider other events, including the transaction in which the Company acquired its securities, subsequent equity sales by the Portfolio Company, mergers or acquisitions affecting the portfolio company, or the completion of an initial public offering (“IPO”) by the portfolio company. In addition, the Company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 The fair values of the Company’s portfolio company securities are generally discounted for lack of marketability or when the securities are illiquid, such as when there are restrictions on resale or the lack of an established trading market which will generally be the case for Pre-IPO companies, as well as during any lockup period to which the Company is subject with respect to public companies in its portfolio. See Note 3 — INVESTMENTS AT FAIR VALUE.</w:t>
      </w:r>
    </w:p>
    <w:p>
      <w:pPr>
        <w:spacing w:after="0" w:line="81" w:lineRule="exact"/>
        <w:rPr>
          <w:sz w:val="20"/>
          <w:szCs w:val="20"/>
          <w:color w:val="auto"/>
        </w:rPr>
      </w:pPr>
    </w:p>
    <w:p>
      <w:pPr>
        <w:jc w:val="both"/>
        <w:ind w:left="40" w:right="519" w:firstLine="270"/>
        <w:spacing w:after="0" w:line="254" w:lineRule="auto"/>
        <w:rPr>
          <w:sz w:val="20"/>
          <w:szCs w:val="20"/>
          <w:color w:val="auto"/>
        </w:rPr>
      </w:pPr>
      <w:r>
        <w:rPr>
          <w:rFonts w:ascii="Times New Roman" w:cs="Times New Roman" w:eastAsia="Times New Roman" w:hAnsi="Times New Roman"/>
          <w:sz w:val="18"/>
          <w:szCs w:val="18"/>
          <w:color w:val="auto"/>
        </w:rPr>
        <w:t>In determining the value of equity or equity-linked securities (including warrants to purchase common or preferred stock) in a portfolio company, the Company considers the rights, preferences and limitations of such securities. In cases where a portfolio company’s capital structure includes multiple classes of preferred and common stock and equity-linked securities with different rights and preferences, the Company generally uses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 recognized as a realized loss on investments in the condensed consolidated statements of operations and condensed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condensed consolidated statements of cash flows.</w:t>
      </w:r>
    </w:p>
    <w:p>
      <w:pPr>
        <w:spacing w:after="0" w:line="200" w:lineRule="exact"/>
        <w:rPr>
          <w:sz w:val="20"/>
          <w:szCs w:val="20"/>
          <w:color w:val="auto"/>
        </w:rPr>
      </w:pPr>
    </w:p>
    <w:p>
      <w:pPr>
        <w:spacing w:after="0" w:line="32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24" w:name="page25"/>
    <w:bookmarkEnd w:id="2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March 31, 2015 (Unaudited)</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 — NATURE OF OPERATIONS AND SIGNIFICANT ACCOUNTING POLICIES – (continued)</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Debt Investments</w:t>
      </w:r>
    </w:p>
    <w:p>
      <w:pPr>
        <w:spacing w:after="0" w:line="121" w:lineRule="exact"/>
        <w:rPr>
          <w:sz w:val="20"/>
          <w:szCs w:val="20"/>
          <w:color w:val="auto"/>
        </w:rPr>
      </w:pPr>
    </w:p>
    <w:p>
      <w:pPr>
        <w:jc w:val="both"/>
        <w:ind w:left="40" w:right="519" w:firstLine="270"/>
        <w:spacing w:after="0" w:line="261" w:lineRule="auto"/>
        <w:rPr>
          <w:sz w:val="20"/>
          <w:szCs w:val="20"/>
          <w:color w:val="auto"/>
        </w:rPr>
      </w:pPr>
      <w:r>
        <w:rPr>
          <w:rFonts w:ascii="Times New Roman" w:cs="Times New Roman" w:eastAsia="Times New Roman" w:hAnsi="Times New Roman"/>
          <w:sz w:val="18"/>
          <w:szCs w:val="18"/>
          <w:color w:val="auto"/>
        </w:rPr>
        <w:t>Given the nature of the Company’s current debt investments (excluding U.S. Treasuries), principally convertible and promissory notes issued by venture capital-backed portfolio companies, these investments are Level 3 assets under ASC 820 because there is no known or accessible market or market indexes for these investment securities to be traded or exchanged. The Company values its debt investments at amortized cost.</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jc w:val="both"/>
        <w:ind w:left="40" w:right="539" w:firstLine="270"/>
        <w:spacing w:after="0" w:line="282" w:lineRule="auto"/>
        <w:rPr>
          <w:sz w:val="20"/>
          <w:szCs w:val="20"/>
          <w:color w:val="auto"/>
        </w:rPr>
      </w:pPr>
      <w:r>
        <w:rPr>
          <w:rFonts w:ascii="Times New Roman" w:cs="Times New Roman" w:eastAsia="Times New Roman" w:hAnsi="Times New Roman"/>
          <w:sz w:val="18"/>
          <w:szCs w:val="18"/>
          <w:color w:val="auto"/>
        </w:rPr>
        <w:t>The Board will ascribe value to warrants based on fair value analyses that can include discounted cash flow analyses, option pricing models, comparable analyses and other techniques as deemed appropriate.</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Valuation of Other Financial Instruments</w:t>
      </w:r>
    </w:p>
    <w:p>
      <w:pPr>
        <w:spacing w:after="0" w:line="121" w:lineRule="exact"/>
        <w:rPr>
          <w:sz w:val="20"/>
          <w:szCs w:val="20"/>
          <w:color w:val="auto"/>
        </w:rPr>
      </w:pPr>
    </w:p>
    <w:p>
      <w:pPr>
        <w:jc w:val="both"/>
        <w:ind w:left="40" w:right="519" w:firstLine="270"/>
        <w:spacing w:after="0" w:line="266" w:lineRule="auto"/>
        <w:rPr>
          <w:sz w:val="20"/>
          <w:szCs w:val="20"/>
          <w:color w:val="auto"/>
        </w:rPr>
      </w:pPr>
      <w:r>
        <w:rPr>
          <w:rFonts w:ascii="Times New Roman" w:cs="Times New Roman" w:eastAsia="Times New Roman" w:hAnsi="Times New Roman"/>
          <w:sz w:val="18"/>
          <w:szCs w:val="18"/>
          <w:color w:val="auto"/>
        </w:rPr>
        <w:t>The carrying amounts of the Company’s other, non-investment, financial instruments, consisting of cash, receivables, accounts payable, and accrued expenses, approximate fair value due to their short-term nature. The embedded derivative liability is carried at fair value.</w:t>
      </w:r>
    </w:p>
    <w:p>
      <w:pPr>
        <w:spacing w:after="0" w:line="1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Securities Transactions</w:t>
      </w:r>
    </w:p>
    <w:p>
      <w:pPr>
        <w:spacing w:after="0" w:line="121" w:lineRule="exact"/>
        <w:rPr>
          <w:sz w:val="20"/>
          <w:szCs w:val="20"/>
          <w:color w:val="auto"/>
        </w:rPr>
      </w:pPr>
    </w:p>
    <w:p>
      <w:pPr>
        <w:jc w:val="both"/>
        <w:ind w:left="40" w:right="519" w:firstLine="270"/>
        <w:spacing w:after="0" w:line="261" w:lineRule="auto"/>
        <w:rPr>
          <w:sz w:val="20"/>
          <w:szCs w:val="20"/>
          <w:color w:val="auto"/>
        </w:rPr>
      </w:pPr>
      <w:r>
        <w:rPr>
          <w:rFonts w:ascii="Times New Roman" w:cs="Times New Roman" w:eastAsia="Times New Roman" w:hAnsi="Times New Roman"/>
          <w:sz w:val="18"/>
          <w:szCs w:val="18"/>
          <w:color w:val="auto"/>
        </w:rPr>
        <w:t>Securities transactions are accounted for on the date the transaction for the purchase or sale of the securities is entered into by the Company (i.e.,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Portfolio Company Investment Classification</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Times New Roman" w:cs="Times New Roman" w:eastAsia="Times New Roman" w:hAnsi="Times New Roman"/>
          <w:sz w:val="18"/>
          <w:szCs w:val="18"/>
          <w:color w:val="auto"/>
        </w:rPr>
        <w:t>GSV is a non-diversified company within the meaning of the 1940 Act. GSV classifies its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another person. Refer to the Condensed Consolidated Schedules of Investments as of March 31, 2015 and December 31, 2014, respectively, for details regarding the nature and composition of the Company’s portfolio.</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jc w:val="both"/>
        <w:ind w:left="40" w:right="519" w:firstLine="270"/>
        <w:spacing w:after="0" w:line="266" w:lineRule="auto"/>
        <w:rPr>
          <w:sz w:val="20"/>
          <w:szCs w:val="20"/>
          <w:color w:val="auto"/>
        </w:rPr>
      </w:pPr>
      <w:r>
        <w:rPr>
          <w:rFonts w:ascii="Times New Roman" w:cs="Times New Roman" w:eastAsia="Times New Roman" w:hAnsi="Times New Roman"/>
          <w:sz w:val="18"/>
          <w:szCs w:val="18"/>
          <w:color w:val="auto"/>
        </w:rPr>
        <w:t>The Company places its cash with U.S. Bank, N.A., and Silicon Valley Bank, and at times, cash held in these accounts may exceed the Federal Deposit Insurance Corporation insured limit. The Company may invest a portion of its cash in money market funds, within limitations of the 1940 Act.</w:t>
      </w:r>
    </w:p>
    <w:p>
      <w:pPr>
        <w:spacing w:after="0" w:line="1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ind w:left="40" w:right="519" w:firstLine="270"/>
        <w:spacing w:after="0" w:line="258" w:lineRule="auto"/>
        <w:rPr>
          <w:sz w:val="20"/>
          <w:szCs w:val="20"/>
          <w:color w:val="auto"/>
        </w:rPr>
      </w:pPr>
      <w:r>
        <w:rPr>
          <w:rFonts w:ascii="Times New Roman" w:cs="Times New Roman" w:eastAsia="Times New Roman" w:hAnsi="Times New Roman"/>
          <w:sz w:val="18"/>
          <w:szCs w:val="18"/>
          <w:color w:val="auto"/>
        </w:rPr>
        <w:t>As of March 31, 2015, and December 31, 2014, respectively, the Company had Restricted Cash of $41,181 and $48,889 which is included on the Condensed Consolidated Statements of Assets and Liabilities. Restricted Cash consists of excess funds remaining in escrow from the purchase of the government securities that will be used to make the scheduled interest payments on the Convertible Senior Notes. See Note 9 for further detail. As of March 31, 2015, restricted cash also includes a $25,000 deposit for the Company’s fidelity bond.</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25" w:name="page26"/>
    <w:bookmarkEnd w:id="2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March 31, 2015 (Unaudited)</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 — NATURE OF OPERATIONS AND SIGNIFICANT ACCOUNTING POLICIES – (continued)</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revenue recognition policies are as follows: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Sales</w:t>
      </w:r>
      <w:r>
        <w:rPr>
          <w:rFonts w:ascii="Times New Roman" w:cs="Times New Roman" w:eastAsia="Times New Roman" w:hAnsi="Times New Roman"/>
          <w:sz w:val="18"/>
          <w:szCs w:val="18"/>
          <w:color w:val="auto"/>
        </w:rPr>
        <w:t>: Gains or losses on the sale of investments are determined using the specific identification method.</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Interest income, adjusted for amortization of premium and accretion of discount, is recorded on an accrual basis.</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Dividend income is recognized on the ex-dividend date.</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Investment Transaction Costs and Escrow Deposits</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Times New Roman" w:cs="Times New Roman" w:eastAsia="Times New Roman" w:hAnsi="Times New Roman"/>
          <w:sz w:val="18"/>
          <w:szCs w:val="18"/>
          <w:color w:val="auto"/>
        </w:rPr>
        <w:t>Commissions and other costs associated with an investment transaction, including legal expenses not reimbursed by the issuer, are included in the cost basis of purchases and deducted from the proceeds of sales. The Company makes certain acquisitions on the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These transactions are reflected on the Statement of Assets and Liabilities as Escrow deposits. At March 31, 2015, and December 31, 2014, the Company had no Escrow deposits.</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Unrealized Appreciation or Depreciation on Investments</w:t>
      </w:r>
    </w:p>
    <w:p>
      <w:pPr>
        <w:spacing w:after="0" w:line="121" w:lineRule="exact"/>
        <w:rPr>
          <w:sz w:val="20"/>
          <w:szCs w:val="20"/>
          <w:color w:val="auto"/>
        </w:rPr>
      </w:pPr>
    </w:p>
    <w:p>
      <w:pPr>
        <w:jc w:val="both"/>
        <w:ind w:left="40" w:right="539" w:firstLine="270"/>
        <w:spacing w:after="0" w:line="282" w:lineRule="auto"/>
        <w:rPr>
          <w:sz w:val="20"/>
          <w:szCs w:val="20"/>
          <w:color w:val="auto"/>
        </w:rPr>
      </w:pPr>
      <w:r>
        <w:rPr>
          <w:rFonts w:ascii="Times New Roman" w:cs="Times New Roman" w:eastAsia="Times New Roman" w:hAnsi="Times New Roman"/>
          <w:sz w:val="18"/>
          <w:szCs w:val="18"/>
          <w:color w:val="auto"/>
        </w:rPr>
        <w:t>Unrealized appreciation or depreciation is calculated as the difference between the fair value of the investment and the cost basis of such investment.</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U.S. Federal and State Income Taxes</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Times New Roman" w:cs="Times New Roman" w:eastAsia="Times New Roman" w:hAnsi="Times New Roman"/>
          <w:sz w:val="18"/>
          <w:szCs w:val="18"/>
          <w:color w:val="auto"/>
        </w:rPr>
        <w:t>The Company was taxed as a regular corporation (a “C corporation”) under subchapter C of the Internal Revenue Code of 1986, as amended, (“the Code”), for its 2012 taxable year. The Company uses the asset and liability method of accounting for income taxes. Deferred tax assets and liabilities are recorded for tax loss carryforwards and temporary differences between the tax basis of assets and liabilities and their reported amounts in the condensed consolidated financial statements, using statutory tax rates in effect for the year in which the temporary differences are expected to reverse. Certain tax attributes may be subject to limitations on timing and usage. A valuation allowance is provided against deferred tax assets when it is more likely than not that some portion or all of the deferred tax assets will not be realized.</w:t>
      </w:r>
    </w:p>
    <w:p>
      <w:pPr>
        <w:spacing w:after="0" w:line="81" w:lineRule="exact"/>
        <w:rPr>
          <w:sz w:val="20"/>
          <w:szCs w:val="20"/>
          <w:color w:val="auto"/>
        </w:rPr>
      </w:pPr>
    </w:p>
    <w:p>
      <w:pPr>
        <w:jc w:val="both"/>
        <w:ind w:left="40" w:right="519" w:firstLine="270"/>
        <w:spacing w:after="0" w:line="253" w:lineRule="auto"/>
        <w:rPr>
          <w:sz w:val="20"/>
          <w:szCs w:val="20"/>
          <w:color w:val="auto"/>
        </w:rPr>
      </w:pPr>
      <w:r>
        <w:rPr>
          <w:rFonts w:ascii="Times New Roman" w:cs="Times New Roman" w:eastAsia="Times New Roman" w:hAnsi="Times New Roman"/>
          <w:sz w:val="18"/>
          <w:szCs w:val="18"/>
          <w:color w:val="auto"/>
        </w:rPr>
        <w:t>In September 2014 the Company filed its 2013 tax return as a regulated investment company “RIC” and is seeking to be granted RIC status for its 2013 taxable year, however, the Company will not be eligible to elect to be treated as a RIC for the 2013 taxable year unless it is certified by the Securities and Exchange Commission (the “SEC”) as “principally engaged in the furnishing of capital to other corporations which are principally engaged in the development or exploitation of inventions, technological improvements, new processes, or products not previously generally available” for the 2013 taxable year (such certification, an “SEC Certification”). Although the Company filed an application with the SEC for an SEC Certification for the 2013 taxable year, there can be no assurance that it will receive an SEC Certification. In the event that the Company does not receive such SEC Certification or is otherwise unable to meet all of the qualifications to be treated as a RIC for 2013, it will be taxed as a C Corporation for the 2013 taxable year. Should the Company not qualify as a RIC for 2013, it intends to elect to be treated as a RIC for its 2014 taxable year, if the Company’s management determines that it is in its best interests to do so. For example, it may not be in the Company’s best interests in the event that it experiences large operating losses or has large loss carryforwards. If the Company opts not to do so or is unable to qualify, it will continue to be taxed as a C corporation under the Code for its 2014 taxable year. Refer to Note 8 for further details.</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26" w:name="page27"/>
    <w:bookmarkEnd w:id="2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March 31, 2015 (Unaudited)</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40" w:right="519" w:firstLine="270"/>
        <w:spacing w:after="0" w:line="252" w:lineRule="auto"/>
        <w:rPr>
          <w:sz w:val="20"/>
          <w:szCs w:val="20"/>
          <w:color w:val="auto"/>
        </w:rPr>
      </w:pPr>
      <w:r>
        <w:rPr>
          <w:rFonts w:ascii="Times New Roman" w:cs="Times New Roman" w:eastAsia="Times New Roman" w:hAnsi="Times New Roman"/>
          <w:sz w:val="18"/>
          <w:szCs w:val="18"/>
          <w:color w:val="auto"/>
        </w:rPr>
        <w:t>In order to qualify as a RIC, among other things, the Company is required to distribute to its stockholders on a timely basis at least 90% of investment company taxable income, as defined by the Code, for each year, and meet certain asset diversification requirements on a quarterly basis. So long as the Company qualifies and maintains its status as a RIC, it generally will not pay corporate-level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condensed consolidated financial statements of the Company. Included in the Company’s condensed consolidated financial statements, the GSVC Holdings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condensed consolidated financial statements. At the present time, the Company cannot assure its investors that it will be eligible to elect to be taxed as a RIC for its 2013 taxable year. If it is not treated as a RIC for 2013, the Company will be taxed as a C corporation under the Code for the 2013 taxable year. Until such time as it qualifies and elects to be taxed as a RIC, the Company will provide for income taxes, if any, as a C Corp. The Company intends to elect to be taxed as a RIC for its 2014 taxable year, if management determines that it is in the Company’s best interests to do so.</w:t>
      </w:r>
    </w:p>
    <w:p>
      <w:pPr>
        <w:spacing w:after="0" w:line="91" w:lineRule="exact"/>
        <w:rPr>
          <w:sz w:val="20"/>
          <w:szCs w:val="20"/>
          <w:color w:val="auto"/>
        </w:rPr>
      </w:pPr>
    </w:p>
    <w:p>
      <w:pPr>
        <w:jc w:val="both"/>
        <w:ind w:left="40" w:right="519" w:firstLine="270"/>
        <w:spacing w:after="0" w:line="256" w:lineRule="auto"/>
        <w:rPr>
          <w:sz w:val="20"/>
          <w:szCs w:val="20"/>
          <w:color w:val="auto"/>
        </w:rPr>
      </w:pPr>
      <w:r>
        <w:rPr>
          <w:rFonts w:ascii="Times New Roman" w:cs="Times New Roman" w:eastAsia="Times New Roman" w:hAnsi="Times New Roman"/>
          <w:sz w:val="18"/>
          <w:szCs w:val="18"/>
          <w:color w:val="auto"/>
        </w:rPr>
        <w:t>The Company evaluates tax positions taken or expected to be taken in the course of preparing its condensed consolidated financial statements to determine whether the tax positions are “more-likely-than-not” of being sustained by the applicable tax authority. The Company recognizes the tax benefits of uncertain tax positions only where the position has met the “more-likely-than-not” threshold. The Company classifies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w:t>
      </w:r>
    </w:p>
    <w:p>
      <w:pPr>
        <w:spacing w:after="0" w:line="1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121" w:lineRule="exact"/>
        <w:rPr>
          <w:sz w:val="20"/>
          <w:szCs w:val="20"/>
          <w:color w:val="auto"/>
        </w:rPr>
      </w:pPr>
    </w:p>
    <w:p>
      <w:pPr>
        <w:jc w:val="both"/>
        <w:ind w:left="40" w:right="519" w:firstLine="270"/>
        <w:spacing w:after="0" w:line="258" w:lineRule="auto"/>
        <w:rPr>
          <w:sz w:val="20"/>
          <w:szCs w:val="20"/>
          <w:color w:val="auto"/>
        </w:rPr>
      </w:pPr>
      <w:r>
        <w:rPr>
          <w:rFonts w:ascii="Times New Roman" w:cs="Times New Roman" w:eastAsia="Times New Roman" w:hAnsi="Times New Roman"/>
          <w:sz w:val="18"/>
          <w:szCs w:val="18"/>
          <w:color w:val="auto"/>
        </w:rPr>
        <w:t>On December 31, 2013, the Company entered into a Loan and Security Agreement (the “Loan Agreement”) with Silicon Valley Bank, pursuant to which Silicon Valley Bank agreed to provide the Company with a new $18 million credit facility (the “Credit Facility”). On September 17, 2013, the Company issued $69,000,000 aggregate principal amount of the Convertible Senior Notes (the “Convertible Senior Notes”) (including $9,000,000 aggregate principal amount issued pursuant to the exercise of the initial purchasers’ option to purchase additional Convertible Senior Notes).</w:t>
      </w:r>
    </w:p>
    <w:p>
      <w:pPr>
        <w:spacing w:after="0" w:line="76" w:lineRule="exact"/>
        <w:rPr>
          <w:sz w:val="20"/>
          <w:szCs w:val="20"/>
          <w:color w:val="auto"/>
        </w:rPr>
      </w:pPr>
    </w:p>
    <w:p>
      <w:pPr>
        <w:jc w:val="both"/>
        <w:ind w:left="40" w:right="519" w:firstLine="270"/>
        <w:spacing w:after="0" w:line="256" w:lineRule="auto"/>
        <w:rPr>
          <w:sz w:val="20"/>
          <w:szCs w:val="20"/>
          <w:color w:val="auto"/>
        </w:rPr>
      </w:pPr>
      <w:r>
        <w:rPr>
          <w:rFonts w:ascii="Times New Roman" w:cs="Times New Roman" w:eastAsia="Times New Roman" w:hAnsi="Times New Roman"/>
          <w:sz w:val="18"/>
          <w:szCs w:val="18"/>
          <w:color w:val="auto"/>
        </w:rPr>
        <w:t>The Company recorded origination expenses related to the Credit Facility and Convertible Senior Notes as deferred financing costs. These expenses are deferred and amortized as part of interest expense using the effective interest method over the respective expected life or maturity. In the event that the Company modifies or extinguishes its debt before maturity, it follows the guidance in ASC 470-50, Modification and Extinguishments (“ASC 470-50”). For modifications to or exchanges of the Credit Facility, any unamortized deferred costs are expensed. For extinguishments of the Convertible Senior Notes, any unamortized deferred costs are deducted from the basis of the debt in determining the gain or loss from the extinguishment.</w:t>
      </w:r>
    </w:p>
    <w:p>
      <w:pPr>
        <w:spacing w:after="0" w:line="1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Per Share Information</w:t>
      </w:r>
    </w:p>
    <w:p>
      <w:pPr>
        <w:spacing w:after="0" w:line="121" w:lineRule="exact"/>
        <w:rPr>
          <w:sz w:val="20"/>
          <w:szCs w:val="20"/>
          <w:color w:val="auto"/>
        </w:rPr>
      </w:pPr>
    </w:p>
    <w:p>
      <w:pPr>
        <w:jc w:val="both"/>
        <w:ind w:left="40" w:right="519" w:firstLine="270"/>
        <w:spacing w:after="0" w:line="261" w:lineRule="auto"/>
        <w:rPr>
          <w:sz w:val="20"/>
          <w:szCs w:val="20"/>
          <w:color w:val="auto"/>
        </w:rPr>
      </w:pPr>
      <w:r>
        <w:rPr>
          <w:rFonts w:ascii="Times New Roman" w:cs="Times New Roman" w:eastAsia="Times New Roman" w:hAnsi="Times New Roman"/>
          <w:sz w:val="18"/>
          <w:szCs w:val="18"/>
          <w:color w:val="auto"/>
        </w:rPr>
        <w:t>Basic earnings (loss) per common share, is computed using the weighted average number of shares outstanding for the period presented. Diluted earnings per share is computed by dividing net income (loss) for the period by the weighted average number of common shares outstanding plus any potentially dilutive shares outstanding during the period. The Company used the if-converted method to determine the number of potentially dilutive shares outstanding. Refer to Note 5 for further detail.</w:t>
      </w:r>
    </w:p>
    <w:p>
      <w:pPr>
        <w:spacing w:after="0" w:line="200" w:lineRule="exact"/>
        <w:rPr>
          <w:sz w:val="20"/>
          <w:szCs w:val="20"/>
          <w:color w:val="auto"/>
        </w:rPr>
      </w:pPr>
    </w:p>
    <w:p>
      <w:pPr>
        <w:spacing w:after="0" w:line="31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27" w:name="page28"/>
    <w:bookmarkEnd w:id="2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March 31, 2015 (Unaudited)</w:t>
      </w:r>
    </w:p>
    <w:p>
      <w:pPr>
        <w:spacing w:after="0" w:line="122" w:lineRule="exact"/>
        <w:rPr>
          <w:sz w:val="20"/>
          <w:szCs w:val="20"/>
          <w:color w:val="auto"/>
        </w:rPr>
      </w:pPr>
    </w:p>
    <w:p>
      <w:pPr>
        <w:ind w:left="40" w:right="1859"/>
        <w:spacing w:after="0" w:line="401" w:lineRule="auto"/>
        <w:rPr>
          <w:sz w:val="20"/>
          <w:szCs w:val="20"/>
          <w:color w:val="auto"/>
        </w:rPr>
      </w:pPr>
      <w:r>
        <w:rPr>
          <w:rFonts w:ascii="Times New Roman" w:cs="Times New Roman" w:eastAsia="Times New Roman" w:hAnsi="Times New Roman"/>
          <w:sz w:val="18"/>
          <w:szCs w:val="18"/>
          <w:b w:val="1"/>
          <w:bCs w:val="1"/>
          <w:color w:val="auto"/>
        </w:rPr>
        <w:t xml:space="preserve">NOTE 1 — NATURE OF OPERATIONS AND SIGNIFICANT ACCOUNTING POLICIES – (continued) </w:t>
      </w:r>
      <w:r>
        <w:rPr>
          <w:rFonts w:ascii="Times New Roman" w:cs="Times New Roman" w:eastAsia="Times New Roman" w:hAnsi="Times New Roman"/>
          <w:sz w:val="18"/>
          <w:szCs w:val="18"/>
          <w:b w:val="1"/>
          <w:bCs w:val="1"/>
          <w:i w:val="1"/>
          <w:iCs w:val="1"/>
          <w:color w:val="auto"/>
        </w:rPr>
        <w:t>Capital Accounts</w:t>
      </w:r>
    </w:p>
    <w:p>
      <w:pPr>
        <w:spacing w:after="0" w:line="1" w:lineRule="exact"/>
        <w:rPr>
          <w:sz w:val="20"/>
          <w:szCs w:val="20"/>
          <w:color w:val="auto"/>
        </w:rPr>
      </w:pPr>
    </w:p>
    <w:p>
      <w:pPr>
        <w:jc w:val="both"/>
        <w:ind w:left="40" w:right="519" w:firstLine="270"/>
        <w:spacing w:after="0" w:line="255" w:lineRule="auto"/>
        <w:rPr>
          <w:sz w:val="20"/>
          <w:szCs w:val="20"/>
          <w:color w:val="auto"/>
        </w:rPr>
      </w:pPr>
      <w:r>
        <w:rPr>
          <w:rFonts w:ascii="Times New Roman" w:cs="Times New Roman" w:eastAsia="Times New Roman" w:hAnsi="Times New Roman"/>
          <w:sz w:val="18"/>
          <w:szCs w:val="18"/>
          <w:color w:val="auto"/>
        </w:rPr>
        <w:t>Certain capital accounts including undistributed net investment income or loss, accumulated net realized gain or loss, net unrealized appreciation or depreciation, and paid-in capital in excess of par, are adjusted, at least annually, for permanent differences between book and tax. In addition, the character of income and gains to be distributed is determined in accordance with income tax regulations that may differ from GAAP. GAAP requires that certain components of net assets relating to permanent differences are to be reclassified between financial statement reporting and tax reporting. These reclassifications have no effect on the net assets or net asset value per share and are intended to enable the Company’s stockholders to determine the amount of accumulated and undistributed earnings they potentially could receive in the future and on which they could be taxed.</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2 — RELATED PARTY ARRANGEMENTS</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Investment Advisory Agreement</w:t>
      </w:r>
    </w:p>
    <w:p>
      <w:pPr>
        <w:spacing w:after="0" w:line="121" w:lineRule="exact"/>
        <w:rPr>
          <w:sz w:val="20"/>
          <w:szCs w:val="20"/>
          <w:color w:val="auto"/>
        </w:rPr>
      </w:pPr>
    </w:p>
    <w:p>
      <w:pPr>
        <w:jc w:val="both"/>
        <w:ind w:left="40" w:right="519" w:firstLine="270"/>
        <w:spacing w:after="0" w:line="253" w:lineRule="auto"/>
        <w:rPr>
          <w:sz w:val="20"/>
          <w:szCs w:val="20"/>
          <w:color w:val="auto"/>
        </w:rPr>
      </w:pPr>
      <w:r>
        <w:rPr>
          <w:rFonts w:ascii="Times New Roman" w:cs="Times New Roman" w:eastAsia="Times New Roman" w:hAnsi="Times New Roman"/>
          <w:sz w:val="18"/>
          <w:szCs w:val="18"/>
          <w:color w:val="auto"/>
        </w:rPr>
        <w:t>The Company entered into an investment advisory agreement with GSV Asset Management (the “Advisory Agreement”) in connection with its initial public offering. Pursuant to the Advisory Agreement, GSV Asset Management will be paid a base annual fee of 2% of gross assets, and an annual incentive fee equal to the lesser of (i) 20% of the Company’s 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 GSV Asset Management earned $1,921,128, and $1,756,196 in base management fees for the three months ended March 31, 2015, and 2014, respectively, and $0 in incentive fees for the three months ended March 31, 2015, and 2014. For the three months ended March 31, 2015, and 2014, the Company accrued incentive fees of $8,211,728, and $969,652, respectively, considering the hypothetical liquidation value of the Company’s investment portfolio as of the measurement date.</w:t>
      </w:r>
    </w:p>
    <w:p>
      <w:pPr>
        <w:spacing w:after="0" w:line="85" w:lineRule="exact"/>
        <w:rPr>
          <w:sz w:val="20"/>
          <w:szCs w:val="20"/>
          <w:color w:val="auto"/>
        </w:rPr>
      </w:pPr>
    </w:p>
    <w:p>
      <w:pPr>
        <w:jc w:val="both"/>
        <w:ind w:left="40" w:right="539" w:firstLine="270"/>
        <w:spacing w:after="0" w:line="266" w:lineRule="auto"/>
        <w:rPr>
          <w:sz w:val="20"/>
          <w:szCs w:val="20"/>
          <w:color w:val="auto"/>
        </w:rPr>
      </w:pPr>
      <w:r>
        <w:rPr>
          <w:rFonts w:ascii="Times New Roman" w:cs="Times New Roman" w:eastAsia="Times New Roman" w:hAnsi="Times New Roman"/>
          <w:sz w:val="18"/>
          <w:szCs w:val="18"/>
          <w:color w:val="auto"/>
        </w:rPr>
        <w:t>As of March 31, 2015, the Company was owed $105,844 from GSV Asset Management for reimbursement of expenses paid for by the Company that were the responsibility of GSV Asset Management. In addition as of March 31, 2015, the Company owed GSV Asset Management $30,255 for reimbursement of other expenses.</w:t>
      </w:r>
    </w:p>
    <w:p>
      <w:pPr>
        <w:spacing w:after="0" w:line="68" w:lineRule="exact"/>
        <w:rPr>
          <w:sz w:val="20"/>
          <w:szCs w:val="20"/>
          <w:color w:val="auto"/>
        </w:rPr>
      </w:pPr>
    </w:p>
    <w:p>
      <w:pPr>
        <w:jc w:val="both"/>
        <w:ind w:left="40" w:right="539" w:firstLine="270"/>
        <w:spacing w:after="0" w:line="266" w:lineRule="auto"/>
        <w:rPr>
          <w:sz w:val="20"/>
          <w:szCs w:val="20"/>
          <w:color w:val="auto"/>
        </w:rPr>
      </w:pPr>
      <w:r>
        <w:rPr>
          <w:rFonts w:ascii="Times New Roman" w:cs="Times New Roman" w:eastAsia="Times New Roman" w:hAnsi="Times New Roman"/>
          <w:sz w:val="18"/>
          <w:szCs w:val="18"/>
          <w:color w:val="auto"/>
        </w:rPr>
        <w:t>As of December 31, 2014, the Company was owed $204,825 from GSV Asset Management for reimbursement of expenses paid for by the Company that were the responsibility of GSV Asset Management. In addition as of December 31, 2014, the Company owed GSV Asset Management $23,396 for reimbursement of other expenses.</w:t>
      </w:r>
    </w:p>
    <w:p>
      <w:pPr>
        <w:spacing w:after="0" w:line="1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Administration Agreement</w:t>
      </w:r>
    </w:p>
    <w:p>
      <w:pPr>
        <w:spacing w:after="0" w:line="121" w:lineRule="exact"/>
        <w:rPr>
          <w:sz w:val="20"/>
          <w:szCs w:val="20"/>
          <w:color w:val="auto"/>
        </w:rPr>
      </w:pPr>
    </w:p>
    <w:p>
      <w:pPr>
        <w:jc w:val="both"/>
        <w:ind w:left="40" w:right="519" w:firstLine="270"/>
        <w:spacing w:after="0" w:line="256" w:lineRule="auto"/>
        <w:rPr>
          <w:sz w:val="20"/>
          <w:szCs w:val="20"/>
          <w:color w:val="auto"/>
        </w:rPr>
      </w:pPr>
      <w:r>
        <w:rPr>
          <w:rFonts w:ascii="Times New Roman" w:cs="Times New Roman" w:eastAsia="Times New Roman" w:hAnsi="Times New Roman"/>
          <w:sz w:val="18"/>
          <w:szCs w:val="18"/>
          <w:color w:val="auto"/>
        </w:rPr>
        <w:t>The Company entered into an administration agreement with GSV Capital Service Company (the “Administration Agreement”) to provide administrative services, including furnishing the Company with office facilities, equipment, clerical, bookkeeping, record keeping services and other administrative services, in connection with its initial public offering and ongoing operations. The Company reimburses GSV Capital Service Company an allocable portion of overhead and other expenses in performing its obligations under the Administration Agreement. There were $802,396, and $908,532 in such costs incurred under the Administration Agreement for the three months ended March 31, 2015, and 2014, respectively.</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28" w:name="page29"/>
    <w:bookmarkEnd w:id="28"/>
    <w:p>
      <w:pPr>
        <w:ind w:left="14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March 31, 2015 (Unaudited)</w:t>
      </w:r>
    </w:p>
    <w:p>
      <w:pPr>
        <w:spacing w:after="0" w:line="1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NOTE 2 — RELATED PARTY ARRANGEMENTS – (continued)</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u w:val="single" w:color="auto"/>
          <w:color w:val="auto"/>
        </w:rPr>
        <w:t>License Agreement</w:t>
      </w:r>
    </w:p>
    <w:p>
      <w:pPr>
        <w:spacing w:after="0" w:line="121" w:lineRule="exact"/>
        <w:rPr>
          <w:sz w:val="20"/>
          <w:szCs w:val="20"/>
          <w:color w:val="auto"/>
        </w:rPr>
      </w:pPr>
    </w:p>
    <w:p>
      <w:pPr>
        <w:jc w:val="both"/>
        <w:ind w:left="180" w:right="519" w:firstLine="270"/>
        <w:spacing w:after="0" w:line="261" w:lineRule="auto"/>
        <w:rPr>
          <w:sz w:val="20"/>
          <w:szCs w:val="20"/>
          <w:color w:val="auto"/>
        </w:rPr>
      </w:pPr>
      <w:r>
        <w:rPr>
          <w:rFonts w:ascii="Times New Roman" w:cs="Times New Roman" w:eastAsia="Times New Roman" w:hAnsi="Times New Roman"/>
          <w:sz w:val="18"/>
          <w:szCs w:val="18"/>
          <w:color w:val="auto"/>
        </w:rPr>
        <w:t>The Company entered into a license agreement with GSV Asset Management pursuant to which GSV Asset Management has agreed to grant the Company a non-exclusive, royalty-free license to use the name “GSV.” Under this agreement, the Company has the right to use the GSV name for so long as the Advisory Agreement with GSV Asset Management is in effect. Other than with respect to this limited license, the Company has no legal right to the “GSV” name.</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NOTE 3 — INVESTMENTS AT FAIR VALUE</w:t>
      </w:r>
    </w:p>
    <w:p>
      <w:pPr>
        <w:spacing w:after="0" w:line="121" w:lineRule="exact"/>
        <w:rPr>
          <w:sz w:val="20"/>
          <w:szCs w:val="20"/>
          <w:color w:val="auto"/>
        </w:rPr>
      </w:pPr>
    </w:p>
    <w:p>
      <w:pPr>
        <w:jc w:val="both"/>
        <w:ind w:left="180" w:right="519" w:firstLine="270"/>
        <w:spacing w:after="0" w:line="256" w:lineRule="auto"/>
        <w:rPr>
          <w:sz w:val="20"/>
          <w:szCs w:val="20"/>
          <w:color w:val="auto"/>
        </w:rPr>
      </w:pPr>
      <w:r>
        <w:rPr>
          <w:rFonts w:ascii="Times New Roman" w:cs="Times New Roman" w:eastAsia="Times New Roman" w:hAnsi="Times New Roman"/>
          <w:sz w:val="18"/>
          <w:szCs w:val="18"/>
          <w:color w:val="auto"/>
        </w:rPr>
        <w:t>The Company’s investments in portfolio companies consist primarily of equity securities (such as common stock, preferred stock and warrants to purchase common and preferred stock) and to a lesser extent, debt securities, issued by private and publicly traded companies. The Company may from time to time, invest in U.S. Treasury Securities. Non-portfolio investments represent investments in U.S. Treasury Securities. At March 31, 2015, the Company had 99 positions in 52 portfolio companies. At December 31, 2014, the Company had 99 positions in 52 portfolio companies. The following table summarizes the composition of the Company’s investment portfolio by security type at cost and fair value as of March 31, 2015 and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19685</wp:posOffset>
            </wp:positionV>
            <wp:extent cx="521398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61"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March 31, 2015 (Unaudited)</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0" w:type="dxa"/>
            <w:vAlign w:val="bottom"/>
          </w:tcPr>
          <w:p>
            <w:pPr>
              <w:spacing w:after="0"/>
              <w:rPr>
                <w:sz w:val="1"/>
                <w:szCs w:val="1"/>
                <w:color w:val="auto"/>
              </w:rPr>
            </w:pPr>
          </w:p>
        </w:tc>
      </w:tr>
      <w:tr>
        <w:trPr>
          <w:trHeight w:val="196"/>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3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55,087,008</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84,436,041</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55,085,728</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85,598,467</w:t>
            </w:r>
          </w:p>
        </w:tc>
        <w:tc>
          <w:tcPr>
            <w:tcW w:w="0" w:type="dxa"/>
            <w:vAlign w:val="bottom"/>
          </w:tcPr>
          <w:p>
            <w:pPr>
              <w:spacing w:after="0"/>
              <w:rPr>
                <w:sz w:val="1"/>
                <w:szCs w:val="1"/>
                <w:color w:val="auto"/>
              </w:rPr>
            </w:pPr>
          </w:p>
        </w:tc>
      </w:tr>
      <w:tr>
        <w:trPr>
          <w:trHeight w:val="216"/>
        </w:trPr>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198,325,029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213,643,985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190,308,932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193,847,045</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Debt Investments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2,340,726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2,382,930</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1,360,331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1,374,210</w:t>
            </w:r>
          </w:p>
        </w:tc>
        <w:tc>
          <w:tcPr>
            <w:tcW w:w="0" w:type="dxa"/>
            <w:vAlign w:val="bottom"/>
          </w:tcPr>
          <w:p>
            <w:pPr>
              <w:spacing w:after="0"/>
              <w:rPr>
                <w:sz w:val="1"/>
                <w:szCs w:val="1"/>
                <w:color w:val="auto"/>
              </w:rPr>
            </w:pPr>
          </w:p>
        </w:tc>
      </w:tr>
      <w:tr>
        <w:trPr>
          <w:trHeight w:val="216"/>
        </w:trPr>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Warrants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743,775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301,196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904,345</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Subtotal – Private Portfolio Companies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256,053,959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301,206,731</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247,056,187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281,724,067</w:t>
            </w:r>
          </w:p>
        </w:tc>
        <w:tc>
          <w:tcPr>
            <w:tcW w:w="0" w:type="dxa"/>
            <w:vAlign w:val="bottom"/>
          </w:tcPr>
          <w:p>
            <w:pPr>
              <w:spacing w:after="0"/>
              <w:rPr>
                <w:sz w:val="1"/>
                <w:szCs w:val="1"/>
                <w:color w:val="auto"/>
              </w:rPr>
            </w:pPr>
          </w:p>
        </w:tc>
      </w:tr>
      <w:tr>
        <w:trPr>
          <w:trHeight w:val="210"/>
        </w:trPr>
        <w:tc>
          <w:tcPr>
            <w:tcW w:w="32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Publicly Traded Portfolio Companies:</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47,717,397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100,217,032</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54,055,502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89,260,250</w:t>
            </w:r>
          </w:p>
        </w:tc>
        <w:tc>
          <w:tcPr>
            <w:tcW w:w="0" w:type="dxa"/>
            <w:vAlign w:val="bottom"/>
          </w:tcPr>
          <w:p>
            <w:pPr>
              <w:spacing w:after="0"/>
              <w:rPr>
                <w:sz w:val="1"/>
                <w:szCs w:val="1"/>
                <w:color w:val="auto"/>
              </w:rPr>
            </w:pPr>
          </w:p>
        </w:tc>
      </w:tr>
      <w:tr>
        <w:trPr>
          <w:trHeight w:val="187"/>
        </w:trPr>
        <w:tc>
          <w:tcPr>
            <w:tcW w:w="3220" w:type="dxa"/>
            <w:vAlign w:val="bottom"/>
            <w:tcBorders>
              <w:top w:val="single" w:sz="8" w:color="CCEEFF"/>
            </w:tcBorders>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Total Private and Publicly Traded</w:t>
            </w: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Portfolio Companies:</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303,771,356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401,423,763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301,111,689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370,984,317</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Non-Portfolio Investments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105,491,459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105,505,835</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107,288,024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107,298,098</w:t>
            </w:r>
          </w:p>
        </w:tc>
        <w:tc>
          <w:tcPr>
            <w:tcW w:w="0" w:type="dxa"/>
            <w:vAlign w:val="bottom"/>
          </w:tcPr>
          <w:p>
            <w:pPr>
              <w:spacing w:after="0"/>
              <w:rPr>
                <w:sz w:val="1"/>
                <w:szCs w:val="1"/>
                <w:color w:val="auto"/>
              </w:rPr>
            </w:pPr>
          </w:p>
        </w:tc>
      </w:tr>
      <w:tr>
        <w:trPr>
          <w:trHeight w:val="20"/>
        </w:trPr>
        <w:tc>
          <w:tcPr>
            <w:tcW w:w="3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409,262,815</w:t>
            </w:r>
          </w:p>
        </w:tc>
        <w:tc>
          <w:tcPr>
            <w:tcW w:w="8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506,929,598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408,399,713</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478,282,415</w:t>
            </w: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-891540</wp:posOffset>
            </wp:positionV>
            <wp:extent cx="5213985"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-608330</wp:posOffset>
            </wp:positionV>
            <wp:extent cx="5213985" cy="291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-179705</wp:posOffset>
            </wp:positionV>
            <wp:extent cx="5213985" cy="1803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70" w:lineRule="exact"/>
        <w:rPr>
          <w:sz w:val="20"/>
          <w:szCs w:val="20"/>
          <w:color w:val="auto"/>
        </w:rPr>
      </w:pPr>
    </w:p>
    <w:p>
      <w:pPr>
        <w:ind w:left="180" w:right="539" w:firstLine="270"/>
        <w:spacing w:after="0" w:line="282" w:lineRule="auto"/>
        <w:rPr>
          <w:sz w:val="20"/>
          <w:szCs w:val="20"/>
          <w:color w:val="auto"/>
        </w:rPr>
      </w:pPr>
      <w:r>
        <w:rPr>
          <w:rFonts w:ascii="Times New Roman" w:cs="Times New Roman" w:eastAsia="Times New Roman" w:hAnsi="Times New Roman"/>
          <w:sz w:val="18"/>
          <w:szCs w:val="18"/>
          <w:color w:val="auto"/>
        </w:rPr>
        <w:t>The fair values of the Company’s investments disaggregated into the three levels of the fair value hierarchy based upon the lowest level of significant input used in the valuation as of March 31, 2015 and December 31, 2014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3175</wp:posOffset>
            </wp:positionV>
            <wp:extent cx="521398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2015 (Unaudited)</w:t>
            </w: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60" w:type="dxa"/>
            <w:vAlign w:val="bottom"/>
          </w:tcPr>
          <w:p>
            <w:pPr>
              <w:spacing w:after="0"/>
              <w:rPr>
                <w:sz w:val="10"/>
                <w:szCs w:val="10"/>
                <w:color w:val="auto"/>
              </w:rPr>
            </w:pPr>
          </w:p>
        </w:tc>
        <w:tc>
          <w:tcPr>
            <w:tcW w:w="1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0" w:type="dxa"/>
            <w:vAlign w:val="bottom"/>
          </w:tcPr>
          <w:p>
            <w:pPr>
              <w:spacing w:after="0"/>
              <w:rPr>
                <w:sz w:val="10"/>
                <w:szCs w:val="10"/>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1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5"/>
                <w:szCs w:val="15"/>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2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84,436,041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84,436,041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Preferred Stock</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213,643,985</w:t>
            </w:r>
          </w:p>
        </w:tc>
        <w:tc>
          <w:tcPr>
            <w:tcW w:w="12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213,643,985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 Investments</w:t>
            </w:r>
          </w:p>
        </w:tc>
        <w:tc>
          <w:tcPr>
            <w:tcW w:w="120" w:type="dxa"/>
            <w:vAlign w:val="bottom"/>
          </w:tcPr>
          <w:p>
            <w:pPr>
              <w:spacing w:after="0"/>
              <w:rPr>
                <w:sz w:val="18"/>
                <w:szCs w:val="18"/>
                <w:color w:val="auto"/>
              </w:rPr>
            </w:pPr>
          </w:p>
        </w:tc>
        <w:tc>
          <w:tcPr>
            <w:tcW w:w="1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2,382,930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2,382,930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Warrants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743,775</w:t>
            </w:r>
          </w:p>
        </w:tc>
        <w:tc>
          <w:tcPr>
            <w:tcW w:w="12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743,775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2980" w:type="dxa"/>
            <w:vAlign w:val="bottom"/>
            <w:tcBorders>
              <w:top w:val="single" w:sz="8" w:color="CCEEFF"/>
            </w:tcBorders>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Subtotal – Private Portfolio</w:t>
            </w: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Companies</w:t>
            </w:r>
          </w:p>
        </w:tc>
        <w:tc>
          <w:tcPr>
            <w:tcW w:w="120" w:type="dxa"/>
            <w:vAlign w:val="bottom"/>
          </w:tcPr>
          <w:p>
            <w:pPr>
              <w:spacing w:after="0"/>
              <w:rPr>
                <w:sz w:val="20"/>
                <w:szCs w:val="20"/>
                <w:color w:val="auto"/>
              </w:rPr>
            </w:pPr>
          </w:p>
        </w:tc>
        <w:tc>
          <w:tcPr>
            <w:tcW w:w="1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301,206,731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301,206,731</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3"/>
        </w:trPr>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29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29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-916940</wp:posOffset>
            </wp:positionV>
            <wp:extent cx="5213985" cy="291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0" w:right="1440" w:bottom="1440" w:gutter="0" w:footer="0" w:header="0"/>
        </w:sectPr>
      </w:pPr>
    </w:p>
    <w:bookmarkStart w:id="29" w:name="page30"/>
    <w:bookmarkEnd w:id="29"/>
    <w:p>
      <w:pPr>
        <w:ind w:left="14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March 31, 2015 (Unaudited)</w:t>
      </w:r>
    </w:p>
    <w:p>
      <w:pPr>
        <w:spacing w:after="0" w:line="1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NOTE 3 — INVESTMENTS AT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-22225</wp:posOffset>
            </wp:positionV>
            <wp:extent cx="521398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 2015 (Unaudited)</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60" w:type="dxa"/>
            <w:vAlign w:val="bottom"/>
          </w:tcPr>
          <w:p>
            <w:pPr>
              <w:spacing w:after="0"/>
              <w:rPr>
                <w:sz w:val="10"/>
                <w:szCs w:val="10"/>
                <w:color w:val="auto"/>
              </w:rPr>
            </w:pPr>
          </w:p>
        </w:tc>
        <w:tc>
          <w:tcPr>
            <w:tcW w:w="1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Publicly Traded Portfolio</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3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Companies: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69,845,650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30,371,382</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100,217,032</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3000" w:type="dxa"/>
            <w:vAlign w:val="bottom"/>
            <w:tcBorders>
              <w:top w:val="single" w:sz="8" w:color="CCEEFF"/>
            </w:tcBorders>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Total Private and Publicly Traded</w:t>
            </w: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Portfolio Companies:</w:t>
            </w:r>
          </w:p>
        </w:tc>
        <w:tc>
          <w:tcPr>
            <w:tcW w:w="12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69,845,650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30,371,382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301,206,731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401,423,763</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Bill</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100,013,333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100,013,333</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Strips</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5,492,502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5,492,502</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175,351,485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30,371,382</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301,206,731</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506,929,598</w:t>
            </w:r>
          </w:p>
        </w:tc>
        <w:tc>
          <w:tcPr>
            <w:tcW w:w="132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0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Embedded Derivative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 of December 31, 2014</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60" w:type="dxa"/>
            <w:vAlign w:val="bottom"/>
          </w:tcPr>
          <w:p>
            <w:pPr>
              <w:spacing w:after="0"/>
              <w:rPr>
                <w:sz w:val="10"/>
                <w:szCs w:val="10"/>
                <w:color w:val="auto"/>
              </w:rPr>
            </w:pPr>
          </w:p>
        </w:tc>
        <w:tc>
          <w:tcPr>
            <w:tcW w:w="1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85,598,467</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85,598,467</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Preferred Stock</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193,847,045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193,847,045</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 Investments</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1,374,210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1,374,210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Warrants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904,345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904,345</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3000" w:type="dxa"/>
            <w:vAlign w:val="bottom"/>
            <w:tcBorders>
              <w:top w:val="single" w:sz="8" w:color="CCEEFF"/>
            </w:tcBorders>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Subtotal – Private Portfolio</w:t>
            </w: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Companies</w:t>
            </w:r>
          </w:p>
        </w:tc>
        <w:tc>
          <w:tcPr>
            <w:tcW w:w="12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281,724,067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281,724,067</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300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Publicly Traded Portfolio</w:t>
            </w: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Companies:</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3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65,586,615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23,673,635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89,260,250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300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Total Private and Publicly Traded</w:t>
            </w: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Portfolio Companies:</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65,586,615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23,673,635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281,724,067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370,984,317</w:t>
            </w:r>
          </w:p>
        </w:tc>
        <w:tc>
          <w:tcPr>
            <w:tcW w:w="13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Bill</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100,000,056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100,000,056</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Strips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7,298,042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7,298,042</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172,884,713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23,673,635</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281,724,067</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478,282,415</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Embedded Derivative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32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30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0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0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-5281930</wp:posOffset>
            </wp:positionV>
            <wp:extent cx="5213985" cy="291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-4570095</wp:posOffset>
            </wp:positionV>
            <wp:extent cx="190373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903730" cy="17145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-4570095</wp:posOffset>
            </wp:positionV>
            <wp:extent cx="1460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-4544695</wp:posOffset>
            </wp:positionV>
            <wp:extent cx="14605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3581400</wp:posOffset>
            </wp:positionH>
            <wp:positionV relativeFrom="paragraph">
              <wp:posOffset>-4570095</wp:posOffset>
            </wp:positionV>
            <wp:extent cx="15430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3581400</wp:posOffset>
            </wp:positionH>
            <wp:positionV relativeFrom="paragraph">
              <wp:posOffset>-4544695</wp:posOffset>
            </wp:positionV>
            <wp:extent cx="15430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-4570095</wp:posOffset>
            </wp:positionV>
            <wp:extent cx="14605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-4544695</wp:posOffset>
            </wp:positionV>
            <wp:extent cx="14605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-4570095</wp:posOffset>
            </wp:positionV>
            <wp:extent cx="431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-4544695</wp:posOffset>
            </wp:positionV>
            <wp:extent cx="431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-4261485</wp:posOffset>
            </wp:positionV>
            <wp:extent cx="5213985" cy="1803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-2538095</wp:posOffset>
            </wp:positionV>
            <wp:extent cx="5213985" cy="291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-1551305</wp:posOffset>
            </wp:positionV>
            <wp:extent cx="1903730"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903730" cy="14605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-1551305</wp:posOffset>
            </wp:positionV>
            <wp:extent cx="14605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3581400</wp:posOffset>
            </wp:positionH>
            <wp:positionV relativeFrom="paragraph">
              <wp:posOffset>-1551305</wp:posOffset>
            </wp:positionV>
            <wp:extent cx="15430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-1551305</wp:posOffset>
            </wp:positionV>
            <wp:extent cx="1460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-1551305</wp:posOffset>
            </wp:positionV>
            <wp:extent cx="431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-1268730</wp:posOffset>
            </wp:positionV>
            <wp:extent cx="5213985" cy="1803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-668020</wp:posOffset>
            </wp:positionV>
            <wp:extent cx="19037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90373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-642620</wp:posOffset>
            </wp:positionV>
            <wp:extent cx="190373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90373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-668020</wp:posOffset>
            </wp:positionV>
            <wp:extent cx="14605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-642620</wp:posOffset>
            </wp:positionV>
            <wp:extent cx="14605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3581400</wp:posOffset>
            </wp:positionH>
            <wp:positionV relativeFrom="paragraph">
              <wp:posOffset>-668020</wp:posOffset>
            </wp:positionV>
            <wp:extent cx="15430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3581400</wp:posOffset>
            </wp:positionH>
            <wp:positionV relativeFrom="paragraph">
              <wp:posOffset>-642620</wp:posOffset>
            </wp:positionV>
            <wp:extent cx="15430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-668020</wp:posOffset>
            </wp:positionV>
            <wp:extent cx="14605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-642620</wp:posOffset>
            </wp:positionV>
            <wp:extent cx="14605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-668020</wp:posOffset>
            </wp:positionV>
            <wp:extent cx="431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-642620</wp:posOffset>
            </wp:positionV>
            <wp:extent cx="431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-4055745</wp:posOffset>
            </wp:positionV>
            <wp:extent cx="521398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790" w:right="1440" w:bottom="1440" w:gutter="0" w:footer="0" w:header="0"/>
        </w:sectPr>
      </w:pPr>
    </w:p>
    <w:bookmarkStart w:id="30" w:name="page31"/>
    <w:bookmarkEnd w:id="30"/>
    <w:p>
      <w:pPr>
        <w:ind w:left="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March 31, 2015 (Unaudited)</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 INVESTMENTS AT FAIR VALUE – (continued)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Significant Unobservable Inputs for Level 3 Assets and Liabilities</w:t>
      </w:r>
    </w:p>
    <w:p>
      <w:pPr>
        <w:spacing w:after="0" w:line="121" w:lineRule="exact"/>
        <w:rPr>
          <w:sz w:val="20"/>
          <w:szCs w:val="20"/>
          <w:color w:val="auto"/>
        </w:rPr>
      </w:pPr>
    </w:p>
    <w:p>
      <w:pPr>
        <w:jc w:val="both"/>
        <w:ind w:left="60" w:right="519" w:firstLine="270"/>
        <w:spacing w:after="0" w:line="254" w:lineRule="auto"/>
        <w:rPr>
          <w:sz w:val="20"/>
          <w:szCs w:val="20"/>
          <w:color w:val="auto"/>
        </w:rPr>
      </w:pPr>
      <w:r>
        <w:rPr>
          <w:rFonts w:ascii="Times New Roman" w:cs="Times New Roman" w:eastAsia="Times New Roman" w:hAnsi="Times New Roman"/>
          <w:sz w:val="18"/>
          <w:szCs w:val="18"/>
          <w:color w:val="auto"/>
        </w:rPr>
        <w:t>In accordance with ASC 820, the tables below provide quantitative information about the Company’s fair value measurements of its Level 3 assets and liabilities as of March 31, 2015, and December 31, 2014. In addition to the techniques and inputs noted in the table below, according to the Company’s valuation policy, the Company may also use other valuation techniques and methodologies when determining the Company’s fair value measurements. The below table is not intended to be all-inclusive, but rather provides information on the significant Level 3 inputs as they relate to the Company’s fair value measurements. To the extent an unobservable input is not reflected in the table below, such input is deemed insignificant or is not applicable with respect to the Company’s Level 3 fair value measurements as of March 31, 2015 and December 31, 2014. Significant changes in the inputs in isolation would result in a significant change in the fair value measurement, depending on the input and the materiality of the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20320</wp:posOffset>
            </wp:positionV>
            <wp:extent cx="521398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2015 (Unaudited)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8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(Liability)</w:t>
            </w: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Valuation Techniques</w:t>
            </w:r>
          </w:p>
        </w:tc>
        <w:tc>
          <w:tcPr>
            <w:tcW w:w="16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6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Range (Weighted</w:t>
            </w:r>
          </w:p>
        </w:tc>
        <w:tc>
          <w:tcPr>
            <w:tcW w:w="0" w:type="dxa"/>
            <w:vAlign w:val="bottom"/>
          </w:tcPr>
          <w:p>
            <w:pPr>
              <w:spacing w:after="0"/>
              <w:rPr>
                <w:sz w:val="1"/>
                <w:szCs w:val="1"/>
                <w:color w:val="auto"/>
              </w:rPr>
            </w:pPr>
          </w:p>
        </w:tc>
      </w:tr>
      <w:tr>
        <w:trPr>
          <w:trHeight w:val="173"/>
        </w:trPr>
        <w:tc>
          <w:tcPr>
            <w:tcW w:w="184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Average)</w:t>
            </w:r>
          </w:p>
        </w:tc>
        <w:tc>
          <w:tcPr>
            <w:tcW w:w="0" w:type="dxa"/>
            <w:vAlign w:val="bottom"/>
          </w:tcPr>
          <w:p>
            <w:pPr>
              <w:spacing w:after="0"/>
              <w:rPr>
                <w:sz w:val="1"/>
                <w:szCs w:val="1"/>
                <w:color w:val="auto"/>
              </w:rPr>
            </w:pPr>
          </w:p>
        </w:tc>
      </w:tr>
      <w:tr>
        <w:trPr>
          <w:trHeight w:val="182"/>
        </w:trPr>
        <w:tc>
          <w:tcPr>
            <w:tcW w:w="18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Common stock in private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Precedent</w:t>
            </w: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companies</w:t>
            </w:r>
          </w:p>
        </w:tc>
        <w:tc>
          <w:tcPr>
            <w:tcW w:w="1140" w:type="dxa"/>
            <w:vAlign w:val="bottom"/>
            <w:gridSpan w:val="4"/>
          </w:tcPr>
          <w:p>
            <w:pPr>
              <w:jc w:val="right"/>
              <w:ind w:right="8"/>
              <w:spacing w:after="0"/>
              <w:rPr>
                <w:sz w:val="20"/>
                <w:szCs w:val="20"/>
                <w:color w:val="auto"/>
              </w:rPr>
            </w:pPr>
            <w:r>
              <w:rPr>
                <w:rFonts w:ascii="Times New Roman" w:cs="Times New Roman" w:eastAsia="Times New Roman" w:hAnsi="Times New Roman"/>
                <w:sz w:val="16"/>
                <w:szCs w:val="16"/>
                <w:color w:val="auto"/>
              </w:rPr>
              <w:t>$ 84,436,041</w:t>
            </w: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Market approach</w:t>
            </w: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transactions</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Income approach</w:t>
            </w: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Revenue multiples</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1.3x – 3.0x(1.6x)</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EBIT multiples</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0.0x – 15.0x(7.5x)</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35.0% – 35.0%</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Discount rate</w:t>
            </w:r>
          </w:p>
        </w:tc>
        <w:tc>
          <w:tcPr>
            <w:tcW w:w="180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Liquidation Value</w:t>
            </w: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Liquidation Value</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Preferred stock in private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Precedent</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companies</w:t>
            </w:r>
          </w:p>
        </w:tc>
        <w:tc>
          <w:tcPr>
            <w:tcW w:w="1140" w:type="dxa"/>
            <w:vAlign w:val="bottom"/>
            <w:gridSpan w:val="4"/>
          </w:tcPr>
          <w:p>
            <w:pPr>
              <w:jc w:val="right"/>
              <w:ind w:right="8"/>
              <w:spacing w:after="0"/>
              <w:rPr>
                <w:sz w:val="20"/>
                <w:szCs w:val="20"/>
                <w:color w:val="auto"/>
              </w:rPr>
            </w:pPr>
            <w:r>
              <w:rPr>
                <w:rFonts w:ascii="Times New Roman" w:cs="Times New Roman" w:eastAsia="Times New Roman" w:hAnsi="Times New Roman"/>
                <w:sz w:val="16"/>
                <w:szCs w:val="16"/>
                <w:color w:val="auto"/>
              </w:rPr>
              <w:t>213,643,985</w:t>
            </w: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Market approach</w:t>
            </w: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transactions</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Income approach</w:t>
            </w: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Revenue multiples</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0.9x – 13.0x(5.0x)</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EBIT multiples</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10.0x – 32.0x(18.8x)</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Discount rate</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35.0% – 50.0%(39%)</w:t>
            </w: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Debt Investments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Precedent</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140" w:type="dxa"/>
            <w:vAlign w:val="bottom"/>
            <w:gridSpan w:val="4"/>
          </w:tcPr>
          <w:p>
            <w:pPr>
              <w:jc w:val="right"/>
              <w:ind w:right="8"/>
              <w:spacing w:after="0"/>
              <w:rPr>
                <w:sz w:val="20"/>
                <w:szCs w:val="20"/>
                <w:color w:val="auto"/>
              </w:rPr>
            </w:pPr>
            <w:r>
              <w:rPr>
                <w:rFonts w:ascii="Times New Roman" w:cs="Times New Roman" w:eastAsia="Times New Roman" w:hAnsi="Times New Roman"/>
                <w:sz w:val="16"/>
                <w:szCs w:val="16"/>
                <w:color w:val="auto"/>
              </w:rPr>
              <w:t>2,382,930</w:t>
            </w: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Market approach</w:t>
            </w: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transactions</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Warrants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Term to expiration</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140" w:type="dxa"/>
            <w:vAlign w:val="bottom"/>
            <w:gridSpan w:val="4"/>
          </w:tcPr>
          <w:p>
            <w:pPr>
              <w:jc w:val="right"/>
              <w:ind w:right="8"/>
              <w:spacing w:after="0"/>
              <w:rPr>
                <w:sz w:val="20"/>
                <w:szCs w:val="20"/>
                <w:color w:val="auto"/>
              </w:rPr>
            </w:pPr>
            <w:r>
              <w:rPr>
                <w:rFonts w:ascii="Times New Roman" w:cs="Times New Roman" w:eastAsia="Times New Roman" w:hAnsi="Times New Roman"/>
                <w:sz w:val="16"/>
                <w:szCs w:val="16"/>
                <w:color w:val="auto"/>
              </w:rPr>
              <w:t>743,775</w:t>
            </w: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Option pricing model</w:t>
            </w: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(Years)</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1.78 – 3.00(2.89)</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Strike price</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0.13 – 4.59(0.99)</w:t>
            </w:r>
          </w:p>
        </w:tc>
        <w:tc>
          <w:tcPr>
            <w:tcW w:w="0" w:type="dxa"/>
            <w:vAlign w:val="bottom"/>
          </w:tcPr>
          <w:p>
            <w:pPr>
              <w:spacing w:after="0"/>
              <w:rPr>
                <w:sz w:val="1"/>
                <w:szCs w:val="1"/>
                <w:color w:val="auto"/>
              </w:rPr>
            </w:pPr>
          </w:p>
        </w:tc>
      </w:tr>
      <w:tr>
        <w:trPr>
          <w:trHeight w:val="210"/>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Embedded Derivative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Binomial Lattice</w:t>
            </w:r>
          </w:p>
        </w:tc>
        <w:tc>
          <w:tcPr>
            <w:tcW w:w="1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Volatility</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30.0% – 50.0%(41%)</w:t>
            </w:r>
          </w:p>
        </w:tc>
        <w:tc>
          <w:tcPr>
            <w:tcW w:w="0" w:type="dxa"/>
            <w:vAlign w:val="bottom"/>
          </w:tcPr>
          <w:p>
            <w:pPr>
              <w:spacing w:after="0"/>
              <w:rPr>
                <w:sz w:val="1"/>
                <w:szCs w:val="1"/>
                <w:color w:val="auto"/>
              </w:rPr>
            </w:pPr>
          </w:p>
        </w:tc>
      </w:tr>
      <w:tr>
        <w:trPr>
          <w:trHeight w:val="195"/>
        </w:trPr>
        <w:tc>
          <w:tcPr>
            <w:tcW w:w="18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Model</w:t>
            </w: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Strike Price</w:t>
            </w:r>
          </w:p>
        </w:tc>
        <w:tc>
          <w:tcPr>
            <w:tcW w:w="180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16.26</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Volatility</w:t>
            </w:r>
          </w:p>
        </w:tc>
        <w:tc>
          <w:tcPr>
            <w:tcW w:w="180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Annual risk rate</w:t>
            </w:r>
          </w:p>
        </w:tc>
        <w:tc>
          <w:tcPr>
            <w:tcW w:w="180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303"/>
        </w:trPr>
        <w:tc>
          <w:tcPr>
            <w:tcW w:w="1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2014</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Asset (Liability)</w:t>
            </w: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5"/>
                <w:szCs w:val="15"/>
                <w:color w:val="auto"/>
              </w:rPr>
            </w:pPr>
          </w:p>
        </w:tc>
        <w:tc>
          <w:tcPr>
            <w:tcW w:w="1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Valuation Techniques</w:t>
            </w:r>
          </w:p>
        </w:tc>
        <w:tc>
          <w:tcPr>
            <w:tcW w:w="160" w:type="dxa"/>
            <w:vAlign w:val="bottom"/>
          </w:tcPr>
          <w:p>
            <w:pPr>
              <w:spacing w:after="0"/>
              <w:rPr>
                <w:sz w:val="15"/>
                <w:szCs w:val="15"/>
                <w:color w:val="auto"/>
              </w:rPr>
            </w:pPr>
          </w:p>
        </w:tc>
        <w:tc>
          <w:tcPr>
            <w:tcW w:w="1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6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Range (Average)</w:t>
            </w:r>
          </w:p>
        </w:tc>
        <w:tc>
          <w:tcPr>
            <w:tcW w:w="0" w:type="dxa"/>
            <w:vAlign w:val="bottom"/>
          </w:tcPr>
          <w:p>
            <w:pPr>
              <w:spacing w:after="0"/>
              <w:rPr>
                <w:sz w:val="1"/>
                <w:szCs w:val="1"/>
                <w:color w:val="auto"/>
              </w:rPr>
            </w:pPr>
          </w:p>
        </w:tc>
      </w:tr>
      <w:tr>
        <w:trPr>
          <w:trHeight w:val="182"/>
        </w:trPr>
        <w:tc>
          <w:tcPr>
            <w:tcW w:w="1840" w:type="dxa"/>
            <w:vAlign w:val="bottom"/>
          </w:tcPr>
          <w:p>
            <w:pPr>
              <w:jc w:val="center"/>
              <w:ind w:left="1"/>
              <w:spacing w:after="0" w:line="182" w:lineRule="exact"/>
              <w:rPr>
                <w:sz w:val="20"/>
                <w:szCs w:val="20"/>
                <w:color w:val="auto"/>
              </w:rPr>
            </w:pPr>
            <w:r>
              <w:rPr>
                <w:rFonts w:ascii="Times New Roman" w:cs="Times New Roman" w:eastAsia="Times New Roman" w:hAnsi="Times New Roman"/>
                <w:sz w:val="16"/>
                <w:szCs w:val="16"/>
                <w:color w:val="auto"/>
              </w:rPr>
              <w:t>Common stock in private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Precedent</w:t>
            </w: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companies</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$ 85,598,467</w:t>
            </w: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Market approach</w:t>
            </w: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transactions</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Income approach</w:t>
            </w: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Revenue multiples</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1.1x – 5.9x(3.0x)</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10.20x –</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EBIT multiples</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18.90x(16.70x)</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Discount rate</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30% – 40%(37%)</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Liquidation Value</w:t>
            </w: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Liquidation Value</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3"/>
        </w:trPr>
        <w:tc>
          <w:tcPr>
            <w:tcW w:w="184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rPr>
              <w:t>Preferred stock in private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Precedent</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companies</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193,847,045</w:t>
            </w: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Market approach</w:t>
            </w: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transactions</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Income approach</w:t>
            </w: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Revenue multiples</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1.5x – 5.3x(3.5x)</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EBIT multiples</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10.0x – 25.0x(18.1x)</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Discount rate</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 – 45%(40%)</w:t>
            </w: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Debt Investments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Precedent</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1,374,210</w:t>
            </w:r>
          </w:p>
        </w:tc>
        <w:tc>
          <w:tcPr>
            <w:tcW w:w="1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Market approach</w:t>
            </w:r>
          </w:p>
        </w:tc>
        <w:tc>
          <w:tcPr>
            <w:tcW w:w="1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transactions</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-2096770</wp:posOffset>
            </wp:positionV>
            <wp:extent cx="521398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31" w:name="page32"/>
    <w:bookmarkEnd w:id="31"/>
    <w:p>
      <w:pPr>
        <w:ind w:left="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March 31, 2015 (Unaudited)</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 INVESTMENTS AT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wp:posOffset>
            </wp:positionV>
            <wp:extent cx="518858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7620</wp:posOffset>
            </wp:positionV>
            <wp:extent cx="521398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60" w:type="dxa"/>
            <w:vAlign w:val="bottom"/>
            <w:gridSpan w:val="3"/>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Asset (Liability)</w:t>
            </w: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Techniques</w:t>
            </w:r>
          </w:p>
        </w:tc>
        <w:tc>
          <w:tcPr>
            <w:tcW w:w="16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60" w:type="dxa"/>
            <w:vAlign w:val="bottom"/>
          </w:tcPr>
          <w:p>
            <w:pPr>
              <w:spacing w:after="0"/>
              <w:rPr>
                <w:sz w:val="15"/>
                <w:szCs w:val="15"/>
                <w:color w:val="auto"/>
              </w:rPr>
            </w:pPr>
          </w:p>
        </w:tc>
        <w:tc>
          <w:tcPr>
            <w:tcW w:w="16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Range (Average)</w:t>
            </w:r>
          </w:p>
        </w:tc>
      </w:tr>
      <w:tr>
        <w:trPr>
          <w:trHeight w:val="182"/>
        </w:trPr>
        <w:tc>
          <w:tcPr>
            <w:tcW w:w="168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w w:val="98"/>
              </w:rPr>
              <w:t>Warrants</w:t>
            </w: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Term to expiration</w:t>
            </w:r>
          </w:p>
        </w:tc>
        <w:tc>
          <w:tcPr>
            <w:tcW w:w="160" w:type="dxa"/>
            <w:vAlign w:val="bottom"/>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r>
      <w:tr>
        <w:trPr>
          <w:trHeight w:val="203"/>
        </w:trPr>
        <w:tc>
          <w:tcPr>
            <w:tcW w:w="19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904,345</w:t>
            </w:r>
          </w:p>
        </w:tc>
        <w:tc>
          <w:tcPr>
            <w:tcW w:w="16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Option pricing model</w:t>
            </w: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(Years)</w:t>
            </w:r>
          </w:p>
        </w:tc>
        <w:tc>
          <w:tcPr>
            <w:tcW w:w="16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2.00 – 3.00(2.55)</w:t>
            </w:r>
          </w:p>
        </w:tc>
      </w:tr>
      <w:tr>
        <w:trPr>
          <w:trHeight w:val="203"/>
        </w:trPr>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Strike price</w:t>
            </w:r>
          </w:p>
        </w:tc>
        <w:tc>
          <w:tcPr>
            <w:tcW w:w="16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0.13 – 4.59(1.24)</w:t>
            </w:r>
          </w:p>
        </w:tc>
      </w:tr>
      <w:tr>
        <w:trPr>
          <w:trHeight w:val="203"/>
        </w:trPr>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Volatility</w:t>
            </w:r>
          </w:p>
        </w:tc>
        <w:tc>
          <w:tcPr>
            <w:tcW w:w="16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30% – 50%(38%)</w:t>
            </w:r>
          </w:p>
        </w:tc>
      </w:tr>
      <w:tr>
        <w:trPr>
          <w:trHeight w:val="203"/>
        </w:trPr>
        <w:tc>
          <w:tcPr>
            <w:tcW w:w="19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color w:val="auto"/>
              </w:rPr>
              <w:t>Embedded Derivative</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Binomial Lattice Model</w:t>
            </w: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Strike Price</w:t>
            </w:r>
          </w:p>
        </w:tc>
        <w:tc>
          <w:tcPr>
            <w:tcW w:w="184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9"/>
              </w:rPr>
              <w:t>16.26</w:t>
            </w:r>
          </w:p>
        </w:tc>
      </w:tr>
      <w:tr>
        <w:trPr>
          <w:trHeight w:val="203"/>
        </w:trPr>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Volatility</w:t>
            </w:r>
          </w:p>
        </w:tc>
        <w:tc>
          <w:tcPr>
            <w:tcW w:w="184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50%</w:t>
            </w:r>
          </w:p>
        </w:tc>
      </w:tr>
      <w:tr>
        <w:trPr>
          <w:trHeight w:val="210"/>
        </w:trPr>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Annual risk rate</w:t>
            </w:r>
          </w:p>
        </w:tc>
        <w:tc>
          <w:tcPr>
            <w:tcW w:w="184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12.5%</w:t>
            </w:r>
          </w:p>
        </w:tc>
      </w:tr>
    </w:tbl>
    <w:p>
      <w:pPr>
        <w:spacing w:after="0" w:line="96" w:lineRule="exact"/>
        <w:rPr>
          <w:sz w:val="20"/>
          <w:szCs w:val="20"/>
          <w:color w:val="auto"/>
        </w:rPr>
      </w:pPr>
    </w:p>
    <w:p>
      <w:pPr>
        <w:jc w:val="both"/>
        <w:ind w:left="60" w:right="519" w:firstLine="270"/>
        <w:spacing w:after="0" w:line="261" w:lineRule="auto"/>
        <w:rPr>
          <w:sz w:val="20"/>
          <w:szCs w:val="20"/>
          <w:color w:val="auto"/>
        </w:rPr>
      </w:pPr>
      <w:r>
        <w:rPr>
          <w:rFonts w:ascii="Times New Roman" w:cs="Times New Roman" w:eastAsia="Times New Roman" w:hAnsi="Times New Roman"/>
          <w:sz w:val="18"/>
          <w:szCs w:val="18"/>
          <w:color w:val="auto"/>
        </w:rPr>
        <w:t>The significant unobservable inputs used in determining the fair value of the assets and liabilities are shown above. Increases (decreases) in revenue multiples, EBIT multiples, time to expiration, and stock price/strike price would result in higher (lower) fair values all else equal. Decreases (increases) in discount rates, volatility, and annual risk rates, would result in higher (lower) fair values all else equal.</w:t>
      </w:r>
    </w:p>
    <w:p>
      <w:pPr>
        <w:spacing w:after="0" w:line="72" w:lineRule="exact"/>
        <w:rPr>
          <w:sz w:val="20"/>
          <w:szCs w:val="20"/>
          <w:color w:val="auto"/>
        </w:rPr>
      </w:pPr>
    </w:p>
    <w:p>
      <w:pPr>
        <w:jc w:val="both"/>
        <w:ind w:left="60" w:right="519" w:firstLine="270"/>
        <w:spacing w:after="0" w:line="256" w:lineRule="auto"/>
        <w:rPr>
          <w:sz w:val="20"/>
          <w:szCs w:val="20"/>
          <w:color w:val="auto"/>
        </w:rPr>
      </w:pPr>
      <w:r>
        <w:rPr>
          <w:rFonts w:ascii="Times New Roman" w:cs="Times New Roman" w:eastAsia="Times New Roman" w:hAnsi="Times New Roman"/>
          <w:sz w:val="18"/>
          <w:szCs w:val="18"/>
          <w:color w:val="auto"/>
        </w:rPr>
        <w:t>The Company applied the binomial lattice model to value the embedded derivative using a “with-and-without method,” where the value of the Convertible Senior Notes including the embedded derivative, is defined as the “with”, and the value of the Convertible Senior Notes excluding the embedded derivative, is defined as the “without”. This method estimates the value of the embedded derivative by looking at the difference in the values between the Convertible Senior Notes with the embedded derivative and the value of the Convertible Senior Notes without the embedded derivative. The lattice model requires the following inputs: (i) strike price; (ii) estimated stock volatility; and (iii) annual risk rate.</w:t>
      </w:r>
    </w:p>
    <w:p>
      <w:pPr>
        <w:spacing w:after="0" w:line="80" w:lineRule="exact"/>
        <w:rPr>
          <w:sz w:val="20"/>
          <w:szCs w:val="20"/>
          <w:color w:val="auto"/>
        </w:rPr>
      </w:pPr>
    </w:p>
    <w:p>
      <w:pPr>
        <w:jc w:val="both"/>
        <w:ind w:left="60" w:right="519" w:firstLine="270"/>
        <w:spacing w:after="0" w:line="282" w:lineRule="auto"/>
        <w:rPr>
          <w:sz w:val="20"/>
          <w:szCs w:val="20"/>
          <w:color w:val="auto"/>
        </w:rPr>
      </w:pPr>
      <w:r>
        <w:rPr>
          <w:rFonts w:ascii="Times New Roman" w:cs="Times New Roman" w:eastAsia="Times New Roman" w:hAnsi="Times New Roman"/>
          <w:sz w:val="18"/>
          <w:szCs w:val="18"/>
          <w:color w:val="auto"/>
        </w:rPr>
        <w:t>The aggregate values of Level 3 portfolio investments and embedded derivative changed during the three months ended March 31, 2015 and March 31, 2014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-13335</wp:posOffset>
            </wp:positionV>
            <wp:extent cx="521398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11"/>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March 31, 2015 (Unaudited)</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69"/>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189"/>
              <w:spacing w:after="0" w:line="118" w:lineRule="exact"/>
              <w:rPr>
                <w:sz w:val="20"/>
                <w:szCs w:val="20"/>
                <w:color w:val="auto"/>
              </w:rPr>
            </w:pPr>
            <w:r>
              <w:rPr>
                <w:rFonts w:ascii="Times New Roman" w:cs="Times New Roman" w:eastAsia="Times New Roman" w:hAnsi="Times New Roman"/>
                <w:sz w:val="13"/>
                <w:szCs w:val="13"/>
                <w:b w:val="1"/>
                <w:bCs w:val="1"/>
                <w:color w:val="auto"/>
              </w:rPr>
              <w:t>Debt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40" w:type="dxa"/>
            <w:vAlign w:val="bottom"/>
          </w:tcPr>
          <w:p>
            <w:pPr>
              <w:spacing w:after="0"/>
              <w:rPr>
                <w:sz w:val="10"/>
                <w:szCs w:val="10"/>
                <w:color w:val="auto"/>
              </w:rPr>
            </w:pPr>
          </w:p>
        </w:tc>
        <w:tc>
          <w:tcPr>
            <w:tcW w:w="720" w:type="dxa"/>
            <w:vAlign w:val="bottom"/>
            <w:gridSpan w:val="2"/>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Embedded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Fair value as of December 31, 2014</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85,598,467</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193,847,045</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1,374,210</w:t>
            </w:r>
          </w:p>
        </w:tc>
        <w:tc>
          <w:tcPr>
            <w:tcW w:w="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904,345</w:t>
            </w:r>
          </w:p>
        </w:tc>
        <w:tc>
          <w:tcPr>
            <w:tcW w:w="1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281,724,067</w:t>
            </w:r>
          </w:p>
        </w:tc>
        <w:tc>
          <w:tcPr>
            <w:tcW w:w="0" w:type="dxa"/>
            <w:vAlign w:val="bottom"/>
          </w:tcPr>
          <w:p>
            <w:pPr>
              <w:spacing w:after="0"/>
              <w:rPr>
                <w:sz w:val="1"/>
                <w:szCs w:val="1"/>
                <w:color w:val="auto"/>
              </w:rPr>
            </w:pPr>
          </w:p>
        </w:tc>
      </w:tr>
      <w:tr>
        <w:trPr>
          <w:trHeight w:val="149"/>
        </w:trPr>
        <w:tc>
          <w:tcPr>
            <w:tcW w:w="28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investments</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8,016,099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972,746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8,990,125</w:t>
            </w:r>
          </w:p>
        </w:tc>
        <w:tc>
          <w:tcPr>
            <w:tcW w:w="0" w:type="dxa"/>
            <w:vAlign w:val="bottom"/>
          </w:tcPr>
          <w:p>
            <w:pPr>
              <w:spacing w:after="0"/>
              <w:rPr>
                <w:sz w:val="1"/>
                <w:szCs w:val="1"/>
                <w:color w:val="auto"/>
              </w:rPr>
            </w:pPr>
          </w:p>
        </w:tc>
      </w:tr>
      <w:tr>
        <w:trPr>
          <w:trHeight w:val="126"/>
        </w:trPr>
        <w:tc>
          <w:tcPr>
            <w:tcW w:w="280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Net change in unrealized appreciation</w:t>
            </w: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(1,163,706)</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11,780,841</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35,974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(160,570)</w:t>
            </w:r>
          </w:p>
        </w:tc>
        <w:tc>
          <w:tcPr>
            <w:tcW w:w="140" w:type="dxa"/>
            <w:vAlign w:val="bottom"/>
            <w:tcBorders>
              <w:right w:val="single" w:sz="8" w:color="CCEEFF"/>
            </w:tcBorders>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10,492,539</w:t>
            </w:r>
          </w:p>
        </w:tc>
        <w:tc>
          <w:tcPr>
            <w:tcW w:w="0" w:type="dxa"/>
            <w:vAlign w:val="bottom"/>
          </w:tcPr>
          <w:p>
            <w:pPr>
              <w:spacing w:after="0"/>
              <w:rPr>
                <w:sz w:val="1"/>
                <w:szCs w:val="1"/>
                <w:color w:val="auto"/>
              </w:rPr>
            </w:pPr>
          </w:p>
        </w:tc>
      </w:tr>
      <w:tr>
        <w:trPr>
          <w:trHeight w:val="171"/>
        </w:trPr>
        <w:tc>
          <w:tcPr>
            <w:tcW w:w="2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(depreciation) included in earnings</w:t>
            </w: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Fair Value as of March 31, 2015</w:t>
            </w: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84,436,041</w:t>
            </w:r>
          </w:p>
        </w:tc>
        <w:tc>
          <w:tcPr>
            <w:tcW w:w="80" w:type="dxa"/>
            <w:vAlign w:val="bottom"/>
          </w:tcPr>
          <w:p>
            <w:pPr>
              <w:spacing w:after="0"/>
              <w:rPr>
                <w:sz w:val="12"/>
                <w:szCs w:val="12"/>
                <w:color w:val="auto"/>
              </w:rPr>
            </w:pPr>
          </w:p>
        </w:tc>
        <w:tc>
          <w:tcPr>
            <w:tcW w:w="1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213,643,985</w:t>
            </w: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2,382,930</w:t>
            </w:r>
          </w:p>
        </w:tc>
        <w:tc>
          <w:tcPr>
            <w:tcW w:w="1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743,775</w:t>
            </w: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u w:val="single" w:color="auto"/>
                <w:color w:val="auto"/>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301,206,731</w:t>
            </w: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2800" w:type="dxa"/>
            <w:vAlign w:val="bottom"/>
            <w:shd w:val="clear" w:color="auto" w:fill="CCEEFF"/>
          </w:tcPr>
          <w:p>
            <w:pPr>
              <w:ind w:left="20"/>
              <w:spacing w:after="0" w:line="119" w:lineRule="exact"/>
              <w:rPr>
                <w:sz w:val="20"/>
                <w:szCs w:val="20"/>
                <w:color w:val="auto"/>
              </w:rPr>
            </w:pPr>
            <w:r>
              <w:rPr>
                <w:rFonts w:ascii="Times New Roman" w:cs="Times New Roman" w:eastAsia="Times New Roman" w:hAnsi="Times New Roman"/>
                <w:sz w:val="13"/>
                <w:szCs w:val="13"/>
                <w:color w:val="auto"/>
              </w:rPr>
              <w:t>Net change in unrealized appreciation</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on Level 3 investments still</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(1,163,706)</w:t>
            </w: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11,780,841</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35,974</w:t>
            </w: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(160,570)</w:t>
            </w: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10,492,539</w:t>
            </w:r>
          </w:p>
        </w:tc>
        <w:tc>
          <w:tcPr>
            <w:tcW w:w="0" w:type="dxa"/>
            <w:vAlign w:val="bottom"/>
          </w:tcPr>
          <w:p>
            <w:pPr>
              <w:spacing w:after="0"/>
              <w:rPr>
                <w:sz w:val="1"/>
                <w:szCs w:val="1"/>
                <w:color w:val="auto"/>
              </w:rPr>
            </w:pPr>
          </w:p>
        </w:tc>
      </w:tr>
      <w:tr>
        <w:trPr>
          <w:trHeight w:val="212"/>
        </w:trPr>
        <w:tc>
          <w:tcPr>
            <w:tcW w:w="2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held as of March 31, 2015</w:t>
            </w:r>
          </w:p>
        </w:tc>
        <w:tc>
          <w:tcPr>
            <w:tcW w:w="80" w:type="dxa"/>
            <w:vAlign w:val="bottom"/>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80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68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40" w:type="dxa"/>
            <w:vAlign w:val="bottom"/>
            <w:tcBorders>
              <w:right w:val="single" w:sz="8" w:color="CCEEFF"/>
            </w:tcBorders>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780" w:type="dxa"/>
            <w:vAlign w:val="bottom"/>
            <w:tcBorders>
              <w:right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800" w:type="dxa"/>
            <w:vAlign w:val="bottom"/>
            <w:tcBorders>
              <w:top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Fair Value of December 31, 2014</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28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Fair Value as of March 31, 2015</w:t>
            </w: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1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-779780</wp:posOffset>
            </wp:positionV>
            <wp:extent cx="5213985"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-359410</wp:posOffset>
            </wp:positionV>
            <wp:extent cx="5213985"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-136525</wp:posOffset>
            </wp:positionV>
            <wp:extent cx="5213985"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32" w:name="page33"/>
    <w:bookmarkEnd w:id="32"/>
    <w:p>
      <w:pPr>
        <w:ind w:left="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March 31, 2015 (Unaudited)</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 INVESTMENTS AT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518858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300" w:type="dxa"/>
            <w:vAlign w:val="bottom"/>
            <w:tcBorders>
              <w:bottom w:val="single" w:sz="8" w:color="auto"/>
            </w:tcBorders>
            <w:gridSpan w:val="1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March 31, 2014 (Unaudited)</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100" w:type="dxa"/>
            <w:vAlign w:val="bottom"/>
          </w:tcPr>
          <w:p>
            <w:pPr>
              <w:spacing w:after="0"/>
              <w:rPr>
                <w:sz w:val="10"/>
                <w:szCs w:val="10"/>
                <w:color w:val="auto"/>
              </w:rPr>
            </w:pPr>
          </w:p>
        </w:tc>
        <w:tc>
          <w:tcPr>
            <w:tcW w:w="7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Debt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Embedded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Membership</w:t>
            </w: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7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2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Fair value as of December 31,</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81,410,161</w:t>
            </w:r>
          </w:p>
        </w:tc>
        <w:tc>
          <w:tcPr>
            <w:tcW w:w="140" w:type="dxa"/>
            <w:vAlign w:val="bottom"/>
            <w:tcBorders>
              <w:right w:val="single" w:sz="8" w:color="CCEEFF"/>
            </w:tcBorders>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129,925,500</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557,084</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750,000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489,657</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213,132,402</w:t>
            </w:r>
          </w:p>
        </w:tc>
        <w:tc>
          <w:tcPr>
            <w:tcW w:w="0" w:type="dxa"/>
            <w:vAlign w:val="bottom"/>
          </w:tcPr>
          <w:p>
            <w:pPr>
              <w:spacing w:after="0"/>
              <w:rPr>
                <w:sz w:val="1"/>
                <w:szCs w:val="1"/>
                <w:color w:val="auto"/>
              </w:rPr>
            </w:pPr>
          </w:p>
        </w:tc>
      </w:tr>
      <w:tr>
        <w:trPr>
          <w:trHeight w:val="171"/>
        </w:trPr>
        <w:tc>
          <w:tcPr>
            <w:tcW w:w="1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78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76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investments</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1,740,563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18,585,939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1,614,275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21,940,777</w:t>
            </w:r>
          </w:p>
        </w:tc>
        <w:tc>
          <w:tcPr>
            <w:tcW w:w="0" w:type="dxa"/>
            <w:vAlign w:val="bottom"/>
          </w:tcPr>
          <w:p>
            <w:pPr>
              <w:spacing w:after="0"/>
              <w:rPr>
                <w:sz w:val="1"/>
                <w:szCs w:val="1"/>
                <w:color w:val="auto"/>
              </w:rPr>
            </w:pPr>
          </w:p>
        </w:tc>
      </w:tr>
      <w:tr>
        <w:trPr>
          <w:trHeight w:val="138"/>
        </w:trPr>
        <w:tc>
          <w:tcPr>
            <w:tcW w:w="192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Exercises, conversions and</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920" w:type="dxa"/>
            <w:vAlign w:val="bottom"/>
            <w:shd w:val="clear" w:color="auto" w:fill="CCEEFF"/>
          </w:tcPr>
          <w:p>
            <w:pPr>
              <w:ind w:left="200"/>
              <w:spacing w:after="0" w:line="200" w:lineRule="exact"/>
              <w:rPr>
                <w:sz w:val="20"/>
                <w:szCs w:val="20"/>
                <w:color w:val="auto"/>
              </w:rPr>
            </w:pPr>
            <w:r>
              <w:rPr>
                <w:rFonts w:ascii="Times New Roman" w:cs="Times New Roman" w:eastAsia="Times New Roman" w:hAnsi="Times New Roman"/>
                <w:sz w:val="14"/>
                <w:szCs w:val="14"/>
                <w:color w:val="auto"/>
              </w:rPr>
              <w:t>assignments – In</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1,273,125</w:t>
            </w: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1,273,125</w:t>
            </w:r>
          </w:p>
        </w:tc>
        <w:tc>
          <w:tcPr>
            <w:tcW w:w="0" w:type="dxa"/>
            <w:vAlign w:val="bottom"/>
          </w:tcPr>
          <w:p>
            <w:pPr>
              <w:spacing w:after="0"/>
              <w:rPr>
                <w:sz w:val="1"/>
                <w:szCs w:val="1"/>
                <w:color w:val="auto"/>
              </w:rPr>
            </w:pPr>
          </w:p>
        </w:tc>
      </w:tr>
      <w:tr>
        <w:trPr>
          <w:trHeight w:val="138"/>
        </w:trPr>
        <w:tc>
          <w:tcPr>
            <w:tcW w:w="192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Exercises, conversions and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920" w:type="dxa"/>
            <w:vAlign w:val="bottom"/>
          </w:tcPr>
          <w:p>
            <w:pPr>
              <w:ind w:left="200"/>
              <w:spacing w:after="0" w:line="200" w:lineRule="exact"/>
              <w:rPr>
                <w:sz w:val="20"/>
                <w:szCs w:val="20"/>
                <w:color w:val="auto"/>
              </w:rPr>
            </w:pPr>
            <w:r>
              <w:rPr>
                <w:rFonts w:ascii="Times New Roman" w:cs="Times New Roman" w:eastAsia="Times New Roman" w:hAnsi="Times New Roman"/>
                <w:sz w:val="14"/>
                <w:szCs w:val="14"/>
                <w:color w:val="auto"/>
              </w:rPr>
              <w:t>assignments – Out</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(1,273,125)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(1,273,125)</w:t>
            </w:r>
          </w:p>
        </w:tc>
        <w:tc>
          <w:tcPr>
            <w:tcW w:w="0" w:type="dxa"/>
            <w:vAlign w:val="bottom"/>
          </w:tcPr>
          <w:p>
            <w:pPr>
              <w:spacing w:after="0"/>
              <w:rPr>
                <w:sz w:val="1"/>
                <w:szCs w:val="1"/>
                <w:color w:val="auto"/>
              </w:rPr>
            </w:pPr>
          </w:p>
        </w:tc>
      </w:tr>
      <w:tr>
        <w:trPr>
          <w:trHeight w:val="126"/>
        </w:trPr>
        <w:tc>
          <w:tcPr>
            <w:tcW w:w="192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Net change in unrealized</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appreciation (depreciation)</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20,602,350</w:t>
            </w: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2,303,609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65,493</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(16,037)</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22,955,044</w:t>
            </w:r>
          </w:p>
        </w:tc>
        <w:tc>
          <w:tcPr>
            <w:tcW w:w="0" w:type="dxa"/>
            <w:vAlign w:val="bottom"/>
          </w:tcPr>
          <w:p>
            <w:pPr>
              <w:spacing w:after="0"/>
              <w:rPr>
                <w:sz w:val="1"/>
                <w:szCs w:val="1"/>
                <w:color w:val="auto"/>
              </w:rPr>
            </w:pPr>
          </w:p>
        </w:tc>
      </w:tr>
      <w:tr>
        <w:trPr>
          <w:trHeight w:val="171"/>
        </w:trPr>
        <w:tc>
          <w:tcPr>
            <w:tcW w:w="1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included in earnings</w:t>
            </w:r>
          </w:p>
        </w:tc>
        <w:tc>
          <w:tcPr>
            <w:tcW w:w="1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Transfers Out of Level 3</w:t>
            </w: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9"/>
              </w:rPr>
              <w:t>(14,856,213)</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(14,856,213)</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Fair Value as of March 31, 2014</w:t>
            </w: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90,169,986</w:t>
            </w: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82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149,541,923</w:t>
            </w:r>
          </w:p>
        </w:tc>
        <w:tc>
          <w:tcPr>
            <w:tcW w:w="1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622,577</w:t>
            </w: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2,363,904</w:t>
            </w:r>
          </w:p>
        </w:tc>
        <w:tc>
          <w:tcPr>
            <w:tcW w:w="1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CEEFF"/>
            </w:tcBorders>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473,620</w:t>
            </w: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u w:val="single" w:color="auto"/>
                <w:color w:val="auto"/>
              </w:rPr>
              <w:t>$</w:t>
            </w:r>
          </w:p>
        </w:tc>
        <w:tc>
          <w:tcPr>
            <w:tcW w:w="82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243,172,010</w:t>
            </w:r>
          </w:p>
        </w:tc>
        <w:tc>
          <w:tcPr>
            <w:tcW w:w="0" w:type="dxa"/>
            <w:vAlign w:val="bottom"/>
          </w:tcPr>
          <w:p>
            <w:pPr>
              <w:spacing w:after="0"/>
              <w:rPr>
                <w:sz w:val="1"/>
                <w:szCs w:val="1"/>
                <w:color w:val="auto"/>
              </w:rPr>
            </w:pPr>
          </w:p>
        </w:tc>
      </w:tr>
      <w:tr>
        <w:trPr>
          <w:trHeight w:val="119"/>
        </w:trPr>
        <w:tc>
          <w:tcPr>
            <w:tcW w:w="1920" w:type="dxa"/>
            <w:vAlign w:val="bottom"/>
            <w:tcBorders>
              <w:top w:val="single" w:sz="8" w:color="CCEEFF"/>
            </w:tcBorders>
          </w:tcPr>
          <w:p>
            <w:pPr>
              <w:ind w:left="20"/>
              <w:spacing w:after="0" w:line="119" w:lineRule="exact"/>
              <w:rPr>
                <w:sz w:val="20"/>
                <w:szCs w:val="20"/>
                <w:color w:val="auto"/>
              </w:rPr>
            </w:pPr>
            <w:r>
              <w:rPr>
                <w:rFonts w:ascii="Times New Roman" w:cs="Times New Roman" w:eastAsia="Times New Roman" w:hAnsi="Times New Roman"/>
                <w:sz w:val="13"/>
                <w:szCs w:val="13"/>
                <w:color w:val="auto"/>
              </w:rPr>
              <w:t>Net change in unrealized</w:t>
            </w: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appreciation (depreciation)</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on Level 3 investments still</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15,621,343</w:t>
            </w:r>
          </w:p>
        </w:tc>
        <w:tc>
          <w:tcPr>
            <w:tcW w:w="14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3,739,112</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65,493</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(371)</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(16,037)</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19,409,540</w:t>
            </w:r>
          </w:p>
        </w:tc>
        <w:tc>
          <w:tcPr>
            <w:tcW w:w="0" w:type="dxa"/>
            <w:vAlign w:val="bottom"/>
          </w:tcPr>
          <w:p>
            <w:pPr>
              <w:spacing w:after="0"/>
              <w:rPr>
                <w:sz w:val="1"/>
                <w:szCs w:val="1"/>
                <w:color w:val="auto"/>
              </w:rPr>
            </w:pPr>
          </w:p>
        </w:tc>
      </w:tr>
      <w:tr>
        <w:trPr>
          <w:trHeight w:val="171"/>
        </w:trPr>
        <w:tc>
          <w:tcPr>
            <w:tcW w:w="1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held as of March 31, 2014</w:t>
            </w:r>
          </w:p>
        </w:tc>
        <w:tc>
          <w:tcPr>
            <w:tcW w:w="1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19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Fair Value of December 31,</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799,000</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799,000</w:t>
            </w:r>
          </w:p>
        </w:tc>
        <w:tc>
          <w:tcPr>
            <w:tcW w:w="0" w:type="dxa"/>
            <w:vAlign w:val="bottom"/>
          </w:tcPr>
          <w:p>
            <w:pPr>
              <w:spacing w:after="0"/>
              <w:rPr>
                <w:sz w:val="1"/>
                <w:szCs w:val="1"/>
                <w:color w:val="auto"/>
              </w:rPr>
            </w:pPr>
          </w:p>
        </w:tc>
      </w:tr>
      <w:tr>
        <w:trPr>
          <w:trHeight w:val="171"/>
        </w:trPr>
        <w:tc>
          <w:tcPr>
            <w:tcW w:w="1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2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Gain on fair value adjustment</w:t>
            </w:r>
          </w:p>
        </w:tc>
        <w:tc>
          <w:tcPr>
            <w:tcW w:w="1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vMerge w:val="restart"/>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(620,000)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(620,000)</w:t>
            </w:r>
          </w:p>
        </w:tc>
        <w:tc>
          <w:tcPr>
            <w:tcW w:w="0" w:type="dxa"/>
            <w:vAlign w:val="bottom"/>
          </w:tcPr>
          <w:p>
            <w:pPr>
              <w:spacing w:after="0"/>
              <w:rPr>
                <w:sz w:val="1"/>
                <w:szCs w:val="1"/>
                <w:color w:val="auto"/>
              </w:rPr>
            </w:pPr>
          </w:p>
        </w:tc>
      </w:tr>
      <w:tr>
        <w:trPr>
          <w:trHeight w:val="171"/>
        </w:trPr>
        <w:tc>
          <w:tcPr>
            <w:tcW w:w="1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for embedded derivative</w:t>
            </w:r>
          </w:p>
        </w:tc>
        <w:tc>
          <w:tcPr>
            <w:tcW w:w="1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highlight w:val="white"/>
              </w:rPr>
              <w:t>Fair Value as of March 31, 2014</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179,000</w:t>
            </w:r>
          </w:p>
        </w:tc>
        <w:tc>
          <w:tcPr>
            <w:tcW w:w="1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179,000</w:t>
            </w:r>
          </w:p>
        </w:tc>
        <w:tc>
          <w:tcPr>
            <w:tcW w:w="0" w:type="dxa"/>
            <w:vAlign w:val="bottom"/>
          </w:tcPr>
          <w:p>
            <w:pPr>
              <w:spacing w:after="0"/>
              <w:rPr>
                <w:sz w:val="1"/>
                <w:szCs w:val="1"/>
                <w:color w:val="auto"/>
              </w:rPr>
            </w:pPr>
          </w:p>
        </w:tc>
      </w:tr>
      <w:tr>
        <w:trPr>
          <w:trHeight w:val="21"/>
        </w:trPr>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-1054100</wp:posOffset>
            </wp:positionV>
            <wp:extent cx="5213985" cy="4457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213985" cy="445770"/>
                    </a:xfrm>
                    <a:prstGeom prst="rect">
                      <a:avLst/>
                    </a:prstGeom>
                    <a:noFill/>
                  </pic:spPr>
                </pic:pic>
              </a:graphicData>
            </a:graphic>
          </wp:anchor>
        </w:drawing>
        <w:drawing>
          <wp:anchor simplePos="0" relativeHeight="251657728" behindDoc="1" locked="0" layoutInCell="0" allowOverlap="1">
            <wp:simplePos x="0" y="0"/>
            <wp:positionH relativeFrom="column">
              <wp:posOffset>1189355</wp:posOffset>
            </wp:positionH>
            <wp:positionV relativeFrom="paragraph">
              <wp:posOffset>-136525</wp:posOffset>
            </wp:positionV>
            <wp:extent cx="342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-136525</wp:posOffset>
            </wp:positionV>
            <wp:extent cx="9461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2330450</wp:posOffset>
            </wp:positionH>
            <wp:positionV relativeFrom="paragraph">
              <wp:posOffset>-136525</wp:posOffset>
            </wp:positionV>
            <wp:extent cx="1028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-136525</wp:posOffset>
            </wp:positionV>
            <wp:extent cx="857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3444875</wp:posOffset>
            </wp:positionH>
            <wp:positionV relativeFrom="paragraph">
              <wp:posOffset>-136525</wp:posOffset>
            </wp:positionV>
            <wp:extent cx="12001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3985260</wp:posOffset>
            </wp:positionH>
            <wp:positionV relativeFrom="paragraph">
              <wp:posOffset>-136525</wp:posOffset>
            </wp:positionV>
            <wp:extent cx="12001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-136525</wp:posOffset>
            </wp:positionV>
            <wp:extent cx="12001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5160010</wp:posOffset>
            </wp:positionH>
            <wp:positionV relativeFrom="paragraph">
              <wp:posOffset>-136525</wp:posOffset>
            </wp:positionV>
            <wp:extent cx="603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jc w:val="both"/>
        <w:ind w:left="60" w:right="539" w:firstLine="27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2014, the following transfers between levels occurred as a result of the IPO’s of several portfolio companies, as well as the expiration of lock-up agreements described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wp:posOffset>
            </wp:positionV>
            <wp:extent cx="521398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80" w:type="dxa"/>
            <w:vAlign w:val="bottom"/>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Corporate Action</w:t>
            </w:r>
          </w:p>
        </w:tc>
        <w:tc>
          <w:tcPr>
            <w:tcW w:w="1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IPO/Lock-up</w:t>
            </w:r>
          </w:p>
        </w:tc>
        <w:tc>
          <w:tcPr>
            <w:tcW w:w="100" w:type="dxa"/>
            <w:vAlign w:val="bottom"/>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Transfer from</w:t>
            </w:r>
          </w:p>
        </w:tc>
        <w:tc>
          <w:tcPr>
            <w:tcW w:w="10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0" w:type="dxa"/>
            <w:vAlign w:val="bottom"/>
          </w:tcPr>
          <w:p>
            <w:pPr>
              <w:spacing w:after="0"/>
              <w:rPr>
                <w:sz w:val="1"/>
                <w:szCs w:val="1"/>
                <w:color w:val="auto"/>
              </w:rPr>
            </w:pPr>
          </w:p>
        </w:tc>
      </w:tr>
      <w:tr>
        <w:trPr>
          <w:trHeight w:val="173"/>
        </w:trPr>
        <w:tc>
          <w:tcPr>
            <w:tcW w:w="19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00" w:type="dxa"/>
            <w:vAlign w:val="bottom"/>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Method</w:t>
            </w:r>
          </w:p>
        </w:tc>
        <w:tc>
          <w:tcPr>
            <w:tcW w:w="0" w:type="dxa"/>
            <w:vAlign w:val="bottom"/>
          </w:tcPr>
          <w:p>
            <w:pPr>
              <w:spacing w:after="0"/>
              <w:rPr>
                <w:sz w:val="1"/>
                <w:szCs w:val="1"/>
                <w:color w:val="auto"/>
              </w:rPr>
            </w:pPr>
          </w:p>
        </w:tc>
      </w:tr>
      <w:tr>
        <w:trPr>
          <w:trHeight w:val="191"/>
        </w:trPr>
        <w:tc>
          <w:tcPr>
            <w:tcW w:w="19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Control4 Corporation</w:t>
            </w:r>
          </w:p>
        </w:tc>
        <w:tc>
          <w:tcPr>
            <w:tcW w:w="80" w:type="dxa"/>
            <w:vAlign w:val="bottom"/>
          </w:tcPr>
          <w:p>
            <w:pPr>
              <w:spacing w:after="0"/>
              <w:rPr>
                <w:sz w:val="16"/>
                <w:szCs w:val="16"/>
                <w:color w:val="auto"/>
              </w:rPr>
            </w:pPr>
          </w:p>
        </w:tc>
        <w:tc>
          <w:tcPr>
            <w:tcW w:w="1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Lock-up Expiration</w:t>
            </w:r>
          </w:p>
        </w:tc>
        <w:tc>
          <w:tcPr>
            <w:tcW w:w="100" w:type="dxa"/>
            <w:vAlign w:val="bottom"/>
          </w:tcPr>
          <w:p>
            <w:pPr>
              <w:spacing w:after="0"/>
              <w:rPr>
                <w:sz w:val="16"/>
                <w:szCs w:val="16"/>
                <w:color w:val="auto"/>
              </w:rPr>
            </w:pPr>
          </w:p>
        </w:tc>
        <w:tc>
          <w:tcPr>
            <w:tcW w:w="1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1/29/2014</w:t>
            </w:r>
          </w:p>
        </w:tc>
        <w:tc>
          <w:tcPr>
            <w:tcW w:w="100" w:type="dxa"/>
            <w:vAlign w:val="bottom"/>
          </w:tcPr>
          <w:p>
            <w:pPr>
              <w:spacing w:after="0"/>
              <w:rPr>
                <w:sz w:val="16"/>
                <w:szCs w:val="16"/>
                <w:color w:val="auto"/>
              </w:rPr>
            </w:pPr>
          </w:p>
        </w:tc>
        <w:tc>
          <w:tcPr>
            <w:tcW w:w="1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Level 2 to Level 1</w:t>
            </w:r>
          </w:p>
        </w:tc>
        <w:tc>
          <w:tcPr>
            <w:tcW w:w="100" w:type="dxa"/>
            <w:vAlign w:val="bottom"/>
          </w:tcPr>
          <w:p>
            <w:pPr>
              <w:spacing w:after="0"/>
              <w:rPr>
                <w:sz w:val="16"/>
                <w:szCs w:val="16"/>
                <w:color w:val="auto"/>
              </w:rPr>
            </w:pPr>
          </w:p>
        </w:tc>
        <w:tc>
          <w:tcPr>
            <w:tcW w:w="16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Exchange Traded</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Price, 0% DLOM</w:t>
            </w: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Violin Memory, Inc.</w:t>
            </w:r>
          </w:p>
        </w:tc>
        <w:tc>
          <w:tcPr>
            <w:tcW w:w="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Lock-up Expiration</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3/26/2014</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 to Level 1</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Exchange Traded</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Price, 0% DLOM</w:t>
            </w:r>
          </w:p>
        </w:tc>
        <w:tc>
          <w:tcPr>
            <w:tcW w:w="0" w:type="dxa"/>
            <w:vAlign w:val="bottom"/>
          </w:tcPr>
          <w:p>
            <w:pPr>
              <w:spacing w:after="0"/>
              <w:rPr>
                <w:sz w:val="1"/>
                <w:szCs w:val="1"/>
                <w:color w:val="auto"/>
              </w:rPr>
            </w:pPr>
          </w:p>
        </w:tc>
      </w:tr>
      <w:tr>
        <w:trPr>
          <w:trHeight w:val="234"/>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2U, Inc. (f/k/a 2tor, Inc.)</w:t>
            </w:r>
          </w:p>
        </w:tc>
        <w:tc>
          <w:tcPr>
            <w:tcW w:w="8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IPO</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3/28/2014</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3 to Level 2</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Exchange Traded</w:t>
            </w:r>
          </w:p>
        </w:tc>
        <w:tc>
          <w:tcPr>
            <w:tcW w:w="0" w:type="dxa"/>
            <w:vAlign w:val="bottom"/>
          </w:tcPr>
          <w:p>
            <w:pPr>
              <w:spacing w:after="0"/>
              <w:rPr>
                <w:sz w:val="1"/>
                <w:szCs w:val="1"/>
                <w:color w:val="auto"/>
              </w:rPr>
            </w:pPr>
          </w:p>
        </w:tc>
      </w:tr>
    </w:tbl>
    <w:p>
      <w:pPr>
        <w:ind w:left="6680"/>
        <w:spacing w:after="0"/>
        <w:rPr>
          <w:sz w:val="20"/>
          <w:szCs w:val="20"/>
          <w:color w:val="auto"/>
        </w:rPr>
      </w:pPr>
      <w:r>
        <w:rPr>
          <w:rFonts w:ascii="Times New Roman" w:cs="Times New Roman" w:eastAsia="Times New Roman" w:hAnsi="Times New Roman"/>
          <w:sz w:val="18"/>
          <w:szCs w:val="18"/>
          <w:color w:val="auto"/>
        </w:rPr>
        <w:t>Price, 17.5% DLOM</w:t>
      </w:r>
    </w:p>
    <w:p>
      <w:pPr>
        <w:spacing w:after="0" w:line="99" w:lineRule="exact"/>
        <w:rPr>
          <w:sz w:val="20"/>
          <w:szCs w:val="20"/>
          <w:color w:val="auto"/>
        </w:rPr>
      </w:pPr>
    </w:p>
    <w:p>
      <w:pPr>
        <w:jc w:val="both"/>
        <w:ind w:left="60" w:right="519" w:firstLine="270"/>
        <w:spacing w:after="0" w:line="255" w:lineRule="auto"/>
        <w:rPr>
          <w:sz w:val="20"/>
          <w:szCs w:val="20"/>
          <w:color w:val="auto"/>
        </w:rPr>
      </w:pPr>
      <w:r>
        <w:rPr>
          <w:rFonts w:ascii="Times New Roman" w:cs="Times New Roman" w:eastAsia="Times New Roman" w:hAnsi="Times New Roman"/>
          <w:sz w:val="18"/>
          <w:szCs w:val="18"/>
          <w:color w:val="auto"/>
        </w:rPr>
        <w:t>The portfolio companies in which the Company invests periodically offer their shares in initial public offerings, (“IPO’s”). The Company’s shares in the portfolio companies are typically subject to lock-up agreements for 180 days following the IPO. Upon the IPO date, the Company transfers its investment from level 3 to level 2 due to the presence of an active market, limited by the lock-up agreement. The Company prices the investment at the closing price on a public exchange as of the measurement date subject to a discount for a lack of marketability, (“DLOM”). The DLOM for each portfolio company investment is based upon the market value of publicly traded put options with similar terms as the lock-up. Once the lock-up expires, the Company typically transfers the investment from level 2 to level 1 and prices the investment based on the closing price on a public exchange as of the measurement date. In situations where the lock-up</w:t>
      </w:r>
    </w:p>
    <w:p>
      <w:pPr>
        <w:spacing w:after="0" w:line="200" w:lineRule="exact"/>
        <w:rPr>
          <w:sz w:val="20"/>
          <w:szCs w:val="20"/>
          <w:color w:val="auto"/>
        </w:rPr>
      </w:pPr>
    </w:p>
    <w:p>
      <w:pPr>
        <w:spacing w:after="0" w:line="33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33" w:name="page34"/>
    <w:bookmarkEnd w:id="33"/>
    <w:p>
      <w:pPr>
        <w:ind w:left="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March 31, 2015 (Unaudited)</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 INVESTMENTS AT FAIR VALUE – (continued)</w:t>
      </w:r>
    </w:p>
    <w:p>
      <w:pPr>
        <w:spacing w:after="0" w:line="121" w:lineRule="exact"/>
        <w:rPr>
          <w:sz w:val="20"/>
          <w:szCs w:val="20"/>
          <w:color w:val="auto"/>
        </w:rPr>
      </w:pPr>
    </w:p>
    <w:p>
      <w:pPr>
        <w:jc w:val="both"/>
        <w:ind w:left="60" w:right="519"/>
        <w:spacing w:after="0" w:line="266" w:lineRule="auto"/>
        <w:rPr>
          <w:sz w:val="20"/>
          <w:szCs w:val="20"/>
          <w:color w:val="auto"/>
        </w:rPr>
      </w:pPr>
      <w:r>
        <w:rPr>
          <w:rFonts w:ascii="Times New Roman" w:cs="Times New Roman" w:eastAsia="Times New Roman" w:hAnsi="Times New Roman"/>
          <w:sz w:val="18"/>
          <w:szCs w:val="18"/>
          <w:color w:val="auto"/>
        </w:rPr>
        <w:t>has expired, but other factors restrict the sale of the investment, the Company will consider the nature of any restrictions on the sale of the investment. The Company will classify the investment as either level 2 subject to an appropriate DLOM to reflect the restrictions upon sale or as level 1. Refer to Note 1 “Summary of Significant Accounting Policies” for further detail.</w:t>
      </w:r>
    </w:p>
    <w:p>
      <w:pPr>
        <w:spacing w:after="0" w:line="1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 EQUITY OFFERINGS AND RELATED EXPENSES</w:t>
      </w:r>
    </w:p>
    <w:p>
      <w:pPr>
        <w:spacing w:after="0" w:line="121" w:lineRule="exact"/>
        <w:rPr>
          <w:sz w:val="20"/>
          <w:szCs w:val="20"/>
          <w:color w:val="auto"/>
        </w:rPr>
      </w:pPr>
    </w:p>
    <w:p>
      <w:pPr>
        <w:jc w:val="both"/>
        <w:ind w:left="60" w:right="519" w:firstLine="270"/>
        <w:spacing w:after="0" w:line="282" w:lineRule="auto"/>
        <w:rPr>
          <w:sz w:val="20"/>
          <w:szCs w:val="20"/>
          <w:color w:val="auto"/>
        </w:rPr>
      </w:pPr>
      <w:r>
        <w:rPr>
          <w:rFonts w:ascii="Times New Roman" w:cs="Times New Roman" w:eastAsia="Times New Roman" w:hAnsi="Times New Roman"/>
          <w:sz w:val="18"/>
          <w:szCs w:val="18"/>
          <w:color w:val="auto"/>
        </w:rPr>
        <w:t>No new shares of the Company’s common stock were issued during the three months ended March 31, 2015 or the three months ended March 31, 2014.</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 NET INCREASE IN NET ASSETS PER COMMON SHARE — BASIC AND DILUTED</w:t>
      </w:r>
    </w:p>
    <w:p>
      <w:pPr>
        <w:spacing w:after="0" w:line="121" w:lineRule="exact"/>
        <w:rPr>
          <w:sz w:val="20"/>
          <w:szCs w:val="20"/>
          <w:color w:val="auto"/>
        </w:rPr>
      </w:pPr>
    </w:p>
    <w:p>
      <w:pPr>
        <w:jc w:val="both"/>
        <w:ind w:left="60" w:right="519" w:firstLine="270"/>
        <w:spacing w:after="0" w:line="282" w:lineRule="auto"/>
        <w:rPr>
          <w:sz w:val="20"/>
          <w:szCs w:val="20"/>
          <w:color w:val="auto"/>
        </w:rPr>
      </w:pPr>
      <w:r>
        <w:rPr>
          <w:rFonts w:ascii="Times New Roman" w:cs="Times New Roman" w:eastAsia="Times New Roman" w:hAnsi="Times New Roman"/>
          <w:sz w:val="18"/>
          <w:szCs w:val="18"/>
          <w:color w:val="auto"/>
        </w:rPr>
        <w:t>The following information sets forth the computation of basic and diluted net increase in net assets resulting from operations per common share for the three months ended March 31, 2015 and 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wp:posOffset>
            </wp:positionV>
            <wp:extent cx="521398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17"/>
        </w:trPr>
        <w:tc>
          <w:tcPr>
            <w:tcW w:w="5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ind w:right="215"/>
              <w:spacing w:after="0" w:line="118" w:lineRule="exact"/>
              <w:rPr>
                <w:sz w:val="20"/>
                <w:szCs w:val="20"/>
                <w:color w:val="auto"/>
              </w:rPr>
            </w:pPr>
            <w:r>
              <w:rPr>
                <w:rFonts w:ascii="Times New Roman" w:cs="Times New Roman" w:eastAsia="Times New Roman" w:hAnsi="Times New Roman"/>
                <w:sz w:val="13"/>
                <w:szCs w:val="13"/>
                <w:b w:val="1"/>
                <w:bCs w:val="1"/>
                <w:color w:val="auto"/>
              </w:rPr>
              <w:t>2015</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right"/>
              <w:ind w:right="253"/>
              <w:spacing w:after="0" w:line="118" w:lineRule="exact"/>
              <w:rPr>
                <w:sz w:val="20"/>
                <w:szCs w:val="20"/>
                <w:color w:val="auto"/>
              </w:rPr>
            </w:pPr>
            <w:r>
              <w:rPr>
                <w:rFonts w:ascii="Times New Roman" w:cs="Times New Roman" w:eastAsia="Times New Roman" w:hAnsi="Times New Roman"/>
                <w:sz w:val="13"/>
                <w:szCs w:val="13"/>
                <w:b w:val="1"/>
                <w:bCs w:val="1"/>
                <w:color w:val="auto"/>
              </w:rPr>
              <w:t>2014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 basic:</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16,664,622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79,704</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19,320,100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19,320,100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 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 diluted:</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net assets resulting from operations, before adjustments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16,664,622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79,704</w:t>
            </w:r>
          </w:p>
        </w:tc>
        <w:tc>
          <w:tcPr>
            <w:tcW w:w="0" w:type="dxa"/>
            <w:vAlign w:val="bottom"/>
          </w:tcPr>
          <w:p>
            <w:pPr>
              <w:spacing w:after="0"/>
              <w:rPr>
                <w:sz w:val="1"/>
                <w:szCs w:val="1"/>
                <w:color w:val="auto"/>
              </w:rPr>
            </w:pPr>
          </w:p>
        </w:tc>
      </w:tr>
      <w:tr>
        <w:trPr>
          <w:trHeight w:val="198"/>
        </w:trPr>
        <w:tc>
          <w:tcPr>
            <w:tcW w:w="59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Adjustments for interest on convertible senior notes and deferred debt issuance</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w:t>
            </w: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627,014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net assets resulting from operations, as adjusted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17,291,636</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79,704</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19,320,100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19,320,100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for dilutive effect of convertible notes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4,244,128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23,564,228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19,320,100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 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-625475</wp:posOffset>
            </wp:positionV>
            <wp:extent cx="5213985"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w:t>
      </w:r>
    </w:p>
    <w:p>
      <w:pPr>
        <w:spacing w:after="0" w:line="121" w:lineRule="exact"/>
        <w:rPr>
          <w:sz w:val="20"/>
          <w:szCs w:val="20"/>
          <w:color w:val="auto"/>
        </w:rPr>
      </w:pPr>
    </w:p>
    <w:p>
      <w:pPr>
        <w:jc w:val="both"/>
        <w:ind w:left="60" w:right="519" w:firstLine="27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may enter into investment agreements under which it commits to make an investment in a portfolio company at some future date or over a specified period of time. At March 31, 2015, and December 31, 2014, the Company had not entered into any investment agreements which required it to make a future investment in a portfolio company.</w:t>
      </w:r>
    </w:p>
    <w:p>
      <w:pPr>
        <w:spacing w:after="0" w:line="72" w:lineRule="exact"/>
        <w:rPr>
          <w:sz w:val="20"/>
          <w:szCs w:val="20"/>
          <w:color w:val="auto"/>
        </w:rPr>
      </w:pPr>
    </w:p>
    <w:p>
      <w:pPr>
        <w:jc w:val="both"/>
        <w:ind w:left="60" w:right="519" w:firstLine="270"/>
        <w:spacing w:after="0" w:line="258" w:lineRule="auto"/>
        <w:rPr>
          <w:sz w:val="20"/>
          <w:szCs w:val="20"/>
          <w:color w:val="auto"/>
        </w:rPr>
      </w:pPr>
      <w:r>
        <w:rPr>
          <w:rFonts w:ascii="Times New Roman" w:cs="Times New Roman" w:eastAsia="Times New Roman" w:hAnsi="Times New Roman"/>
          <w:sz w:val="18"/>
          <w:szCs w:val="18"/>
          <w:color w:val="auto"/>
        </w:rPr>
        <w:t>The Company is currently not subject to any material legal proceedings, nor, to its knowledge, is any material legal proceeding threatened against it. 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w:t>
      </w:r>
    </w:p>
    <w:p>
      <w:pPr>
        <w:spacing w:after="0" w:line="200" w:lineRule="exact"/>
        <w:rPr>
          <w:sz w:val="20"/>
          <w:szCs w:val="20"/>
          <w:color w:val="auto"/>
        </w:rPr>
      </w:pPr>
    </w:p>
    <w:p>
      <w:pPr>
        <w:spacing w:after="0" w:line="33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34" w:name="page35"/>
    <w:bookmarkEnd w:id="34"/>
    <w:p>
      <w:pPr>
        <w:ind w:left="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March 31, 2015 (Unaudited)</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21398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March 31, 2015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March 31, 2014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10"/>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asset value at beginning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14.80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14.91</w:t>
            </w:r>
          </w:p>
        </w:tc>
        <w:tc>
          <w:tcPr>
            <w:tcW w:w="0" w:type="dxa"/>
            <w:vAlign w:val="bottom"/>
          </w:tcPr>
          <w:p>
            <w:pPr>
              <w:spacing w:after="0"/>
              <w:rPr>
                <w:sz w:val="1"/>
                <w:szCs w:val="1"/>
                <w:color w:val="auto"/>
              </w:rPr>
            </w:pPr>
          </w:p>
        </w:tc>
      </w:tr>
      <w:tr>
        <w:trPr>
          <w:trHeight w:val="257"/>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loss</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8"/>
                <w:szCs w:val="18"/>
                <w:color w:val="auto"/>
              </w:rPr>
              <w:t>(0.39)</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line="256" w:lineRule="exact"/>
              <w:rPr>
                <w:sz w:val="20"/>
                <w:szCs w:val="20"/>
                <w:color w:val="auto"/>
              </w:rPr>
            </w:pPr>
            <w:r>
              <w:rPr>
                <w:rFonts w:ascii="Times New Roman" w:cs="Times New Roman" w:eastAsia="Times New Roman" w:hAnsi="Times New Roman"/>
                <w:sz w:val="18"/>
                <w:szCs w:val="18"/>
                <w:color w:val="auto"/>
              </w:rPr>
              <w:t>(0.14)</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57"/>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Realized gain</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line="256" w:lineRule="exact"/>
              <w:rPr>
                <w:sz w:val="20"/>
                <w:szCs w:val="20"/>
                <w:color w:val="auto"/>
              </w:rPr>
            </w:pPr>
            <w:r>
              <w:rPr>
                <w:rFonts w:ascii="Times New Roman" w:cs="Times New Roman" w:eastAsia="Times New Roman" w:hAnsi="Times New Roman"/>
                <w:sz w:val="18"/>
                <w:szCs w:val="18"/>
                <w:color w:val="auto"/>
              </w:rPr>
              <w:t>0.68</w:t>
            </w:r>
            <w:r>
              <w:rPr>
                <w:rFonts w:ascii="Times New Roman" w:cs="Times New Roman" w:eastAsia="Times New Roman" w:hAnsi="Times New Roman"/>
                <w:sz w:val="29"/>
                <w:szCs w:val="29"/>
                <w:color w:val="auto"/>
                <w:vertAlign w:val="superscript"/>
              </w:rPr>
              <w:t>(1)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60"/>
              <w:spacing w:after="0" w:line="256" w:lineRule="exact"/>
              <w:rPr>
                <w:sz w:val="20"/>
                <w:szCs w:val="20"/>
                <w:color w:val="auto"/>
              </w:rPr>
            </w:pPr>
            <w:r>
              <w:rPr>
                <w:rFonts w:ascii="Times New Roman" w:cs="Times New Roman" w:eastAsia="Times New Roman" w:hAnsi="Times New Roman"/>
                <w:sz w:val="18"/>
                <w:szCs w:val="18"/>
                <w:color w:val="auto"/>
              </w:rPr>
              <w:t>0.41</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57"/>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taxes on net realized capital gains</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8"/>
                <w:szCs w:val="18"/>
                <w:color w:val="auto"/>
              </w:rPr>
              <w:t>(0.28)</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line="256" w:lineRule="exact"/>
              <w:rPr>
                <w:sz w:val="20"/>
                <w:szCs w:val="20"/>
                <w:color w:val="auto"/>
              </w:rPr>
            </w:pPr>
            <w:r>
              <w:rPr>
                <w:rFonts w:ascii="Times New Roman" w:cs="Times New Roman" w:eastAsia="Times New Roman" w:hAnsi="Times New Roman"/>
                <w:sz w:val="18"/>
                <w:szCs w:val="18"/>
                <w:color w:val="auto"/>
              </w:rPr>
              <w:t>(0.17)</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57"/>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change in unrealized appreciation (depreciation)</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line="256" w:lineRule="exact"/>
              <w:rPr>
                <w:sz w:val="20"/>
                <w:szCs w:val="20"/>
                <w:color w:val="auto"/>
              </w:rPr>
            </w:pPr>
            <w:r>
              <w:rPr>
                <w:rFonts w:ascii="Times New Roman" w:cs="Times New Roman" w:eastAsia="Times New Roman" w:hAnsi="Times New Roman"/>
                <w:sz w:val="18"/>
                <w:szCs w:val="18"/>
                <w:color w:val="auto"/>
              </w:rPr>
              <w:t>1.44</w:t>
            </w:r>
            <w:r>
              <w:rPr>
                <w:rFonts w:ascii="Times New Roman" w:cs="Times New Roman" w:eastAsia="Times New Roman" w:hAnsi="Times New Roman"/>
                <w:sz w:val="29"/>
                <w:szCs w:val="29"/>
                <w:color w:val="auto"/>
                <w:vertAlign w:val="superscript"/>
              </w:rPr>
              <w:t>(1)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line="256" w:lineRule="exact"/>
              <w:rPr>
                <w:sz w:val="20"/>
                <w:szCs w:val="20"/>
                <w:color w:val="auto"/>
              </w:rPr>
            </w:pPr>
            <w:r>
              <w:rPr>
                <w:rFonts w:ascii="Times New Roman" w:cs="Times New Roman" w:eastAsia="Times New Roman" w:hAnsi="Times New Roman"/>
                <w:sz w:val="18"/>
                <w:szCs w:val="18"/>
                <w:color w:val="auto"/>
              </w:rPr>
              <w:t>(0.16)</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98"/>
        </w:trPr>
        <w:tc>
          <w:tcPr>
            <w:tcW w:w="5160" w:type="dxa"/>
            <w:vAlign w:val="bottom"/>
            <w:gridSpan w:val="3"/>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(Provision)/Benefit for taxes on unrealized appreciation/deprecation</w:t>
            </w:r>
          </w:p>
        </w:tc>
        <w:tc>
          <w:tcPr>
            <w:tcW w:w="10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(0.59)</w:t>
            </w:r>
            <w:r>
              <w:rPr>
                <w:rFonts w:ascii="Times New Roman" w:cs="Times New Roman" w:eastAsia="Times New Roman" w:hAnsi="Times New Roman"/>
                <w:sz w:val="30"/>
                <w:szCs w:val="30"/>
                <w:color w:val="auto"/>
                <w:vertAlign w:val="superscript"/>
              </w:rPr>
              <w:t>(1)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0.06</w:t>
            </w:r>
            <w:r>
              <w:rPr>
                <w:rFonts w:ascii="Times New Roman" w:cs="Times New Roman" w:eastAsia="Times New Roman" w:hAnsi="Times New Roman"/>
                <w:sz w:val="30"/>
                <w:szCs w:val="30"/>
                <w:color w:val="auto"/>
                <w:vertAlign w:val="superscript"/>
              </w:rPr>
              <w:t>(1)</w:t>
            </w:r>
          </w:p>
        </w:tc>
        <w:tc>
          <w:tcPr>
            <w:tcW w:w="0" w:type="dxa"/>
            <w:vAlign w:val="bottom"/>
          </w:tcPr>
          <w:p>
            <w:pPr>
              <w:spacing w:after="0"/>
              <w:rPr>
                <w:sz w:val="1"/>
                <w:szCs w:val="1"/>
                <w:color w:val="auto"/>
              </w:rPr>
            </w:pPr>
          </w:p>
        </w:tc>
      </w:tr>
      <w:tr>
        <w:trPr>
          <w:trHeight w:val="255"/>
        </w:trPr>
        <w:tc>
          <w:tcPr>
            <w:tcW w:w="20" w:type="dxa"/>
            <w:vAlign w:val="bottom"/>
            <w:shd w:val="clear" w:color="auto" w:fill="CCEEFF"/>
          </w:tcPr>
          <w:p>
            <w:pPr>
              <w:spacing w:after="0"/>
              <w:rPr>
                <w:sz w:val="22"/>
                <w:szCs w:val="22"/>
                <w:color w:val="auto"/>
              </w:rPr>
            </w:pPr>
          </w:p>
        </w:tc>
        <w:tc>
          <w:tcPr>
            <w:tcW w:w="5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investments</w:t>
            </w:r>
          </w:p>
        </w:tc>
        <w:tc>
          <w:tcPr>
            <w:tcW w:w="100" w:type="dxa"/>
            <w:vAlign w:val="bottom"/>
            <w:shd w:val="clear" w:color="auto" w:fill="CCEEFF"/>
          </w:tcPr>
          <w:p>
            <w:pPr>
              <w:spacing w:after="0"/>
              <w:rPr>
                <w:sz w:val="22"/>
                <w:szCs w:val="22"/>
                <w:color w:val="auto"/>
              </w:rPr>
            </w:pPr>
          </w:p>
        </w:tc>
        <w:tc>
          <w:tcPr>
            <w:tcW w:w="1360" w:type="dxa"/>
            <w:vAlign w:val="bottom"/>
            <w:gridSpan w:val="2"/>
            <w:vMerge w:val="continue"/>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asset value at end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15.66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14.91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market value at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9.80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57"/>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return based on market value</w:t>
            </w:r>
          </w:p>
        </w:tc>
        <w:tc>
          <w:tcPr>
            <w:tcW w:w="100" w:type="dxa"/>
            <w:vAlign w:val="bottom"/>
          </w:tcPr>
          <w:p>
            <w:pPr>
              <w:spacing w:after="0"/>
              <w:rPr>
                <w:sz w:val="22"/>
                <w:szCs w:val="22"/>
                <w:color w:val="auto"/>
              </w:rPr>
            </w:pPr>
          </w:p>
        </w:tc>
        <w:tc>
          <w:tcPr>
            <w:tcW w:w="1360" w:type="dxa"/>
            <w:vAlign w:val="bottom"/>
            <w:gridSpan w:val="2"/>
          </w:tcPr>
          <w:p>
            <w:pPr>
              <w:jc w:val="right"/>
              <w:ind w:right="60"/>
              <w:spacing w:after="0" w:line="256" w:lineRule="exact"/>
              <w:rPr>
                <w:sz w:val="20"/>
                <w:szCs w:val="20"/>
                <w:color w:val="auto"/>
              </w:rPr>
            </w:pPr>
            <w:r>
              <w:rPr>
                <w:rFonts w:ascii="Times New Roman" w:cs="Times New Roman" w:eastAsia="Times New Roman" w:hAnsi="Times New Roman"/>
                <w:sz w:val="18"/>
                <w:szCs w:val="18"/>
                <w:color w:val="auto"/>
              </w:rPr>
              <w:t>13.56%</w:t>
            </w:r>
            <w:r>
              <w:rPr>
                <w:rFonts w:ascii="Times New Roman" w:cs="Times New Roman" w:eastAsia="Times New Roman" w:hAnsi="Times New Roman"/>
                <w:sz w:val="29"/>
                <w:szCs w:val="29"/>
                <w:color w:val="auto"/>
                <w:vertAlign w:val="superscript"/>
              </w:rPr>
              <w:t>(2)</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40"/>
              <w:spacing w:after="0" w:line="256" w:lineRule="exact"/>
              <w:rPr>
                <w:sz w:val="20"/>
                <w:szCs w:val="20"/>
                <w:color w:val="auto"/>
              </w:rPr>
            </w:pPr>
            <w:r>
              <w:rPr>
                <w:rFonts w:ascii="Times New Roman" w:cs="Times New Roman" w:eastAsia="Times New Roman" w:hAnsi="Times New Roman"/>
                <w:sz w:val="18"/>
                <w:szCs w:val="18"/>
                <w:color w:val="auto"/>
              </w:rPr>
              <w:t>(16.13)%</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return based on net asset value</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60"/>
              <w:spacing w:after="0" w:line="256" w:lineRule="exact"/>
              <w:rPr>
                <w:sz w:val="20"/>
                <w:szCs w:val="20"/>
                <w:color w:val="auto"/>
              </w:rPr>
            </w:pPr>
            <w:r>
              <w:rPr>
                <w:rFonts w:ascii="Times New Roman" w:cs="Times New Roman" w:eastAsia="Times New Roman" w:hAnsi="Times New Roman"/>
                <w:sz w:val="18"/>
                <w:szCs w:val="18"/>
                <w:color w:val="auto"/>
              </w:rPr>
              <w:t>5.81%</w:t>
            </w:r>
            <w:r>
              <w:rPr>
                <w:rFonts w:ascii="Times New Roman" w:cs="Times New Roman" w:eastAsia="Times New Roman" w:hAnsi="Times New Roman"/>
                <w:sz w:val="29"/>
                <w:szCs w:val="29"/>
                <w:color w:val="auto"/>
                <w:vertAlign w:val="superscript"/>
              </w:rPr>
              <w:t>(2)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00"/>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216"/>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Shares outstanding at end of period</w:t>
            </w:r>
          </w:p>
        </w:tc>
        <w:tc>
          <w:tcPr>
            <w:tcW w:w="1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19,320,100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19,320,100</w:t>
            </w:r>
          </w:p>
        </w:tc>
        <w:tc>
          <w:tcPr>
            <w:tcW w:w="0" w:type="dxa"/>
            <w:vAlign w:val="bottom"/>
          </w:tcPr>
          <w:p>
            <w:pPr>
              <w:spacing w:after="0"/>
              <w:rPr>
                <w:sz w:val="1"/>
                <w:szCs w:val="1"/>
                <w:color w:val="auto"/>
              </w:rPr>
            </w:pPr>
          </w:p>
        </w:tc>
      </w:tr>
      <w:tr>
        <w:trPr>
          <w:trHeight w:val="216"/>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Ratio/Supplemental Data:</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assets at end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302,568,295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9"/>
              </w:rPr>
              <w:t>288,046,148</w:t>
            </w:r>
          </w:p>
        </w:tc>
        <w:tc>
          <w:tcPr>
            <w:tcW w:w="0" w:type="dxa"/>
            <w:vAlign w:val="bottom"/>
          </w:tcPr>
          <w:p>
            <w:pPr>
              <w:spacing w:after="0"/>
              <w:rPr>
                <w:sz w:val="1"/>
                <w:szCs w:val="1"/>
                <w:color w:val="auto"/>
              </w:rPr>
            </w:pPr>
          </w:p>
        </w:tc>
      </w:tr>
      <w:tr>
        <w:trPr>
          <w:trHeight w:val="216"/>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net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296,308,650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9"/>
              </w:rPr>
              <w:t>287,546,332</w:t>
            </w:r>
          </w:p>
        </w:tc>
        <w:tc>
          <w:tcPr>
            <w:tcW w:w="0" w:type="dxa"/>
            <w:vAlign w:val="bottom"/>
          </w:tcPr>
          <w:p>
            <w:pPr>
              <w:spacing w:after="0"/>
              <w:rPr>
                <w:sz w:val="1"/>
                <w:szCs w:val="1"/>
                <w:color w:val="auto"/>
              </w:rPr>
            </w:pPr>
          </w:p>
        </w:tc>
      </w:tr>
      <w:tr>
        <w:trPr>
          <w:trHeight w:val="176"/>
        </w:trPr>
        <w:tc>
          <w:tcPr>
            <w:tcW w:w="516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Annualized ratios</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60" w:type="dxa"/>
            <w:vAlign w:val="bottom"/>
            <w:gridSpan w:val="3"/>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Ratio of gross operating expenses to average net assets</w:t>
            </w:r>
            <w:r>
              <w:rPr>
                <w:rFonts w:ascii="Times New Roman" w:cs="Times New Roman" w:eastAsia="Times New Roman" w:hAnsi="Times New Roman"/>
                <w:sz w:val="29"/>
                <w:szCs w:val="29"/>
                <w:color w:val="auto"/>
                <w:vertAlign w:val="superscript"/>
              </w:rPr>
              <w:t>(3)</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17.59%</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57"/>
        </w:trPr>
        <w:tc>
          <w:tcPr>
            <w:tcW w:w="516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8"/>
                <w:szCs w:val="18"/>
                <w:color w:val="auto"/>
              </w:rPr>
              <w:t>Ratio of net income tax provisions to average net assets</w:t>
            </w:r>
            <w:r>
              <w:rPr>
                <w:rFonts w:ascii="Times New Roman" w:cs="Times New Roman" w:eastAsia="Times New Roman" w:hAnsi="Times New Roman"/>
                <w:sz w:val="29"/>
                <w:szCs w:val="29"/>
                <w:color w:val="auto"/>
                <w:vertAlign w:val="superscript"/>
              </w:rPr>
              <w:t>(3)</w:t>
            </w:r>
          </w:p>
        </w:tc>
        <w:tc>
          <w:tcPr>
            <w:tcW w:w="100" w:type="dxa"/>
            <w:vAlign w:val="bottom"/>
          </w:tcPr>
          <w:p>
            <w:pPr>
              <w:spacing w:after="0"/>
              <w:rPr>
                <w:sz w:val="22"/>
                <w:szCs w:val="22"/>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(15.80)%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gridSpan w:val="3"/>
            <w:shd w:val="clear" w:color="auto" w:fill="CCEEFF"/>
          </w:tcPr>
          <w:p>
            <w:pPr>
              <w:ind w:left="20"/>
              <w:spacing w:after="0" w:line="250" w:lineRule="exact"/>
              <w:rPr>
                <w:sz w:val="20"/>
                <w:szCs w:val="20"/>
                <w:color w:val="auto"/>
              </w:rPr>
            </w:pPr>
            <w:r>
              <w:rPr>
                <w:rFonts w:ascii="Times New Roman" w:cs="Times New Roman" w:eastAsia="Times New Roman" w:hAnsi="Times New Roman"/>
                <w:sz w:val="17"/>
                <w:szCs w:val="17"/>
                <w:color w:val="auto"/>
              </w:rPr>
              <w:t>Ratio of net operating expenses to average net assets</w:t>
            </w:r>
            <w:r>
              <w:rPr>
                <w:rFonts w:ascii="Times New Roman" w:cs="Times New Roman" w:eastAsia="Times New Roman" w:hAnsi="Times New Roman"/>
                <w:sz w:val="28"/>
                <w:szCs w:val="28"/>
                <w:color w:val="auto"/>
                <w:vertAlign w:val="superscript"/>
              </w:rPr>
              <w:t>(3)</w:t>
            </w:r>
          </w:p>
        </w:tc>
        <w:tc>
          <w:tcPr>
            <w:tcW w:w="1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394"/>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Ratio of net investment loss to average net assets</w:t>
            </w:r>
            <w:r>
              <w:rPr>
                <w:rFonts w:ascii="Times New Roman" w:cs="Times New Roman" w:eastAsia="Times New Roman" w:hAnsi="Times New Roman"/>
                <w:sz w:val="30"/>
                <w:szCs w:val="30"/>
                <w:color w:val="auto"/>
                <w:vertAlign w:val="superscript"/>
              </w:rPr>
              <w:t>(3)</w:t>
            </w:r>
          </w:p>
        </w:tc>
        <w:tc>
          <w:tcPr>
            <w:tcW w:w="10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-2101850</wp:posOffset>
            </wp:positionV>
            <wp:extent cx="5213985" cy="2057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213985" cy="2057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83820</wp:posOffset>
            </wp:positionV>
            <wp:extent cx="6172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391" w:lineRule="exact"/>
        <w:rPr>
          <w:sz w:val="20"/>
          <w:szCs w:val="20"/>
          <w:color w:val="auto"/>
        </w:rPr>
      </w:pPr>
    </w:p>
    <w:p>
      <w:pPr>
        <w:ind w:left="300" w:hanging="272"/>
        <w:spacing w:after="0"/>
        <w:tabs>
          <w:tab w:leader="none" w:pos="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weighted average number of shares outstanding for the year/period.</w:t>
      </w:r>
    </w:p>
    <w:p>
      <w:pPr>
        <w:spacing w:after="0" w:line="117" w:lineRule="exact"/>
        <w:rPr>
          <w:rFonts w:ascii="Times New Roman" w:cs="Times New Roman" w:eastAsia="Times New Roman" w:hAnsi="Times New Roman"/>
          <w:sz w:val="18"/>
          <w:szCs w:val="18"/>
          <w:color w:val="auto"/>
        </w:rPr>
      </w:pPr>
    </w:p>
    <w:p>
      <w:pPr>
        <w:jc w:val="both"/>
        <w:ind w:left="300" w:right="539" w:hanging="272"/>
        <w:spacing w:after="0" w:line="266" w:lineRule="auto"/>
        <w:tabs>
          <w:tab w:leader="none" w:pos="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market value is based on the change in market price per share between the opening and ending market values per share in the period. Total return based on net asset value is based upon the change in net asset value per share between the opening and ending net asset values per share.</w:t>
      </w:r>
    </w:p>
    <w:p>
      <w:pPr>
        <w:spacing w:after="0" w:line="68" w:lineRule="exact"/>
        <w:rPr>
          <w:rFonts w:ascii="Times New Roman" w:cs="Times New Roman" w:eastAsia="Times New Roman" w:hAnsi="Times New Roman"/>
          <w:sz w:val="18"/>
          <w:szCs w:val="18"/>
          <w:color w:val="auto"/>
        </w:rPr>
      </w:pPr>
    </w:p>
    <w:p>
      <w:pPr>
        <w:jc w:val="both"/>
        <w:ind w:left="300" w:right="539" w:hanging="272"/>
        <w:spacing w:after="0" w:line="261" w:lineRule="auto"/>
        <w:tabs>
          <w:tab w:leader="none" w:pos="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Highlights for periods of less than one year are annualized and the ratios of operating expenses to average net assets and net investment loss to average net assets are adjusted accordingly. Non-recurring expenses are not annualized. For the three months ended March 31, 2015, March 31, 2014, the Company did not incur any non-recurring expenses. Because the ratios are calculated for the Company’s common stock taken as a whole, an individual investor’s ratios may vary from these ratios.</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 INCOME TAX</w:t>
      </w:r>
    </w:p>
    <w:p>
      <w:pPr>
        <w:spacing w:after="0" w:line="121" w:lineRule="exact"/>
        <w:rPr>
          <w:sz w:val="20"/>
          <w:szCs w:val="20"/>
          <w:color w:val="auto"/>
        </w:rPr>
      </w:pPr>
    </w:p>
    <w:p>
      <w:pPr>
        <w:jc w:val="both"/>
        <w:ind w:left="60" w:right="519" w:firstLine="270"/>
        <w:spacing w:after="0" w:line="266" w:lineRule="auto"/>
        <w:rPr>
          <w:sz w:val="20"/>
          <w:szCs w:val="20"/>
          <w:color w:val="auto"/>
        </w:rPr>
      </w:pPr>
      <w:r>
        <w:rPr>
          <w:rFonts w:ascii="Times New Roman" w:cs="Times New Roman" w:eastAsia="Times New Roman" w:hAnsi="Times New Roman"/>
          <w:sz w:val="18"/>
          <w:szCs w:val="18"/>
          <w:color w:val="auto"/>
        </w:rPr>
        <w:t>The Company and its wholly-owned subsidiaries account for income taxes as C Corporations that are subject to federal and state corporate income taxes. These subsidiaries hold certain pass-through companies in connection with the Company’s proposed qualification as a RIC.</w:t>
      </w:r>
    </w:p>
    <w:p>
      <w:pPr>
        <w:spacing w:after="0" w:line="68" w:lineRule="exact"/>
        <w:rPr>
          <w:sz w:val="20"/>
          <w:szCs w:val="20"/>
          <w:color w:val="auto"/>
        </w:rPr>
      </w:pPr>
    </w:p>
    <w:p>
      <w:pPr>
        <w:jc w:val="both"/>
        <w:ind w:left="60" w:right="519" w:firstLine="27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2015, neither the Company nor its subsidiaries recorded a current income tax expense or benefit since they had net operating losses and capital loss carryforwards from prior years and a net operating loss for these periods. For the three months ended March 31, 2014, the Company did not recognize a current income tax expense or benefit for the same reasons.</w:t>
      </w:r>
    </w:p>
    <w:p>
      <w:pPr>
        <w:spacing w:after="0" w:line="72" w:lineRule="exact"/>
        <w:rPr>
          <w:sz w:val="20"/>
          <w:szCs w:val="20"/>
          <w:color w:val="auto"/>
        </w:rPr>
      </w:pPr>
    </w:p>
    <w:p>
      <w:pPr>
        <w:jc w:val="both"/>
        <w:ind w:left="60" w:right="539" w:firstLine="270"/>
        <w:spacing w:after="0" w:line="261" w:lineRule="auto"/>
        <w:rPr>
          <w:sz w:val="20"/>
          <w:szCs w:val="20"/>
          <w:color w:val="auto"/>
        </w:rPr>
      </w:pPr>
      <w:r>
        <w:rPr>
          <w:rFonts w:ascii="Times New Roman" w:cs="Times New Roman" w:eastAsia="Times New Roman" w:hAnsi="Times New Roman"/>
          <w:sz w:val="18"/>
          <w:szCs w:val="18"/>
          <w:color w:val="auto"/>
        </w:rPr>
        <w:t>The Company and its wholly-owned subsidiaries recorded deferred income tax benefits and expenses for the three months ended March 31, 2015, which consisted primarily of temporary differences related to certain expenses, net operating losses, capital losses and temporary differences arising from differences between the tax basis and financial reporting basis in underlying investments. For the three months ended March 31, 2015,</w:t>
      </w:r>
    </w:p>
    <w:p>
      <w:pPr>
        <w:spacing w:after="0" w:line="200" w:lineRule="exact"/>
        <w:rPr>
          <w:sz w:val="20"/>
          <w:szCs w:val="20"/>
          <w:color w:val="auto"/>
        </w:rPr>
      </w:pPr>
    </w:p>
    <w:p>
      <w:pPr>
        <w:spacing w:after="0" w:line="33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35" w:name="page36"/>
    <w:bookmarkEnd w:id="3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March 31, 2015 (Unaudited)</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8 — INCOME TAX – (continued)</w:t>
      </w:r>
    </w:p>
    <w:p>
      <w:pPr>
        <w:spacing w:after="0" w:line="121" w:lineRule="exact"/>
        <w:rPr>
          <w:sz w:val="20"/>
          <w:szCs w:val="20"/>
          <w:color w:val="auto"/>
        </w:rPr>
      </w:pPr>
    </w:p>
    <w:p>
      <w:pPr>
        <w:jc w:val="both"/>
        <w:ind w:left="40" w:right="519"/>
        <w:spacing w:after="0" w:line="256" w:lineRule="auto"/>
        <w:rPr>
          <w:sz w:val="20"/>
          <w:szCs w:val="20"/>
          <w:color w:val="auto"/>
        </w:rPr>
      </w:pPr>
      <w:r>
        <w:rPr>
          <w:rFonts w:ascii="Times New Roman" w:cs="Times New Roman" w:eastAsia="Times New Roman" w:hAnsi="Times New Roman"/>
          <w:sz w:val="18"/>
          <w:szCs w:val="18"/>
          <w:color w:val="auto"/>
        </w:rPr>
        <w:t>the Company recognized a net deferred income tax provision of $11,544,456, which is shown as a benefit for taxes on net investment loss of $5,223,611, a provision for taxes on net realized gains of $5,397,074 and a provision for taxes on unrealized appreciation of $11,370,993 on the Condensed Consolidated Statements of Operations. For the three months ended March 31, 2014, the Company recognized a net deferred income tax provision of $29,366, which is shown as a benefit for taxes on net investment loss of $2,012,914, a provision for taxes on net realized gains of $3,238,531 and a benefit for taxes on unrealized depreciation of $1,254,983 on the Condensed Consolidated Statements of Operations.</w:t>
      </w:r>
    </w:p>
    <w:p>
      <w:pPr>
        <w:spacing w:after="0" w:line="80" w:lineRule="exact"/>
        <w:rPr>
          <w:sz w:val="20"/>
          <w:szCs w:val="20"/>
          <w:color w:val="auto"/>
        </w:rPr>
      </w:pPr>
    </w:p>
    <w:p>
      <w:pPr>
        <w:jc w:val="both"/>
        <w:ind w:left="40" w:right="519" w:firstLine="270"/>
        <w:spacing w:after="0" w:line="261" w:lineRule="auto"/>
        <w:rPr>
          <w:sz w:val="20"/>
          <w:szCs w:val="20"/>
          <w:color w:val="auto"/>
        </w:rPr>
      </w:pPr>
      <w:r>
        <w:rPr>
          <w:rFonts w:ascii="Times New Roman" w:cs="Times New Roman" w:eastAsia="Times New Roman" w:hAnsi="Times New Roman"/>
          <w:sz w:val="18"/>
          <w:szCs w:val="18"/>
          <w:color w:val="auto"/>
        </w:rPr>
        <w:t>For federal and state purposes, a portion of the Company’s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72" w:lineRule="exact"/>
        <w:rPr>
          <w:sz w:val="20"/>
          <w:szCs w:val="20"/>
          <w:color w:val="auto"/>
        </w:rPr>
      </w:pPr>
    </w:p>
    <w:p>
      <w:pPr>
        <w:jc w:val="both"/>
        <w:ind w:left="40" w:right="519" w:firstLine="270"/>
        <w:spacing w:after="0" w:line="253" w:lineRule="auto"/>
        <w:rPr>
          <w:sz w:val="20"/>
          <w:szCs w:val="20"/>
          <w:color w:val="auto"/>
        </w:rPr>
      </w:pPr>
      <w:r>
        <w:rPr>
          <w:rFonts w:ascii="Times New Roman" w:cs="Times New Roman" w:eastAsia="Times New Roman" w:hAnsi="Times New Roman"/>
          <w:sz w:val="18"/>
          <w:szCs w:val="18"/>
          <w:color w:val="auto"/>
        </w:rPr>
        <w:t>In September 2014, the Company filed its 2013 tax return as a regulated investment company “RIC” and is seeking to be granted RIC status for the 2013 taxable year. However, it will not be eligible to elect to be treated as a RIC for the 2013 taxable year unless it is certified by the SEC as “principally engaged in the furnishing of capital to other corporations which are principally engaged in the development or exploitation of inventions, technological improvements, new processes, or products not previously generally available” for the 2013 taxable year (such certification, an “SEC Certification”). Although it filed an application with the SEC for an SEC Certification for the 2013 taxable year, there can be no assurance that it will receive an SEC Certification. In the event that it does not receive such SEC Certification or it is otherwise unable to meet all of the qualifications to be treated as a RIC for 2013, it will be taxed as a C Corporation for the 2013 taxable year. Should it not qualify as a RIC for 2013, it intends to elect to be treated as a RIC for the 2014 and 2015 taxable year, if management determines that it is in its best interests to do so. For example, it may not be in the Company’s best interests in the event that it experiences large operating losses or have large loss carryforwards. If the Company opts not to do so or it is unable to qualify, it will continue to be taxed as a C corporation under the Code for the 2014 taxable year and 2015 taxable year.</w:t>
      </w:r>
    </w:p>
    <w:p>
      <w:pPr>
        <w:spacing w:after="0" w:line="83" w:lineRule="exact"/>
        <w:rPr>
          <w:sz w:val="20"/>
          <w:szCs w:val="20"/>
          <w:color w:val="auto"/>
        </w:rPr>
      </w:pPr>
    </w:p>
    <w:p>
      <w:pPr>
        <w:jc w:val="both"/>
        <w:ind w:left="40" w:right="519" w:firstLine="270"/>
        <w:spacing w:after="0" w:line="256" w:lineRule="auto"/>
        <w:rPr>
          <w:sz w:val="20"/>
          <w:szCs w:val="20"/>
          <w:color w:val="auto"/>
        </w:rPr>
      </w:pPr>
      <w:r>
        <w:rPr>
          <w:rFonts w:ascii="Times New Roman" w:cs="Times New Roman" w:eastAsia="Times New Roman" w:hAnsi="Times New Roman"/>
          <w:sz w:val="18"/>
          <w:szCs w:val="18"/>
          <w:color w:val="auto"/>
        </w:rPr>
        <w:t>As a RIC, the Company generally will not pay corporate-level U.S. federal income taxes on any net ordinary income or capital gains that the Company distributes to its stockholders as dividends and claims dividends paid deductions to compute taxable income. A RIC will not be eligible to utilize net operating losses. However, the net operating losses may become available should the Company disqualify as a RIC and become a C corporation in the future. In the event that the Company qualifies as a RIC, the Company itself will no longer be required to recognize deferred tax assets or liabilities, other than those that may be associated with its taxable subsidiaries, the GSVC Holdings.</w:t>
      </w:r>
    </w:p>
    <w:p>
      <w:pPr>
        <w:spacing w:after="0" w:line="80" w:lineRule="exact"/>
        <w:rPr>
          <w:sz w:val="20"/>
          <w:szCs w:val="20"/>
          <w:color w:val="auto"/>
        </w:rPr>
      </w:pPr>
    </w:p>
    <w:p>
      <w:pPr>
        <w:jc w:val="both"/>
        <w:ind w:left="40" w:right="519" w:firstLine="270"/>
        <w:spacing w:after="0" w:line="253" w:lineRule="auto"/>
        <w:rPr>
          <w:sz w:val="20"/>
          <w:szCs w:val="20"/>
          <w:color w:val="auto"/>
        </w:rPr>
      </w:pPr>
      <w:r>
        <w:rPr>
          <w:rFonts w:ascii="Times New Roman" w:cs="Times New Roman" w:eastAsia="Times New Roman" w:hAnsi="Times New Roman"/>
          <w:sz w:val="18"/>
          <w:szCs w:val="18"/>
          <w:color w:val="auto"/>
        </w:rPr>
        <w:t>Upon converting from a C corporation to a RIC, the Company may be required to pay a corporate-level tax on the net amount of the net built-in gains, if any, in its assets (the amount by which the net fair market value of the Company’s assets exceeds the net adjusted basis in its assets) as of the date of conversion (i.e., the beginning of the first taxable year that the Company qualifies as a RIC) to the extent that such gains are recognized by the Company during the applicable recognition period, which is the ten-year period (or shorter applicable period) beginning on the date of conversion. Alternatively, the Company may make a special election to cause the gain to be recognized at the time of the conversion. In that event, the Company would be required to recognize such built-in gain as if its assets were sold at the time of the conversion. The Company does not anticipate making this election at this time. Any corporate-level built-in gain tax is payable at the time the built-in gains are recognized (which generally will be the years in which the built-in gain assets are sold in a taxable transaction). The amount of this tax will vary depending on the assets that are actually sold by the Company in this 10-year period, the actual amount of net built-in gain or loss present in those assets as of the date of conversion, and the effective tax rates at such times. The payment of any such corporate-level tax on built-in gain will be a company expense that will reduce the amount available for</w:t>
      </w:r>
    </w:p>
    <w:p>
      <w:pPr>
        <w:spacing w:after="0" w:line="200" w:lineRule="exact"/>
        <w:rPr>
          <w:sz w:val="20"/>
          <w:szCs w:val="20"/>
          <w:color w:val="auto"/>
        </w:rPr>
      </w:pPr>
    </w:p>
    <w:p>
      <w:pPr>
        <w:spacing w:after="0" w:line="34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36" w:name="page37"/>
    <w:bookmarkEnd w:id="3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March 31, 2015 (Unaudited)</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8 — INCOME TAX – (continued)</w:t>
      </w:r>
    </w:p>
    <w:p>
      <w:pPr>
        <w:spacing w:after="0" w:line="121" w:lineRule="exact"/>
        <w:rPr>
          <w:sz w:val="20"/>
          <w:szCs w:val="20"/>
          <w:color w:val="auto"/>
        </w:rPr>
      </w:pPr>
    </w:p>
    <w:p>
      <w:pPr>
        <w:jc w:val="both"/>
        <w:ind w:left="40" w:right="519"/>
        <w:spacing w:after="0" w:line="255" w:lineRule="auto"/>
        <w:rPr>
          <w:sz w:val="20"/>
          <w:szCs w:val="20"/>
          <w:color w:val="auto"/>
        </w:rPr>
      </w:pPr>
      <w:r>
        <w:rPr>
          <w:rFonts w:ascii="Times New Roman" w:cs="Times New Roman" w:eastAsia="Times New Roman" w:hAnsi="Times New Roman"/>
          <w:sz w:val="18"/>
          <w:szCs w:val="18"/>
          <w:color w:val="auto"/>
        </w:rPr>
        <w:t>distribution to stockholders. The built-in gains tax is calculated by determining the RIC’s net unrealized built-in gain, if any, by which the fair market value of the assets of the RIC at the beginning of its first RIC year exceeds the aggregate adjusted basis of such assets at that time. As of January 1, 2013, the Company did not have net unrealized built-in gain. Accordingly, the built-in gains tax will not apply should the Company elect to be treated as a RIC for the 2013 tax year. Should the Company not obtain SEC Certification for the 2013 tax year and it elects to be a RIC for the 2014 tax year, then it is expected that it should not incur built-in gains tax for the 2014 tax year due to the fact that there are sufficient net capital loss carryforwards alone to completely offset recognized built-in gains as well as available net operating losses.</w:t>
      </w:r>
    </w:p>
    <w:p>
      <w:pPr>
        <w:spacing w:after="0" w:line="81" w:lineRule="exact"/>
        <w:rPr>
          <w:sz w:val="20"/>
          <w:szCs w:val="20"/>
          <w:color w:val="auto"/>
        </w:rPr>
      </w:pPr>
    </w:p>
    <w:p>
      <w:pPr>
        <w:jc w:val="both"/>
        <w:ind w:left="40" w:right="539" w:firstLine="270"/>
        <w:spacing w:after="0" w:line="256" w:lineRule="auto"/>
        <w:rPr>
          <w:sz w:val="20"/>
          <w:szCs w:val="20"/>
          <w:color w:val="auto"/>
        </w:rPr>
      </w:pPr>
      <w:r>
        <w:rPr>
          <w:rFonts w:ascii="Times New Roman" w:cs="Times New Roman" w:eastAsia="Times New Roman" w:hAnsi="Times New Roman"/>
          <w:sz w:val="18"/>
          <w:szCs w:val="18"/>
          <w:color w:val="auto"/>
        </w:rPr>
        <w:t>In addition to meeting other requirements, the Company must generally distribute at least 90% of its investment company taxable income to qualify for the special treatment accorded to a RIC and maintain its RIC status. As part of maintaining RIC status, undistributed taxable income (subject to a 4% excise tax) pertaining to a given fiscal year may be distributed up to 12 months subsequent to the end of that fiscal year, provided such dividends are declared prior to the later of (1) the fifteenth day of the ninth month following the close of that fiscal year or (2) the extended due date for filing the federal income tax return for that fiscal year.</w:t>
      </w:r>
    </w:p>
    <w:p>
      <w:pPr>
        <w:spacing w:after="0" w:line="80" w:lineRule="exact"/>
        <w:rPr>
          <w:sz w:val="20"/>
          <w:szCs w:val="20"/>
          <w:color w:val="auto"/>
        </w:rPr>
      </w:pPr>
    </w:p>
    <w:p>
      <w:pPr>
        <w:jc w:val="both"/>
        <w:ind w:left="40" w:right="519" w:firstLine="270"/>
        <w:spacing w:after="0" w:line="255" w:lineRule="auto"/>
        <w:rPr>
          <w:sz w:val="20"/>
          <w:szCs w:val="20"/>
          <w:color w:val="auto"/>
        </w:rPr>
      </w:pPr>
      <w:r>
        <w:rPr>
          <w:rFonts w:ascii="Times New Roman" w:cs="Times New Roman" w:eastAsia="Times New Roman" w:hAnsi="Times New Roman"/>
          <w:sz w:val="18"/>
          <w:szCs w:val="18"/>
          <w:color w:val="auto"/>
        </w:rPr>
        <w:t>The Company believes that its status as a RIC remains uncertain. For purposes of its financial statements, the Company has not recognized any tax benefits as a RIC and continued to provide tax liabilities as though it were a C Corporation through the reporting period including liabilities associated with the uncertain tax position, which arise from taxable temporary differences. As a result of the 2013 tax return filing as a RIC, during the three months ended March 31, 2015, the Company increased gross unrecognized tax benefits to $17,489,665 of which $16,288,846 of unrecognized tax benefits that, if recognized, would affect its effective tax rate by reducing net deferred tax liability. The Company believes that it is reasonably possible that the full amount of unrecognized tax benefits may be reduced within the next 12 months based upon the Company satisfying the RIC Asset and Income tests for the 2014 tax year.</w:t>
      </w:r>
    </w:p>
    <w:p>
      <w:pPr>
        <w:spacing w:after="0" w:line="77" w:lineRule="exact"/>
        <w:rPr>
          <w:sz w:val="20"/>
          <w:szCs w:val="20"/>
          <w:color w:val="auto"/>
        </w:rPr>
      </w:pPr>
    </w:p>
    <w:p>
      <w:pPr>
        <w:jc w:val="both"/>
        <w:ind w:left="40" w:right="519" w:firstLine="270"/>
        <w:spacing w:after="0" w:line="282" w:lineRule="auto"/>
        <w:rPr>
          <w:sz w:val="20"/>
          <w:szCs w:val="20"/>
          <w:color w:val="auto"/>
        </w:rPr>
      </w:pPr>
      <w:r>
        <w:rPr>
          <w:rFonts w:ascii="Times New Roman" w:cs="Times New Roman" w:eastAsia="Times New Roman" w:hAnsi="Times New Roman"/>
          <w:sz w:val="18"/>
          <w:szCs w:val="18"/>
          <w:color w:val="auto"/>
        </w:rPr>
        <w:t>The Company identified its major tax jurisdictions as U.S. federal and California and may be subject to the taxing authorities examination for the tax years 2011 ~ 2014 and 2010 ~ 2014, respectively.</w:t>
      </w:r>
    </w:p>
    <w:p>
      <w:pPr>
        <w:spacing w:after="0" w:line="54" w:lineRule="exact"/>
        <w:rPr>
          <w:sz w:val="20"/>
          <w:szCs w:val="20"/>
          <w:color w:val="auto"/>
        </w:rPr>
      </w:pPr>
    </w:p>
    <w:p>
      <w:pPr>
        <w:jc w:val="both"/>
        <w:ind w:left="40" w:right="519" w:firstLine="270"/>
        <w:spacing w:after="0" w:line="282" w:lineRule="auto"/>
        <w:rPr>
          <w:sz w:val="20"/>
          <w:szCs w:val="20"/>
          <w:color w:val="auto"/>
        </w:rPr>
      </w:pPr>
      <w:r>
        <w:rPr>
          <w:rFonts w:ascii="Times New Roman" w:cs="Times New Roman" w:eastAsia="Times New Roman" w:hAnsi="Times New Roman"/>
          <w:sz w:val="18"/>
          <w:szCs w:val="18"/>
          <w:color w:val="auto"/>
        </w:rPr>
        <w:t>The Company accrues all interest and penalties related to uncertain tax positions as incurred. As of March 31, 2015, there were no interest or penalties incurred related to uncertain tax positions.</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9 — LONG TERM LIABILITIES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 payable</w:t>
      </w:r>
    </w:p>
    <w:p>
      <w:pPr>
        <w:spacing w:after="0" w:line="121" w:lineRule="exact"/>
        <w:rPr>
          <w:sz w:val="20"/>
          <w:szCs w:val="20"/>
          <w:color w:val="auto"/>
        </w:rPr>
      </w:pPr>
    </w:p>
    <w:p>
      <w:pPr>
        <w:jc w:val="both"/>
        <w:ind w:left="40" w:right="519" w:firstLine="270"/>
        <w:spacing w:after="0" w:line="254" w:lineRule="auto"/>
        <w:rPr>
          <w:sz w:val="20"/>
          <w:szCs w:val="20"/>
          <w:color w:val="auto"/>
        </w:rPr>
      </w:pPr>
      <w:r>
        <w:rPr>
          <w:rFonts w:ascii="Times New Roman" w:cs="Times New Roman" w:eastAsia="Times New Roman" w:hAnsi="Times New Roman"/>
          <w:sz w:val="18"/>
          <w:szCs w:val="18"/>
          <w:color w:val="auto"/>
        </w:rPr>
        <w:t>On September 17, 2013, the Company issued $69,000,000 aggregate principal amount of the Convertible Senior Notes (the “Convertible Senior Notes”) (including $9,000,000 aggregate principal amount issued pursuant to the exercise of the initial purchasers’ option to purchase additional Convertible Senior Notes). The Convertible Senior Notes bear interest at a fixed rate of 5.25% per year, payable semi-annually in arrears on March 15 and September 15 of each year, commencing on March 15, 2014. The Convertible Senior Notes are convertible into shares of the Company’s common stock based on an initial conversion rate of 61.5091 shares of the Company’s common stock per $1,000 principal amount of Convertible Senior Notes, which is equivalent to an initial conversion price of approximately $16.26 per share of common stock. The Convertible Senior Notes mature on September 15, 2018, unless previously purchased or converted in accordance with their terms. The Company does not have the right to redeem the Convertible Senior Notes prior to maturity.</w:t>
      </w:r>
    </w:p>
    <w:p>
      <w:pPr>
        <w:spacing w:after="0" w:line="81" w:lineRule="exact"/>
        <w:rPr>
          <w:sz w:val="20"/>
          <w:szCs w:val="20"/>
          <w:color w:val="auto"/>
        </w:rPr>
      </w:pPr>
    </w:p>
    <w:p>
      <w:pPr>
        <w:jc w:val="both"/>
        <w:ind w:left="40" w:right="519" w:firstLine="270"/>
        <w:spacing w:after="0" w:line="256" w:lineRule="auto"/>
        <w:rPr>
          <w:sz w:val="20"/>
          <w:szCs w:val="20"/>
          <w:color w:val="auto"/>
        </w:rPr>
      </w:pPr>
      <w:r>
        <w:rPr>
          <w:rFonts w:ascii="Times New Roman" w:cs="Times New Roman" w:eastAsia="Times New Roman" w:hAnsi="Times New Roman"/>
          <w:sz w:val="18"/>
          <w:szCs w:val="18"/>
          <w:color w:val="auto"/>
        </w:rPr>
        <w:t>The terms of the offering require the Company to place a portion of the proceeds of the offering in an escrow account (the “Interest Escrow”) with U.S. Bank National Association (the “Trustee”) under the indenture pursuant to which the notes are issued. Funds in the escrow account will be invested in government securities and will be used to make the first six scheduled interest payments on the notes, unless the Company elects to make the interest payments from the Company’s available funds. The interest payments on the Convertible Senior Notes will be secured by a pledge of the Company’s interest in the escrow account. In accordance with the Interest</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37" w:name="page38"/>
    <w:bookmarkEnd w:id="3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March 31, 2015 (Unaudited)</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9 — LONG TERM LIABILITIES – (continued)</w:t>
      </w:r>
    </w:p>
    <w:p>
      <w:pPr>
        <w:spacing w:after="0" w:line="121" w:lineRule="exact"/>
        <w:rPr>
          <w:sz w:val="20"/>
          <w:szCs w:val="20"/>
          <w:color w:val="auto"/>
        </w:rPr>
      </w:pPr>
    </w:p>
    <w:p>
      <w:pPr>
        <w:jc w:val="both"/>
        <w:ind w:left="40" w:right="519"/>
        <w:spacing w:after="0" w:line="254" w:lineRule="auto"/>
        <w:rPr>
          <w:sz w:val="20"/>
          <w:szCs w:val="20"/>
          <w:color w:val="auto"/>
        </w:rPr>
      </w:pPr>
      <w:r>
        <w:rPr>
          <w:rFonts w:ascii="Times New Roman" w:cs="Times New Roman" w:eastAsia="Times New Roman" w:hAnsi="Times New Roman"/>
          <w:sz w:val="18"/>
          <w:szCs w:val="18"/>
          <w:color w:val="auto"/>
        </w:rPr>
        <w:t xml:space="preserve">Escrow, the Company deposited $10,867,500 in an escrow account with the Trustee. These funds were used to purchase U.S. Treasury Strips (“Government Securities”) with an original cost of $10,845,236. At March 31, 2015, the remaining government securities are shown on the Consolidated Schedule of Investments and have an amortized cost of $5,478,126. The excess funds of $16,181 held in escrow will be used to secure the payment of the notes and is included on the Condensed Consolidated Statements of Assets and Liabilities as “Restricted Cash”, as well as a $25,000 deposit for the Company’s Fidelity Bond. Proceeds from the issuance of the Convertible Senior Notes were offset by offering costs of approximately $3,585,929 that are being amortized over the term of the notes in accordance with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As of March 31, 2015, of the total offering costs of $3,585,929 incurred, $2,693,379 remains to be amortized and is included within deferred financing costs on the Condensed Consolidated Statements of Assets and Liabilities.</w:t>
      </w:r>
    </w:p>
    <w:p>
      <w:pPr>
        <w:spacing w:after="0" w:line="81" w:lineRule="exact"/>
        <w:rPr>
          <w:sz w:val="20"/>
          <w:szCs w:val="20"/>
          <w:color w:val="auto"/>
        </w:rPr>
      </w:pPr>
    </w:p>
    <w:p>
      <w:pPr>
        <w:jc w:val="both"/>
        <w:ind w:left="40" w:right="519" w:firstLine="270"/>
        <w:spacing w:after="0" w:line="282" w:lineRule="auto"/>
        <w:rPr>
          <w:sz w:val="20"/>
          <w:szCs w:val="20"/>
          <w:color w:val="auto"/>
        </w:rPr>
      </w:pPr>
      <w:r>
        <w:rPr>
          <w:rFonts w:ascii="Times New Roman" w:cs="Times New Roman" w:eastAsia="Times New Roman" w:hAnsi="Times New Roman"/>
          <w:sz w:val="18"/>
          <w:szCs w:val="18"/>
          <w:color w:val="auto"/>
        </w:rPr>
        <w:t>As of March 31, 2015, the principal amount of the Convertible Senior Notes exceeded the value of the underlying shares multiplied by the per share closing price of the Company’s common stock.</w:t>
      </w:r>
    </w:p>
    <w:p>
      <w:pPr>
        <w:spacing w:after="0" w:line="54" w:lineRule="exact"/>
        <w:rPr>
          <w:sz w:val="20"/>
          <w:szCs w:val="20"/>
          <w:color w:val="auto"/>
        </w:rPr>
      </w:pPr>
    </w:p>
    <w:p>
      <w:pPr>
        <w:jc w:val="both"/>
        <w:ind w:left="40" w:right="519" w:firstLine="270"/>
        <w:spacing w:after="0" w:line="258" w:lineRule="auto"/>
        <w:rPr>
          <w:sz w:val="20"/>
          <w:szCs w:val="20"/>
          <w:color w:val="auto"/>
        </w:rPr>
      </w:pPr>
      <w:r>
        <w:rPr>
          <w:rFonts w:ascii="Times New Roman" w:cs="Times New Roman" w:eastAsia="Times New Roman" w:hAnsi="Times New Roman"/>
          <w:sz w:val="18"/>
          <w:szCs w:val="18"/>
          <w:color w:val="auto"/>
        </w:rPr>
        <w:t>The Convertible Senior Notes are the Company’s senior, unsecured obligations and rank senior in right of payment to any future indebtedness that is expressly subordinated in right of payment to the Convertible Senior Notes, equal in right of payment to any future unsecured indebtedness that is not so subordinated to the Convertible Senior Notes, junior (other than to the extent of the interest escrow) to any future secured indebtedness to the extent of the value of the assets securing such indebtedness, and structurally junior to all future indebtedness (including trade payables) incurred by the Company’s subsidiaries.</w:t>
      </w:r>
    </w:p>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w:t>
      </w:r>
    </w:p>
    <w:p>
      <w:pPr>
        <w:spacing w:after="0" w:line="121" w:lineRule="exact"/>
        <w:rPr>
          <w:sz w:val="20"/>
          <w:szCs w:val="20"/>
          <w:color w:val="auto"/>
        </w:rPr>
      </w:pPr>
    </w:p>
    <w:p>
      <w:pPr>
        <w:jc w:val="both"/>
        <w:ind w:left="40" w:right="519" w:firstLine="270"/>
        <w:spacing w:after="0" w:line="256" w:lineRule="auto"/>
        <w:rPr>
          <w:sz w:val="20"/>
          <w:szCs w:val="20"/>
          <w:color w:val="auto"/>
        </w:rPr>
      </w:pPr>
      <w:r>
        <w:rPr>
          <w:rFonts w:ascii="Times New Roman" w:cs="Times New Roman" w:eastAsia="Times New Roman" w:hAnsi="Times New Roman"/>
          <w:sz w:val="18"/>
          <w:szCs w:val="18"/>
          <w:color w:val="auto"/>
        </w:rPr>
        <w:t>The Convertible Senior Notes contain an interest make-whole payment provision pursuant to which holders who convert their notes prior to September 15, 2016 will receive, in addition to a number of shares the Company’s common stock calculated at the applicable conversion rate for principal amount of notes being converted, the cash proceeds from sale by the escrow agent of the portion of the government securities in the escrow account that are remaining with respect to any of the first six interest payments that have not been made on the notes being converted. Under ASC 815-10-15-74(a), the interest make-whole payment is considered an embedded derivative and is separated from the host contract, the Convertible Senior Notes, and carried at fair value.</w:t>
      </w:r>
    </w:p>
    <w:p>
      <w:pPr>
        <w:spacing w:after="0" w:line="80" w:lineRule="exact"/>
        <w:rPr>
          <w:sz w:val="20"/>
          <w:szCs w:val="20"/>
          <w:color w:val="auto"/>
        </w:rPr>
      </w:pPr>
    </w:p>
    <w:p>
      <w:pPr>
        <w:jc w:val="both"/>
        <w:ind w:left="40" w:right="519" w:firstLine="270"/>
        <w:spacing w:after="0" w:line="261" w:lineRule="auto"/>
        <w:rPr>
          <w:sz w:val="20"/>
          <w:szCs w:val="20"/>
          <w:color w:val="auto"/>
        </w:rPr>
      </w:pPr>
      <w:r>
        <w:rPr>
          <w:rFonts w:ascii="Times New Roman" w:cs="Times New Roman" w:eastAsia="Times New Roman" w:hAnsi="Times New Roman"/>
          <w:sz w:val="18"/>
          <w:szCs w:val="18"/>
          <w:color w:val="auto"/>
        </w:rPr>
        <w:t>The Company used a binomial lattice model to estimate the fair value of the embedded derivative in the Convertible Senior Notes. A binomial lattice model generates potential outcomes at various points in time, starting from the date of valuation until the expiration date of the embedded derivative. The estimated fair value of the embedded derivative as of March 31, 2015 is $1,000 as shown on the Consolidated Statement of Assets and Liabilities.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21" w:lineRule="exact"/>
        <w:rPr>
          <w:sz w:val="20"/>
          <w:szCs w:val="20"/>
          <w:color w:val="auto"/>
        </w:rPr>
      </w:pPr>
    </w:p>
    <w:p>
      <w:pPr>
        <w:jc w:val="both"/>
        <w:ind w:left="40" w:right="539" w:firstLine="270"/>
        <w:spacing w:after="0" w:line="266" w:lineRule="auto"/>
        <w:rPr>
          <w:sz w:val="20"/>
          <w:szCs w:val="20"/>
          <w:color w:val="auto"/>
        </w:rPr>
      </w:pPr>
      <w:r>
        <w:rPr>
          <w:rFonts w:ascii="Times New Roman" w:cs="Times New Roman" w:eastAsia="Times New Roman" w:hAnsi="Times New Roman"/>
          <w:sz w:val="18"/>
          <w:szCs w:val="18"/>
          <w:color w:val="auto"/>
        </w:rPr>
        <w:t>The Company entered into the Loan Agreement, effective December 31, 2013, with Silicon Valley Bank to provide the Company with a new $18 million Credit Facility. Under the Credit Facility, the Company is permitted to borrow an amount equal to the lesser of $18 million or 20% of the Company’s then-current net asset value.</w:t>
      </w:r>
    </w:p>
    <w:p>
      <w:pPr>
        <w:spacing w:after="0" w:line="68" w:lineRule="exact"/>
        <w:rPr>
          <w:sz w:val="20"/>
          <w:szCs w:val="20"/>
          <w:color w:val="auto"/>
        </w:rPr>
      </w:pPr>
    </w:p>
    <w:p>
      <w:pPr>
        <w:jc w:val="both"/>
        <w:ind w:left="40" w:right="519" w:firstLine="270"/>
        <w:spacing w:after="0" w:line="254" w:lineRule="auto"/>
        <w:rPr>
          <w:sz w:val="20"/>
          <w:szCs w:val="20"/>
          <w:color w:val="auto"/>
        </w:rPr>
      </w:pPr>
      <w:r>
        <w:rPr>
          <w:rFonts w:ascii="Times New Roman" w:cs="Times New Roman" w:eastAsia="Times New Roman" w:hAnsi="Times New Roman"/>
          <w:sz w:val="18"/>
          <w:szCs w:val="18"/>
          <w:color w:val="auto"/>
        </w:rPr>
        <w:t>The Credit Facility, among other things, matures on December 31, 2016, and bears interest at a per annum rate equal to the greater of (i) the prime rate plus 4.75% and (ii) 8.0%. In addition, a fee of $180,000 per annum (1.0% of the $18 million revolving line of credit) is charged under the Loan Agreement. Under the terms of the Credit Facility, the Company must repay all outstanding borrowings so that there is at least a 30-day period every twelve months during which the Company has no balance outstanding. Under the terms of the Credit Facility, the Company must repay all outstanding borrowings so that there is at least a 30-day period every twelve months during which the Company has no balance outstanding. Under the Loan Agreement, the Company has made certain customary representations and warranties and is required to comply with various covenants, reporting requirements, and other customary requirements for similar credit facilities. The Loan Agreement includes usual and customary events of default for credit facilities of this</w:t>
      </w:r>
    </w:p>
    <w:p>
      <w:pPr>
        <w:spacing w:after="0" w:line="200" w:lineRule="exact"/>
        <w:rPr>
          <w:sz w:val="20"/>
          <w:szCs w:val="20"/>
          <w:color w:val="auto"/>
        </w:rPr>
      </w:pPr>
    </w:p>
    <w:p>
      <w:pPr>
        <w:spacing w:after="0" w:line="3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38" w:name="page39"/>
    <w:bookmarkEnd w:id="38"/>
    <w:p>
      <w:pPr>
        <w:ind w:left="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March 31, 2015 (Unaudited)</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 LONG TERM LIABILITIES – (continued)</w:t>
      </w:r>
    </w:p>
    <w:p>
      <w:pPr>
        <w:spacing w:after="0" w:line="121" w:lineRule="exact"/>
        <w:rPr>
          <w:sz w:val="20"/>
          <w:szCs w:val="20"/>
          <w:color w:val="auto"/>
        </w:rPr>
      </w:pPr>
    </w:p>
    <w:p>
      <w:pPr>
        <w:jc w:val="both"/>
        <w:ind w:left="60" w:right="519"/>
        <w:spacing w:after="0" w:line="266" w:lineRule="auto"/>
        <w:rPr>
          <w:sz w:val="20"/>
          <w:szCs w:val="20"/>
          <w:color w:val="auto"/>
        </w:rPr>
      </w:pPr>
      <w:r>
        <w:rPr>
          <w:rFonts w:ascii="Times New Roman" w:cs="Times New Roman" w:eastAsia="Times New Roman" w:hAnsi="Times New Roman"/>
          <w:sz w:val="18"/>
          <w:szCs w:val="18"/>
          <w:color w:val="auto"/>
        </w:rPr>
        <w:t>nature, including, without limitation, nonpayment, misrepresentation of representations and warranties in a material respect, breach of covenant, cross-default to certain other indebtedness, bankruptcy, change of control, and the occurrence of a material adverse effect.</w:t>
      </w:r>
    </w:p>
    <w:p>
      <w:pPr>
        <w:spacing w:after="0" w:line="68" w:lineRule="exact"/>
        <w:rPr>
          <w:sz w:val="20"/>
          <w:szCs w:val="20"/>
          <w:color w:val="auto"/>
        </w:rPr>
      </w:pPr>
    </w:p>
    <w:p>
      <w:pPr>
        <w:jc w:val="both"/>
        <w:ind w:left="60" w:right="519" w:firstLine="270"/>
        <w:spacing w:after="0" w:line="258" w:lineRule="auto"/>
        <w:rPr>
          <w:sz w:val="20"/>
          <w:szCs w:val="20"/>
          <w:color w:val="auto"/>
        </w:rPr>
      </w:pPr>
      <w:r>
        <w:rPr>
          <w:rFonts w:ascii="Times New Roman" w:cs="Times New Roman" w:eastAsia="Times New Roman" w:hAnsi="Times New Roman"/>
          <w:sz w:val="18"/>
          <w:szCs w:val="18"/>
          <w:color w:val="auto"/>
        </w:rPr>
        <w:t>The Credit Facility is secured by all of the Company’s property and assets, except for the Company’s assets pledged to secure certain obligations in connection with the Company’s issuance, in September 2013, of the Convertible Senior Notes and, as provided for in the Loan Agreement, as may be pledged in connection with any future issuance by the Company of Convertible Senior Notes on substantially similar terms. As of March 31, 2015, the Company had $16,000,000 of borrowings under the Credit Facility, and $2,000,000 unused under the Credit Facility.</w:t>
      </w:r>
    </w:p>
    <w:p>
      <w:pPr>
        <w:spacing w:after="0" w:line="76" w:lineRule="exact"/>
        <w:rPr>
          <w:sz w:val="20"/>
          <w:szCs w:val="20"/>
          <w:color w:val="auto"/>
        </w:rPr>
      </w:pPr>
    </w:p>
    <w:p>
      <w:pPr>
        <w:jc w:val="both"/>
        <w:ind w:left="60" w:right="539" w:firstLine="270"/>
        <w:spacing w:after="0" w:line="266" w:lineRule="auto"/>
        <w:rPr>
          <w:sz w:val="20"/>
          <w:szCs w:val="20"/>
          <w:color w:val="auto"/>
        </w:rPr>
      </w:pPr>
      <w:r>
        <w:rPr>
          <w:rFonts w:ascii="Times New Roman" w:cs="Times New Roman" w:eastAsia="Times New Roman" w:hAnsi="Times New Roman"/>
          <w:sz w:val="18"/>
          <w:szCs w:val="18"/>
          <w:color w:val="auto"/>
        </w:rPr>
        <w:t>Borrowing under the Credit Facility is subject to the leverage restrictions contained in the Investment Company Act of 1940, as amended. In addition, under the Loan Agreement, and as provided for therein, the Company has agreed not to incur certain additional permitted indebtedness in an aggregate amount exceeding 50% of the Company’s then-applicable net asset value.</w:t>
      </w:r>
    </w:p>
    <w:p>
      <w:pPr>
        <w:spacing w:after="0" w:line="1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 SUBSEQUENT EVENTS</w:t>
      </w:r>
    </w:p>
    <w:p>
      <w:pPr>
        <w:spacing w:after="0" w:line="121" w:lineRule="exact"/>
        <w:rPr>
          <w:sz w:val="20"/>
          <w:szCs w:val="20"/>
          <w:color w:val="auto"/>
        </w:rPr>
      </w:pPr>
    </w:p>
    <w:p>
      <w:pPr>
        <w:jc w:val="both"/>
        <w:ind w:left="60" w:right="519" w:firstLine="270"/>
        <w:spacing w:after="0" w:line="282" w:lineRule="auto"/>
        <w:rPr>
          <w:sz w:val="20"/>
          <w:szCs w:val="20"/>
          <w:color w:val="auto"/>
        </w:rPr>
      </w:pPr>
      <w:r>
        <w:rPr>
          <w:rFonts w:ascii="Times New Roman" w:cs="Times New Roman" w:eastAsia="Times New Roman" w:hAnsi="Times New Roman"/>
          <w:sz w:val="18"/>
          <w:szCs w:val="18"/>
          <w:color w:val="auto"/>
        </w:rPr>
        <w:t>From March 31, 2015 through May 11, 2015, the Company closed on investment purchases of $1,549,999 plus transaction costs as shown in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wp:posOffset>
            </wp:positionV>
            <wp:extent cx="475107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80" w:type="dxa"/>
            <w:vAlign w:val="bottom"/>
          </w:tcPr>
          <w:p>
            <w:pPr>
              <w:spacing w:after="0"/>
              <w:rPr>
                <w:sz w:val="13"/>
                <w:szCs w:val="13"/>
                <w:color w:val="auto"/>
              </w:rPr>
            </w:pP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Industry</w:t>
            </w:r>
          </w:p>
        </w:tc>
        <w:tc>
          <w:tcPr>
            <w:tcW w:w="1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73"/>
        </w:trPr>
        <w:tc>
          <w:tcPr>
            <w:tcW w:w="30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NestGSV, Inc. (d.b.a. GSV Labs, Inc.)</w:t>
            </w:r>
          </w:p>
        </w:tc>
        <w:tc>
          <w:tcPr>
            <w:tcW w:w="8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Incubator</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3, 2015</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1,499,999</w:t>
            </w:r>
          </w:p>
        </w:tc>
        <w:tc>
          <w:tcPr>
            <w:tcW w:w="0" w:type="dxa"/>
            <w:vAlign w:val="bottom"/>
          </w:tcPr>
          <w:p>
            <w:pPr>
              <w:spacing w:after="0"/>
              <w:rPr>
                <w:sz w:val="1"/>
                <w:szCs w:val="1"/>
                <w:color w:val="auto"/>
              </w:rPr>
            </w:pPr>
          </w:p>
        </w:tc>
      </w:tr>
      <w:tr>
        <w:trPr>
          <w:trHeight w:val="198"/>
        </w:trPr>
        <w:tc>
          <w:tcPr>
            <w:tcW w:w="3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April 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Earlyshares.com</w:t>
            </w:r>
          </w:p>
        </w:tc>
        <w:tc>
          <w:tcPr>
            <w:tcW w:w="8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 Crowd Funding</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Payments</w:t>
            </w:r>
          </w:p>
        </w:tc>
        <w:tc>
          <w:tcPr>
            <w:tcW w:w="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1,549,999</w:t>
            </w:r>
          </w:p>
        </w:tc>
        <w:tc>
          <w:tcPr>
            <w:tcW w:w="0" w:type="dxa"/>
            <w:vAlign w:val="bottom"/>
          </w:tcPr>
          <w:p>
            <w:pPr>
              <w:spacing w:after="0"/>
              <w:rPr>
                <w:sz w:val="1"/>
                <w:szCs w:val="1"/>
                <w:color w:val="auto"/>
              </w:rPr>
            </w:pPr>
          </w:p>
        </w:tc>
      </w:tr>
      <w:tr>
        <w:trPr>
          <w:trHeight w:val="20"/>
        </w:trPr>
        <w:tc>
          <w:tcPr>
            <w:tcW w:w="30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475107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0" w:lineRule="exact"/>
        <w:rPr>
          <w:sz w:val="20"/>
          <w:szCs w:val="20"/>
          <w:color w:val="auto"/>
        </w:rPr>
      </w:pPr>
    </w:p>
    <w:p>
      <w:pPr>
        <w:jc w:val="both"/>
        <w:ind w:left="60" w:right="519" w:firstLine="270"/>
        <w:spacing w:after="0" w:line="282" w:lineRule="auto"/>
        <w:rPr>
          <w:sz w:val="20"/>
          <w:szCs w:val="20"/>
          <w:color w:val="auto"/>
        </w:rPr>
      </w:pPr>
      <w:r>
        <w:rPr>
          <w:rFonts w:ascii="Times New Roman" w:cs="Times New Roman" w:eastAsia="Times New Roman" w:hAnsi="Times New Roman"/>
          <w:sz w:val="18"/>
          <w:szCs w:val="18"/>
          <w:color w:val="auto"/>
        </w:rPr>
        <w:t>From March 31, 2015 through May 11, 2015, the Company sold investments of $20,608,011 net of transaction costs as shown in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wp:posOffset>
            </wp:positionV>
            <wp:extent cx="521398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60" w:type="dxa"/>
            <w:vAlign w:val="bottom"/>
          </w:tcPr>
          <w:p>
            <w:pPr>
              <w:spacing w:after="0"/>
              <w:rPr>
                <w:sz w:val="16"/>
                <w:szCs w:val="16"/>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Average Net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0" w:type="dxa"/>
            <w:vAlign w:val="bottom"/>
          </w:tcPr>
          <w:p>
            <w:pPr>
              <w:spacing w:after="0"/>
              <w:rPr>
                <w:sz w:val="1"/>
                <w:szCs w:val="1"/>
                <w:color w:val="auto"/>
              </w:rPr>
            </w:pPr>
          </w:p>
        </w:tc>
      </w:tr>
      <w:tr>
        <w:trPr>
          <w:trHeight w:val="176"/>
        </w:trPr>
        <w:tc>
          <w:tcPr>
            <w:tcW w:w="2280" w:type="dxa"/>
            <w:vAlign w:val="bottom"/>
            <w:tcBorders>
              <w:bottom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0" w:type="dxa"/>
            <w:vAlign w:val="bottom"/>
          </w:tcPr>
          <w:p>
            <w:pPr>
              <w:spacing w:after="0"/>
              <w:rPr>
                <w:sz w:val="15"/>
                <w:szCs w:val="15"/>
                <w:color w:val="auto"/>
              </w:rPr>
            </w:pPr>
          </w:p>
        </w:tc>
        <w:tc>
          <w:tcPr>
            <w:tcW w:w="8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Sold</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3"/>
                <w:szCs w:val="13"/>
                <w:b w:val="1"/>
                <w:bCs w:val="1"/>
                <w:color w:val="auto"/>
              </w:rPr>
              <w:t>Share Price</w:t>
            </w:r>
            <w:r>
              <w:rPr>
                <w:rFonts w:ascii="Times New Roman" w:cs="Times New Roman" w:eastAsia="Times New Roman" w:hAnsi="Times New Roman"/>
                <w:sz w:val="20"/>
                <w:szCs w:val="20"/>
                <w:b w:val="1"/>
                <w:bCs w:val="1"/>
                <w:color w:val="auto"/>
                <w:vertAlign w:val="superscript"/>
              </w:rPr>
              <w:t>(1)</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0" w:type="dxa"/>
            <w:vAlign w:val="bottom"/>
          </w:tcPr>
          <w:p>
            <w:pPr>
              <w:spacing w:after="0"/>
              <w:rPr>
                <w:sz w:val="1"/>
                <w:szCs w:val="1"/>
                <w:color w:val="auto"/>
              </w:rPr>
            </w:pPr>
          </w:p>
        </w:tc>
      </w:tr>
      <w:tr>
        <w:trPr>
          <w:trHeight w:val="210"/>
        </w:trPr>
        <w:tc>
          <w:tcPr>
            <w:tcW w:w="2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Twitter Inc.</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April 15, 2015</w:t>
            </w:r>
          </w:p>
        </w:tc>
        <w:tc>
          <w:tcPr>
            <w:tcW w:w="1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51.19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5,118,576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3,432,729</w:t>
            </w:r>
          </w:p>
        </w:tc>
        <w:tc>
          <w:tcPr>
            <w:tcW w:w="0" w:type="dxa"/>
            <w:vAlign w:val="bottom"/>
          </w:tcPr>
          <w:p>
            <w:pPr>
              <w:spacing w:after="0"/>
              <w:rPr>
                <w:sz w:val="1"/>
                <w:szCs w:val="1"/>
                <w:color w:val="auto"/>
              </w:rPr>
            </w:pPr>
          </w:p>
        </w:tc>
      </w:tr>
      <w:tr>
        <w:trPr>
          <w:trHeight w:val="216"/>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Twitter Inc.</w:t>
            </w:r>
          </w:p>
        </w:tc>
        <w:tc>
          <w:tcPr>
            <w:tcW w:w="1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16, 2015</w:t>
            </w:r>
          </w:p>
        </w:tc>
        <w:tc>
          <w:tcPr>
            <w:tcW w:w="1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52.09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5,208,674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3,456,759</w:t>
            </w:r>
          </w:p>
        </w:tc>
        <w:tc>
          <w:tcPr>
            <w:tcW w:w="0" w:type="dxa"/>
            <w:vAlign w:val="bottom"/>
          </w:tcPr>
          <w:p>
            <w:pPr>
              <w:spacing w:after="0"/>
              <w:rPr>
                <w:sz w:val="1"/>
                <w:szCs w:val="1"/>
                <w:color w:val="auto"/>
              </w:rPr>
            </w:pPr>
          </w:p>
        </w:tc>
      </w:tr>
      <w:tr>
        <w:trPr>
          <w:trHeight w:val="216"/>
        </w:trPr>
        <w:tc>
          <w:tcPr>
            <w:tcW w:w="2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Twitter Inc.</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April 21, 2015</w:t>
            </w:r>
          </w:p>
        </w:tc>
        <w:tc>
          <w:tcPr>
            <w:tcW w:w="1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51.59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5,158,915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3,369,931</w:t>
            </w:r>
          </w:p>
        </w:tc>
        <w:tc>
          <w:tcPr>
            <w:tcW w:w="0" w:type="dxa"/>
            <w:vAlign w:val="bottom"/>
          </w:tcPr>
          <w:p>
            <w:pPr>
              <w:spacing w:after="0"/>
              <w:rPr>
                <w:sz w:val="1"/>
                <w:szCs w:val="1"/>
                <w:color w:val="auto"/>
              </w:rPr>
            </w:pPr>
          </w:p>
        </w:tc>
      </w:tr>
      <w:tr>
        <w:trPr>
          <w:trHeight w:val="216"/>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Twitter Inc.</w:t>
            </w:r>
          </w:p>
        </w:tc>
        <w:tc>
          <w:tcPr>
            <w:tcW w:w="1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22, 2015</w:t>
            </w:r>
          </w:p>
        </w:tc>
        <w:tc>
          <w:tcPr>
            <w:tcW w:w="1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51.22</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5,121,846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400,000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51.52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20,608,011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13,666,419</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12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30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86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The average net share price is the net share price realized after deducting all commissions and fees on the sale(s).</w:t>
      </w:r>
    </w:p>
    <w:p>
      <w:pPr>
        <w:spacing w:after="0" w:line="117" w:lineRule="exact"/>
        <w:rPr>
          <w:sz w:val="20"/>
          <w:szCs w:val="20"/>
          <w:color w:val="auto"/>
        </w:rPr>
      </w:pPr>
    </w:p>
    <w:p>
      <w:pPr>
        <w:jc w:val="both"/>
        <w:ind w:left="60" w:right="519" w:firstLine="270"/>
        <w:spacing w:after="0" w:line="255" w:lineRule="auto"/>
        <w:rPr>
          <w:sz w:val="20"/>
          <w:szCs w:val="20"/>
          <w:color w:val="auto"/>
        </w:rPr>
      </w:pPr>
      <w:r>
        <w:rPr>
          <w:rFonts w:ascii="Times New Roman" w:cs="Times New Roman" w:eastAsia="Times New Roman" w:hAnsi="Times New Roman"/>
          <w:sz w:val="18"/>
          <w:szCs w:val="18"/>
          <w:color w:val="auto"/>
        </w:rPr>
        <w:t>The Company is presently in the final stages of negotiations with respect to several private company investments that it anticipates entering into within the next 30 to 60 days,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 From March 31, 2015 through May 11, 2015, the Company has not made any such escrow deposits.</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Line of Credit</w:t>
      </w:r>
    </w:p>
    <w:p>
      <w:pPr>
        <w:spacing w:after="0" w:line="121" w:lineRule="exact"/>
        <w:rPr>
          <w:sz w:val="20"/>
          <w:szCs w:val="20"/>
          <w:color w:val="auto"/>
        </w:rPr>
      </w:pPr>
    </w:p>
    <w:p>
      <w:pPr>
        <w:jc w:val="both"/>
        <w:ind w:left="60" w:right="519" w:firstLine="270"/>
        <w:spacing w:after="0" w:line="282" w:lineRule="auto"/>
        <w:rPr>
          <w:sz w:val="20"/>
          <w:szCs w:val="20"/>
          <w:color w:val="auto"/>
        </w:rPr>
      </w:pPr>
      <w:r>
        <w:rPr>
          <w:rFonts w:ascii="Times New Roman" w:cs="Times New Roman" w:eastAsia="Times New Roman" w:hAnsi="Times New Roman"/>
          <w:sz w:val="18"/>
          <w:szCs w:val="18"/>
          <w:color w:val="auto"/>
        </w:rPr>
        <w:t>As of May 11, 2015, the Company had no borrowings outstanding under the Credit Facility, and $18 million unused under the Credit Facility.</w:t>
      </w:r>
    </w:p>
    <w:p>
      <w:pPr>
        <w:spacing w:after="0" w:line="200" w:lineRule="exact"/>
        <w:rPr>
          <w:sz w:val="20"/>
          <w:szCs w:val="20"/>
          <w:color w:val="auto"/>
        </w:rPr>
      </w:pPr>
    </w:p>
    <w:p>
      <w:pPr>
        <w:spacing w:after="0" w:line="29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39" w:name="page40"/>
    <w:bookmarkEnd w:id="3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40" w:right="2619"/>
        <w:spacing w:after="0" w:line="401"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ind w:left="40" w:right="519" w:firstLine="27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GSV Capital,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80" w:lineRule="exact"/>
        <w:rPr>
          <w:sz w:val="20"/>
          <w:szCs w:val="20"/>
          <w:color w:val="auto"/>
        </w:rPr>
      </w:pPr>
    </w:p>
    <w:p>
      <w:pPr>
        <w:jc w:val="both"/>
        <w:ind w:left="40" w:right="539" w:firstLine="270"/>
        <w:spacing w:after="0" w:line="282" w:lineRule="auto"/>
        <w:rPr>
          <w:sz w:val="20"/>
          <w:szCs w:val="20"/>
          <w:color w:val="auto"/>
        </w:rPr>
      </w:pPr>
      <w:r>
        <w:rPr>
          <w:rFonts w:ascii="Times New Roman" w:cs="Times New Roman" w:eastAsia="Times New Roman" w:hAnsi="Times New Roman"/>
          <w:sz w:val="18"/>
          <w:szCs w:val="18"/>
          <w:color w:val="auto"/>
        </w:rPr>
        <w:t>The forward looking statements contained in this quarterly report on Form 10-Q involve risks and uncertainties, including statements as to:</w:t>
      </w:r>
    </w:p>
    <w:p>
      <w:pPr>
        <w:spacing w:after="0" w:line="54" w:lineRule="exact"/>
        <w:rPr>
          <w:sz w:val="20"/>
          <w:szCs w:val="20"/>
          <w:color w:val="auto"/>
        </w:rPr>
      </w:pPr>
    </w:p>
    <w:p>
      <w:pPr>
        <w:ind w:left="600" w:hanging="322"/>
        <w:spacing w:after="0"/>
        <w:tabs>
          <w:tab w:leader="none" w:pos="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portfolio companies;</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objectives;</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 and</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w:t>
      </w:r>
    </w:p>
    <w:p>
      <w:pPr>
        <w:spacing w:after="0" w:line="117" w:lineRule="exact"/>
        <w:rPr>
          <w:sz w:val="20"/>
          <w:szCs w:val="20"/>
          <w:color w:val="auto"/>
        </w:rPr>
      </w:pPr>
    </w:p>
    <w:p>
      <w:pPr>
        <w:jc w:val="both"/>
        <w:ind w:left="40" w:right="519" w:firstLine="270"/>
        <w:spacing w:after="0" w:line="266" w:lineRule="auto"/>
        <w:rPr>
          <w:sz w:val="20"/>
          <w:szCs w:val="20"/>
          <w:color w:val="auto"/>
        </w:rPr>
      </w:pPr>
      <w:r>
        <w:rPr>
          <w:rFonts w:ascii="Times New Roman" w:cs="Times New Roman" w:eastAsia="Times New Roman" w:hAnsi="Times New Roman"/>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68" w:lineRule="exact"/>
        <w:rPr>
          <w:sz w:val="20"/>
          <w:szCs w:val="20"/>
          <w:color w:val="auto"/>
        </w:rPr>
      </w:pPr>
    </w:p>
    <w:p>
      <w:pPr>
        <w:ind w:left="600" w:right="539" w:hanging="322"/>
        <w:spacing w:after="0" w:line="282" w:lineRule="auto"/>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ability to continue to operate, which could lead to the loss of some or all of our equity investments in such portfolio companies,</w:t>
      </w:r>
    </w:p>
    <w:p>
      <w:pPr>
        <w:spacing w:after="0" w:line="53" w:lineRule="exact"/>
        <w:rPr>
          <w:rFonts w:ascii="Times New Roman" w:cs="Times New Roman" w:eastAsia="Times New Roman" w:hAnsi="Times New Roman"/>
          <w:sz w:val="18"/>
          <w:szCs w:val="18"/>
          <w:color w:val="auto"/>
        </w:rPr>
      </w:pPr>
    </w:p>
    <w:p>
      <w:pPr>
        <w:ind w:left="600" w:right="539" w:hanging="322"/>
        <w:spacing w:after="0" w:line="282" w:lineRule="auto"/>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disproportionately impact the market sectors in which a significant portion of our portfolio is concentrated, causing us to suffer losses in our portfolio,</w:t>
      </w:r>
    </w:p>
    <w:p>
      <w:pPr>
        <w:spacing w:after="0" w:line="53"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equity markets could impair our investment activities,</w:t>
      </w:r>
    </w:p>
    <w:p>
      <w:pPr>
        <w:spacing w:after="0" w:line="117" w:lineRule="exact"/>
        <w:rPr>
          <w:rFonts w:ascii="Times New Roman" w:cs="Times New Roman" w:eastAsia="Times New Roman" w:hAnsi="Times New Roman"/>
          <w:sz w:val="18"/>
          <w:szCs w:val="18"/>
          <w:color w:val="auto"/>
        </w:rPr>
      </w:pPr>
    </w:p>
    <w:p>
      <w:pPr>
        <w:ind w:left="600" w:right="519" w:hanging="322"/>
        <w:spacing w:after="0" w:line="282" w:lineRule="auto"/>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volatility could adversely affect our results, particularly if we opt to use leverage as part of our investment strategy, and</w:t>
      </w:r>
    </w:p>
    <w:p>
      <w:pPr>
        <w:spacing w:after="0" w:line="53" w:lineRule="exact"/>
        <w:rPr>
          <w:rFonts w:ascii="Times New Roman" w:cs="Times New Roman" w:eastAsia="Times New Roman" w:hAnsi="Times New Roman"/>
          <w:sz w:val="18"/>
          <w:szCs w:val="18"/>
          <w:color w:val="auto"/>
        </w:rPr>
      </w:pPr>
    </w:p>
    <w:p>
      <w:pPr>
        <w:ind w:left="600" w:right="519" w:hanging="322"/>
        <w:spacing w:after="0" w:line="282" w:lineRule="auto"/>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“Risk Factors” and elsewhere in this quarterly report on Form 10-Q and in our filings with the SEC.</w:t>
      </w:r>
    </w:p>
    <w:p>
      <w:pPr>
        <w:spacing w:after="0" w:line="54" w:lineRule="exact"/>
        <w:rPr>
          <w:sz w:val="20"/>
          <w:szCs w:val="20"/>
          <w:color w:val="auto"/>
        </w:rPr>
      </w:pPr>
    </w:p>
    <w:p>
      <w:pPr>
        <w:jc w:val="both"/>
        <w:ind w:left="40" w:right="519" w:firstLine="270"/>
        <w:spacing w:after="0" w:line="255"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and elsewhere in this quarterly report on Form 10-Q. You should not place undue reliance on these forward-looking statements, which apply only as of the date of this quarterly report on Form 10-Q.</w:t>
      </w:r>
    </w:p>
    <w:p>
      <w:pPr>
        <w:spacing w:after="0" w:line="200" w:lineRule="exact"/>
        <w:rPr>
          <w:sz w:val="20"/>
          <w:szCs w:val="20"/>
          <w:color w:val="auto"/>
        </w:rPr>
      </w:pPr>
    </w:p>
    <w:p>
      <w:pPr>
        <w:spacing w:after="0" w:line="3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40" w:name="page41"/>
    <w:bookmarkEnd w:id="40"/>
    <w:p>
      <w:pPr>
        <w:ind w:left="14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jc w:val="both"/>
        <w:ind w:left="180" w:right="539" w:firstLine="270"/>
        <w:spacing w:after="0" w:line="282" w:lineRule="auto"/>
        <w:rPr>
          <w:sz w:val="20"/>
          <w:szCs w:val="20"/>
          <w:color w:val="auto"/>
        </w:rPr>
      </w:pPr>
      <w:r>
        <w:rPr>
          <w:rFonts w:ascii="Times New Roman" w:cs="Times New Roman" w:eastAsia="Times New Roman" w:hAnsi="Times New Roman"/>
          <w:sz w:val="18"/>
          <w:szCs w:val="18"/>
          <w:color w:val="auto"/>
        </w:rPr>
        <w:t>The following analysis of our financial condition and results of operations should be read in conjunction with our financial statements and the related notes thereto contain elsewhere in this quarterly report on Form 10-Q.</w:t>
      </w:r>
    </w:p>
    <w:p>
      <w:pPr>
        <w:spacing w:after="0" w:line="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180" w:right="519" w:firstLine="270"/>
        <w:spacing w:after="0" w:line="255" w:lineRule="auto"/>
        <w:rPr>
          <w:sz w:val="20"/>
          <w:szCs w:val="20"/>
          <w:color w:val="auto"/>
        </w:rPr>
      </w:pPr>
      <w:r>
        <w:rPr>
          <w:rFonts w:ascii="Times New Roman" w:cs="Times New Roman" w:eastAsia="Times New Roman" w:hAnsi="Times New Roman"/>
          <w:sz w:val="18"/>
          <w:szCs w:val="18"/>
          <w:color w:val="auto"/>
        </w:rPr>
        <w:t>We are an externally managed, non-diversified closed-end management investment company that has elected to be treated as a business development company under the 1940 Act. Our investment objective is to maximize our portfolio’s total return, principally by seeking capital gains on our equity and equity-related investments. We invest principally in the equity securities of what we believe to be rapidly growing venture capital-backed emerging companies. We acquire our investments through direct investments with prospective portfolio companies, secondary marketplaces for private companies and negotiations with selling stockholders. We may also invest on an opportunistic basis in select publicly-traded equity securities or certain non-U.S. companies that otherwise meet our investment criteria. Our investment activities are managed by GSV Asset Management, and GSV Capital Service Company provides the administrative services necessary for us to operate.</w:t>
      </w:r>
    </w:p>
    <w:p>
      <w:pPr>
        <w:spacing w:after="0" w:line="77" w:lineRule="exact"/>
        <w:rPr>
          <w:sz w:val="20"/>
          <w:szCs w:val="20"/>
          <w:color w:val="auto"/>
        </w:rPr>
      </w:pPr>
    </w:p>
    <w:p>
      <w:pPr>
        <w:jc w:val="both"/>
        <w:ind w:left="180" w:right="519" w:firstLine="270"/>
        <w:spacing w:after="0" w:line="255" w:lineRule="auto"/>
        <w:rPr>
          <w:sz w:val="20"/>
          <w:szCs w:val="20"/>
          <w:color w:val="auto"/>
        </w:rPr>
      </w:pPr>
      <w:r>
        <w:rPr>
          <w:rFonts w:ascii="Times New Roman" w:cs="Times New Roman" w:eastAsia="Times New Roman" w:hAnsi="Times New Roman"/>
          <w:sz w:val="18"/>
          <w:szCs w:val="18"/>
          <w:color w:val="auto"/>
        </w:rPr>
        <w:t>Our investment philosophy is premised on a disciplined approach of identifying high-growth emerging companies across several key industry themes which may include, among others, social mobile, cloud computing and big data, internet commerce, sustainability and education technology. Our investment adviser’s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Many of the companies that our investment adviser evaluates have financial backing from top tier venture capital funds or other financial or strategic sponsors.</w:t>
      </w:r>
    </w:p>
    <w:p>
      <w:pPr>
        <w:spacing w:after="0" w:line="81" w:lineRule="exact"/>
        <w:rPr>
          <w:sz w:val="20"/>
          <w:szCs w:val="20"/>
          <w:color w:val="auto"/>
        </w:rPr>
      </w:pPr>
    </w:p>
    <w:p>
      <w:pPr>
        <w:jc w:val="both"/>
        <w:ind w:left="180" w:right="539" w:firstLine="270"/>
        <w:spacing w:after="0" w:line="266" w:lineRule="auto"/>
        <w:rPr>
          <w:sz w:val="20"/>
          <w:szCs w:val="20"/>
          <w:color w:val="auto"/>
        </w:rPr>
      </w:pPr>
      <w:r>
        <w:rPr>
          <w:rFonts w:ascii="Times New Roman" w:cs="Times New Roman" w:eastAsia="Times New Roman" w:hAnsi="Times New Roman"/>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w:t>
      </w:r>
    </w:p>
    <w:p>
      <w:pPr>
        <w:spacing w:after="0" w:line="1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jc w:val="both"/>
        <w:ind w:left="180" w:right="519" w:firstLine="270"/>
        <w:spacing w:after="0" w:line="261" w:lineRule="auto"/>
        <w:rPr>
          <w:sz w:val="20"/>
          <w:szCs w:val="20"/>
          <w:color w:val="auto"/>
        </w:rPr>
      </w:pPr>
      <w:r>
        <w:rPr>
          <w:rFonts w:ascii="Times New Roman" w:cs="Times New Roman" w:eastAsia="Times New Roman" w:hAnsi="Times New Roman"/>
          <w:sz w:val="18"/>
          <w:szCs w:val="18"/>
          <w:color w:val="auto"/>
        </w:rPr>
        <w:t>The value of our investment portfolio will change over time due to changes in the fair value of our underlying investments, as well as changes in the composition of our portfolio resulting from purchases and sales of new and follow-on investments. The fair value, as of March 31, 2015, of all of our portfolio investments, excluding U.S. Treasury Bills and Strips, was $401,423,763. The following table summarizes the investment purchases we funded during the three months ended 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14605</wp:posOffset>
            </wp:positionV>
            <wp:extent cx="520573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0" w:type="dxa"/>
            <w:vAlign w:val="bottom"/>
          </w:tcPr>
          <w:p>
            <w:pPr>
              <w:spacing w:after="0"/>
              <w:rPr>
                <w:sz w:val="15"/>
                <w:szCs w:val="15"/>
                <w:color w:val="auto"/>
              </w:rPr>
            </w:pPr>
          </w:p>
        </w:tc>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 (Industry)</w:t>
            </w:r>
          </w:p>
        </w:tc>
        <w:tc>
          <w:tcPr>
            <w:tcW w:w="29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Q1 Fundings</w:t>
            </w:r>
          </w:p>
        </w:tc>
        <w:tc>
          <w:tcPr>
            <w:tcW w:w="1260" w:type="dxa"/>
            <w:vAlign w:val="bottom"/>
          </w:tcPr>
          <w:p>
            <w:pPr>
              <w:spacing w:after="0"/>
              <w:rPr>
                <w:sz w:val="15"/>
                <w:szCs w:val="15"/>
                <w:color w:val="auto"/>
              </w:rPr>
            </w:pPr>
          </w:p>
        </w:tc>
      </w:tr>
      <w:tr>
        <w:trPr>
          <w:trHeight w:val="210"/>
        </w:trPr>
        <w:tc>
          <w:tcPr>
            <w:tcW w:w="120" w:type="dxa"/>
            <w:vAlign w:val="bottom"/>
          </w:tcPr>
          <w:p>
            <w:pPr>
              <w:spacing w:after="0"/>
              <w:rPr>
                <w:sz w:val="18"/>
                <w:szCs w:val="18"/>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NestGSV, Inc. (d.b.a. GSV Labs, Inc.) (Incubator)</w:t>
            </w:r>
          </w:p>
        </w:tc>
        <w:tc>
          <w:tcPr>
            <w:tcW w:w="3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1,000,000</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Fullbridge, Inc. (Business Education)</w:t>
            </w: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964,042</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Lyft, Inc. (Peer to Peer Ridesharing)</w:t>
            </w: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2,499,985</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PayNearMe, Inc. (Cash Payment Network)</w:t>
            </w: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3,999,998</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GSV Sustainability Partners (Clean Technology)</w:t>
            </w: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500,000</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Capitalized Fees</w:t>
            </w: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26,100</w:t>
            </w:r>
          </w:p>
        </w:tc>
        <w:tc>
          <w:tcPr>
            <w:tcW w:w="126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Payments</w:t>
            </w:r>
          </w:p>
        </w:tc>
        <w:tc>
          <w:tcPr>
            <w:tcW w:w="3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8,990,125</w:t>
            </w:r>
          </w:p>
        </w:tc>
        <w:tc>
          <w:tcPr>
            <w:tcW w:w="1260" w:type="dxa"/>
            <w:vAlign w:val="bottom"/>
          </w:tcPr>
          <w:p>
            <w:pPr>
              <w:spacing w:after="0"/>
              <w:rPr>
                <w:sz w:val="18"/>
                <w:szCs w:val="18"/>
                <w:color w:val="auto"/>
              </w:rPr>
            </w:pPr>
          </w:p>
        </w:tc>
      </w:tr>
      <w:tr>
        <w:trPr>
          <w:trHeight w:val="763"/>
        </w:trPr>
        <w:tc>
          <w:tcPr>
            <w:tcW w:w="120" w:type="dxa"/>
            <w:vAlign w:val="bottom"/>
          </w:tcPr>
          <w:p>
            <w:pPr>
              <w:spacing w:after="0"/>
              <w:rPr>
                <w:sz w:val="24"/>
                <w:szCs w:val="24"/>
                <w:color w:val="auto"/>
              </w:rPr>
            </w:pPr>
          </w:p>
        </w:tc>
        <w:tc>
          <w:tcPr>
            <w:tcW w:w="4100" w:type="dxa"/>
            <w:vAlign w:val="bottom"/>
            <w:tcBorders>
              <w:top w:val="single" w:sz="8" w:color="CCEEFF"/>
            </w:tcBorders>
          </w:tcPr>
          <w:p>
            <w:pPr>
              <w:spacing w:after="0"/>
              <w:rPr>
                <w:sz w:val="24"/>
                <w:szCs w:val="24"/>
                <w:color w:val="auto"/>
              </w:rPr>
            </w:pPr>
          </w:p>
        </w:tc>
        <w:tc>
          <w:tcPr>
            <w:tcW w:w="2980" w:type="dxa"/>
            <w:vAlign w:val="bottom"/>
            <w:tcBorders>
              <w:top w:val="single" w:sz="8" w:color="CCEEFF"/>
            </w:tcBorders>
          </w:tcPr>
          <w:p>
            <w:pPr>
              <w:jc w:val="right"/>
              <w:ind w:right="223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100" w:type="dxa"/>
            <w:vAlign w:val="bottom"/>
            <w:tcBorders>
              <w:bottom w:val="single" w:sz="8" w:color="9A9A9A"/>
            </w:tcBorders>
          </w:tcPr>
          <w:p>
            <w:pPr>
              <w:spacing w:after="0"/>
              <w:rPr>
                <w:sz w:val="14"/>
                <w:szCs w:val="14"/>
                <w:color w:val="auto"/>
              </w:rPr>
            </w:pPr>
          </w:p>
        </w:tc>
        <w:tc>
          <w:tcPr>
            <w:tcW w:w="29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100" w:type="dxa"/>
            <w:vAlign w:val="bottom"/>
            <w:tcBorders>
              <w:bottom w:val="single" w:sz="8" w:color="EEEEEE"/>
            </w:tcBorders>
          </w:tcPr>
          <w:p>
            <w:pPr>
              <w:spacing w:after="0" w:line="20" w:lineRule="exact"/>
              <w:rPr>
                <w:sz w:val="1"/>
                <w:szCs w:val="1"/>
                <w:color w:val="auto"/>
              </w:rPr>
            </w:pPr>
          </w:p>
        </w:tc>
        <w:tc>
          <w:tcPr>
            <w:tcW w:w="29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-633730</wp:posOffset>
            </wp:positionV>
            <wp:extent cx="521398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0" w:right="1440" w:bottom="1440" w:gutter="0" w:footer="0" w:header="0"/>
        </w:sectPr>
      </w:pPr>
    </w:p>
    <w:bookmarkStart w:id="41" w:name="page42"/>
    <w:bookmarkEnd w:id="41"/>
    <w:p>
      <w:pPr>
        <w:ind w:left="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summarizes the investments we sold during the three months ended March 31, 2015.</w:t>
      </w:r>
    </w:p>
    <w:p>
      <w:pPr>
        <w:spacing w:after="0" w:line="11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Investments Sold for three months ended 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17969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60" w:type="dxa"/>
            <w:vAlign w:val="bottom"/>
          </w:tcPr>
          <w:p>
            <w:pPr>
              <w:spacing w:after="0"/>
              <w:rPr>
                <w:sz w:val="16"/>
                <w:szCs w:val="16"/>
                <w:color w:val="auto"/>
              </w:rPr>
            </w:pPr>
          </w:p>
        </w:tc>
        <w:tc>
          <w:tcPr>
            <w:tcW w:w="8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60" w:type="dxa"/>
            <w:vAlign w:val="bottom"/>
          </w:tcPr>
          <w:p>
            <w:pPr>
              <w:spacing w:after="0"/>
              <w:rPr>
                <w:sz w:val="16"/>
                <w:szCs w:val="16"/>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Net Share</w:t>
            </w:r>
          </w:p>
        </w:tc>
        <w:tc>
          <w:tcPr>
            <w:tcW w:w="1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6"/>
                <w:szCs w:val="16"/>
                <w:color w:val="auto"/>
              </w:rPr>
            </w:pP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0" w:type="dxa"/>
            <w:vAlign w:val="bottom"/>
          </w:tcPr>
          <w:p>
            <w:pPr>
              <w:spacing w:after="0"/>
              <w:rPr>
                <w:sz w:val="1"/>
                <w:szCs w:val="1"/>
                <w:color w:val="auto"/>
              </w:rPr>
            </w:pPr>
          </w:p>
        </w:tc>
      </w:tr>
      <w:tr>
        <w:trPr>
          <w:trHeight w:val="176"/>
        </w:trPr>
        <w:tc>
          <w:tcPr>
            <w:tcW w:w="2800" w:type="dxa"/>
            <w:vAlign w:val="bottom"/>
            <w:tcBorders>
              <w:bottom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Sold</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45"/>
              <w:spacing w:after="0" w:line="176" w:lineRule="exact"/>
              <w:rPr>
                <w:sz w:val="20"/>
                <w:szCs w:val="20"/>
                <w:color w:val="auto"/>
              </w:rPr>
            </w:pPr>
            <w:r>
              <w:rPr>
                <w:rFonts w:ascii="Times New Roman" w:cs="Times New Roman" w:eastAsia="Times New Roman" w:hAnsi="Times New Roman"/>
                <w:sz w:val="13"/>
                <w:szCs w:val="13"/>
                <w:b w:val="1"/>
                <w:bCs w:val="1"/>
                <w:color w:val="auto"/>
              </w:rPr>
              <w:t>Price</w:t>
            </w:r>
            <w:r>
              <w:rPr>
                <w:rFonts w:ascii="Times New Roman" w:cs="Times New Roman" w:eastAsia="Times New Roman" w:hAnsi="Times New Roman"/>
                <w:sz w:val="20"/>
                <w:szCs w:val="20"/>
                <w:b w:val="1"/>
                <w:bCs w:val="1"/>
                <w:color w:val="auto"/>
                <w:vertAlign w:val="superscript"/>
              </w:rPr>
              <w:t>(1)</w:t>
            </w:r>
          </w:p>
        </w:tc>
        <w:tc>
          <w:tcPr>
            <w:tcW w:w="16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160" w:type="dxa"/>
            <w:vAlign w:val="bottom"/>
          </w:tcPr>
          <w:p>
            <w:pPr>
              <w:spacing w:after="0"/>
              <w:rPr>
                <w:sz w:val="15"/>
                <w:szCs w:val="15"/>
                <w:color w:val="auto"/>
              </w:rPr>
            </w:pPr>
          </w:p>
        </w:tc>
        <w:tc>
          <w:tcPr>
            <w:tcW w:w="1020" w:type="dxa"/>
            <w:vAlign w:val="bottom"/>
            <w:tcBorders>
              <w:bottom w:val="single" w:sz="8" w:color="auto"/>
            </w:tcBorders>
          </w:tcPr>
          <w:p>
            <w:pPr>
              <w:jc w:val="right"/>
              <w:ind w:right="12"/>
              <w:spacing w:after="0" w:line="176" w:lineRule="exact"/>
              <w:rPr>
                <w:sz w:val="20"/>
                <w:szCs w:val="20"/>
                <w:color w:val="auto"/>
              </w:rPr>
            </w:pPr>
            <w:r>
              <w:rPr>
                <w:rFonts w:ascii="Times New Roman" w:cs="Times New Roman" w:eastAsia="Times New Roman" w:hAnsi="Times New Roman"/>
                <w:sz w:val="13"/>
                <w:szCs w:val="13"/>
                <w:b w:val="1"/>
                <w:bCs w:val="1"/>
                <w:color w:val="auto"/>
              </w:rPr>
              <w:t>Gain/(Loss)</w:t>
            </w:r>
            <w:r>
              <w:rPr>
                <w:rFonts w:ascii="Times New Roman" w:cs="Times New Roman" w:eastAsia="Times New Roman" w:hAnsi="Times New Roman"/>
                <w:sz w:val="20"/>
                <w:szCs w:val="20"/>
                <w:b w:val="1"/>
                <w:bCs w:val="1"/>
                <w:color w:val="auto"/>
                <w:vertAlign w:val="superscript"/>
              </w:rPr>
              <w:t>(2)</w:t>
            </w:r>
          </w:p>
        </w:tc>
        <w:tc>
          <w:tcPr>
            <w:tcW w:w="0" w:type="dxa"/>
            <w:vAlign w:val="bottom"/>
          </w:tcPr>
          <w:p>
            <w:pPr>
              <w:spacing w:after="0"/>
              <w:rPr>
                <w:sz w:val="1"/>
                <w:szCs w:val="1"/>
                <w:color w:val="auto"/>
              </w:rPr>
            </w:pPr>
          </w:p>
        </w:tc>
      </w:tr>
      <w:tr>
        <w:trPr>
          <w:trHeight w:val="210"/>
        </w:trPr>
        <w:tc>
          <w:tcPr>
            <w:tcW w:w="2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Twitter, Inc.</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Quarter 1</w:t>
            </w:r>
          </w:p>
        </w:tc>
        <w:tc>
          <w:tcPr>
            <w:tcW w:w="1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400,000</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48.90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$ 19,558,200</w:t>
            </w:r>
          </w:p>
        </w:tc>
        <w:tc>
          <w:tcPr>
            <w:tcW w:w="11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$ 13,220,095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300" w:hanging="27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net share price is the net share price realized after deducting all commissions and fees on the sale(s).</w:t>
      </w:r>
    </w:p>
    <w:p>
      <w:pPr>
        <w:spacing w:after="0" w:line="117" w:lineRule="exact"/>
        <w:rPr>
          <w:rFonts w:ascii="Times New Roman" w:cs="Times New Roman" w:eastAsia="Times New Roman" w:hAnsi="Times New Roman"/>
          <w:sz w:val="18"/>
          <w:szCs w:val="18"/>
          <w:color w:val="auto"/>
        </w:rPr>
      </w:pPr>
    </w:p>
    <w:p>
      <w:pPr>
        <w:ind w:left="300" w:hanging="27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gain (loss) excludes any realized gain (loss) incurred on the maturity of the Company’s treasury investments.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March 31, 2015, and 2014.</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results for the three months ended March 31, 2015, and 2014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3"/>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3"/>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127"/>
        </w:trPr>
        <w:tc>
          <w:tcPr>
            <w:tcW w:w="4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ind w:right="17"/>
              <w:spacing w:after="0" w:line="127" w:lineRule="exact"/>
              <w:rPr>
                <w:sz w:val="20"/>
                <w:szCs w:val="20"/>
                <w:color w:val="auto"/>
              </w:rPr>
            </w:pPr>
            <w:r>
              <w:rPr>
                <w:rFonts w:ascii="Times New Roman" w:cs="Times New Roman" w:eastAsia="Times New Roman" w:hAnsi="Times New Roman"/>
                <w:sz w:val="14"/>
                <w:szCs w:val="14"/>
                <w:b w:val="1"/>
                <w:bCs w:val="1"/>
                <w:color w:val="auto"/>
              </w:rPr>
              <w:t>Per Basic</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Per Basic</w:t>
            </w:r>
          </w:p>
        </w:tc>
        <w:tc>
          <w:tcPr>
            <w:tcW w:w="0" w:type="dxa"/>
            <w:vAlign w:val="bottom"/>
          </w:tcPr>
          <w:p>
            <w:pPr>
              <w:spacing w:after="0"/>
              <w:rPr>
                <w:sz w:val="1"/>
                <w:szCs w:val="1"/>
                <w:color w:val="auto"/>
              </w:rPr>
            </w:pPr>
          </w:p>
        </w:tc>
      </w:tr>
      <w:tr>
        <w:trPr>
          <w:trHeight w:val="204"/>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right"/>
              <w:ind w:right="57"/>
              <w:spacing w:after="0" w:line="204" w:lineRule="exact"/>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ind w:right="39"/>
              <w:spacing w:after="0" w:line="204" w:lineRule="exact"/>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10"/>
        </w:trPr>
        <w:tc>
          <w:tcPr>
            <w:tcW w:w="43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59,024</w:t>
            </w:r>
          </w:p>
        </w:tc>
        <w:tc>
          <w:tcPr>
            <w:tcW w:w="80" w:type="dxa"/>
            <w:vAlign w:val="bottom"/>
          </w:tcPr>
          <w:p>
            <w:pPr>
              <w:spacing w:after="0"/>
              <w:rPr>
                <w:sz w:val="18"/>
                <w:szCs w:val="18"/>
                <w:color w:val="auto"/>
              </w:rPr>
            </w:pP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40,815</w:t>
            </w:r>
          </w:p>
        </w:tc>
        <w:tc>
          <w:tcPr>
            <w:tcW w:w="100" w:type="dxa"/>
            <w:vAlign w:val="bottom"/>
          </w:tcPr>
          <w:p>
            <w:pPr>
              <w:spacing w:after="0"/>
              <w:rPr>
                <w:sz w:val="18"/>
                <w:szCs w:val="18"/>
                <w:color w:val="auto"/>
              </w:rPr>
            </w:pPr>
          </w:p>
        </w:tc>
        <w:tc>
          <w:tcPr>
            <w:tcW w:w="760" w:type="dxa"/>
            <w:vAlign w:val="bottom"/>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59,024</w:t>
            </w:r>
          </w:p>
        </w:tc>
        <w:tc>
          <w:tcPr>
            <w:tcW w:w="8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39,928</w:t>
            </w:r>
          </w:p>
        </w:tc>
        <w:tc>
          <w:tcPr>
            <w:tcW w:w="8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 income</w:t>
            </w:r>
          </w:p>
        </w:tc>
        <w:tc>
          <w:tcPr>
            <w:tcW w:w="1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Pr>
          <w:p>
            <w:pPr>
              <w:spacing w:after="0"/>
              <w:rPr>
                <w:sz w:val="18"/>
                <w:szCs w:val="18"/>
                <w:color w:val="auto"/>
              </w:rPr>
            </w:pPr>
          </w:p>
        </w:tc>
        <w:tc>
          <w:tcPr>
            <w:tcW w:w="76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12,852,430</w:t>
            </w:r>
          </w:p>
        </w:tc>
        <w:tc>
          <w:tcPr>
            <w:tcW w:w="8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b w:val="1"/>
                <w:bCs w:val="1"/>
                <w:color w:val="auto"/>
              </w:rPr>
              <w:t>0.67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4,848,543</w:t>
            </w:r>
          </w:p>
        </w:tc>
        <w:tc>
          <w:tcPr>
            <w:tcW w:w="8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0.25</w:t>
            </w:r>
          </w:p>
        </w:tc>
        <w:tc>
          <w:tcPr>
            <w:tcW w:w="0" w:type="dxa"/>
            <w:vAlign w:val="bottom"/>
          </w:tcPr>
          <w:p>
            <w:pPr>
              <w:spacing w:after="0"/>
              <w:rPr>
                <w:sz w:val="1"/>
                <w:szCs w:val="1"/>
                <w:color w:val="auto"/>
              </w:rPr>
            </w:pPr>
          </w:p>
        </w:tc>
      </w:tr>
      <w:tr>
        <w:trPr>
          <w:trHeight w:val="216"/>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management fees</w:t>
            </w:r>
          </w:p>
        </w:tc>
        <w:tc>
          <w:tcPr>
            <w:tcW w:w="1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1,921,128</w:t>
            </w:r>
          </w:p>
        </w:tc>
        <w:tc>
          <w:tcPr>
            <w:tcW w:w="86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1,756,196</w:t>
            </w:r>
          </w:p>
        </w:tc>
        <w:tc>
          <w:tcPr>
            <w:tcW w:w="86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incentive fees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8,211,728</w:t>
            </w:r>
          </w:p>
        </w:tc>
        <w:tc>
          <w:tcPr>
            <w:tcW w:w="8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969,652</w:t>
            </w:r>
          </w:p>
        </w:tc>
        <w:tc>
          <w:tcPr>
            <w:tcW w:w="8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incurred under our administration agreement</w:t>
            </w:r>
          </w:p>
        </w:tc>
        <w:tc>
          <w:tcPr>
            <w:tcW w:w="1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802,396</w:t>
            </w:r>
          </w:p>
        </w:tc>
        <w:tc>
          <w:tcPr>
            <w:tcW w:w="86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908,532</w:t>
            </w:r>
          </w:p>
        </w:tc>
        <w:tc>
          <w:tcPr>
            <w:tcW w:w="86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Directors’ fees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85,306</w:t>
            </w:r>
          </w:p>
        </w:tc>
        <w:tc>
          <w:tcPr>
            <w:tcW w:w="8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65,000</w:t>
            </w:r>
          </w:p>
        </w:tc>
        <w:tc>
          <w:tcPr>
            <w:tcW w:w="8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Professional fees</w:t>
            </w:r>
          </w:p>
        </w:tc>
        <w:tc>
          <w:tcPr>
            <w:tcW w:w="1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341,744</w:t>
            </w:r>
          </w:p>
        </w:tc>
        <w:tc>
          <w:tcPr>
            <w:tcW w:w="86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456,539</w:t>
            </w:r>
          </w:p>
        </w:tc>
        <w:tc>
          <w:tcPr>
            <w:tcW w:w="86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1,368,803</w:t>
            </w:r>
          </w:p>
        </w:tc>
        <w:tc>
          <w:tcPr>
            <w:tcW w:w="8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1,179,725</w:t>
            </w:r>
          </w:p>
        </w:tc>
        <w:tc>
          <w:tcPr>
            <w:tcW w:w="8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expenses</w:t>
            </w:r>
          </w:p>
        </w:tc>
        <w:tc>
          <w:tcPr>
            <w:tcW w:w="1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121,325</w:t>
            </w:r>
          </w:p>
        </w:tc>
        <w:tc>
          <w:tcPr>
            <w:tcW w:w="86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132,899</w:t>
            </w:r>
          </w:p>
        </w:tc>
        <w:tc>
          <w:tcPr>
            <w:tcW w:w="86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98"/>
        </w:trPr>
        <w:tc>
          <w:tcPr>
            <w:tcW w:w="430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Loss (Gain) on fair value adjustment for embedded</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derivative</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(620,000)</w:t>
            </w:r>
          </w:p>
        </w:tc>
        <w:tc>
          <w:tcPr>
            <w:tcW w:w="8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Benefit for taxes on net investment loss</w:t>
            </w:r>
          </w:p>
        </w:tc>
        <w:tc>
          <w:tcPr>
            <w:tcW w:w="1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5,223,611</w:t>
            </w:r>
          </w:p>
        </w:tc>
        <w:tc>
          <w:tcPr>
            <w:tcW w:w="86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2,012,914</w:t>
            </w:r>
          </w:p>
        </w:tc>
        <w:tc>
          <w:tcPr>
            <w:tcW w:w="86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Investment Loss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(7,569,795)</w:t>
            </w:r>
          </w:p>
        </w:tc>
        <w:tc>
          <w:tcPr>
            <w:tcW w:w="86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(2,794,814)</w:t>
            </w:r>
          </w:p>
        </w:tc>
        <w:tc>
          <w:tcPr>
            <w:tcW w:w="8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16"/>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Realized Gains on Investments</w:t>
            </w:r>
          </w:p>
        </w:tc>
        <w:tc>
          <w:tcPr>
            <w:tcW w:w="1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13,218,403</w:t>
            </w:r>
          </w:p>
        </w:tc>
        <w:tc>
          <w:tcPr>
            <w:tcW w:w="86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7,931,745</w:t>
            </w:r>
          </w:p>
        </w:tc>
        <w:tc>
          <w:tcPr>
            <w:tcW w:w="86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taxes on Net Realized Capital Gains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(5,397,074)</w:t>
            </w:r>
          </w:p>
        </w:tc>
        <w:tc>
          <w:tcPr>
            <w:tcW w:w="86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(3,238,531)</w:t>
            </w:r>
          </w:p>
        </w:tc>
        <w:tc>
          <w:tcPr>
            <w:tcW w:w="8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198"/>
        </w:trPr>
        <w:tc>
          <w:tcPr>
            <w:tcW w:w="430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Net Change in Unrealized Appreciation/(Depreciation)</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on Investments</w:t>
            </w:r>
          </w:p>
        </w:tc>
        <w:tc>
          <w:tcPr>
            <w:tcW w:w="10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27,784,081</w:t>
            </w:r>
          </w:p>
        </w:tc>
        <w:tc>
          <w:tcPr>
            <w:tcW w:w="86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(3,073,679)</w:t>
            </w:r>
          </w:p>
        </w:tc>
        <w:tc>
          <w:tcPr>
            <w:tcW w:w="8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198"/>
        </w:trPr>
        <w:tc>
          <w:tcPr>
            <w:tcW w:w="430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(Provision)/Benefit for taxes on Unrealized</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Appreciation/Depreciation of Investments</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(11,370,993)</w:t>
            </w:r>
          </w:p>
        </w:tc>
        <w:tc>
          <w:tcPr>
            <w:tcW w:w="86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1,254,983</w:t>
            </w:r>
          </w:p>
        </w:tc>
        <w:tc>
          <w:tcPr>
            <w:tcW w:w="8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34"/>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16,664,622</w:t>
            </w:r>
          </w:p>
        </w:tc>
        <w:tc>
          <w:tcPr>
            <w:tcW w:w="86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0.86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79,704</w:t>
            </w:r>
          </w:p>
        </w:tc>
        <w:tc>
          <w:tcPr>
            <w:tcW w:w="86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6172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300" w:right="539" w:hanging="272"/>
        <w:spacing w:after="0" w:line="282" w:lineRule="auto"/>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per-share figures noted are based on a weighted-average of 19,320,100 and 19,320,100 shares outstanding for the three months ended March 31, 2015 and 2014, respectively.</w:t>
      </w:r>
    </w:p>
    <w:p>
      <w:pPr>
        <w:spacing w:after="0" w:line="200" w:lineRule="exact"/>
        <w:rPr>
          <w:sz w:val="20"/>
          <w:szCs w:val="20"/>
          <w:color w:val="auto"/>
        </w:rPr>
      </w:pPr>
    </w:p>
    <w:p>
      <w:pPr>
        <w:spacing w:after="0" w:line="29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42" w:name="page43"/>
    <w:bookmarkEnd w:id="4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2015, and 2014</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121" w:lineRule="exact"/>
        <w:rPr>
          <w:sz w:val="20"/>
          <w:szCs w:val="20"/>
          <w:color w:val="auto"/>
        </w:rPr>
      </w:pPr>
    </w:p>
    <w:p>
      <w:pPr>
        <w:jc w:val="both"/>
        <w:ind w:left="40" w:right="519" w:firstLine="270"/>
        <w:spacing w:after="0" w:line="266" w:lineRule="auto"/>
        <w:rPr>
          <w:sz w:val="20"/>
          <w:szCs w:val="20"/>
          <w:color w:val="auto"/>
        </w:rPr>
      </w:pPr>
      <w:r>
        <w:rPr>
          <w:rFonts w:ascii="Times New Roman" w:cs="Times New Roman" w:eastAsia="Times New Roman" w:hAnsi="Times New Roman"/>
          <w:sz w:val="18"/>
          <w:szCs w:val="18"/>
          <w:color w:val="auto"/>
        </w:rPr>
        <w:t>Investment income increased to $59,024 for the three months ended March 31, 2015, as compared to $40,815 for the three months ended March 31, 2014. The increase was primarily due to the addition of new loans during the three months ended March 31, 2015 versus the three months ended March 31, 2014.</w:t>
      </w:r>
    </w:p>
    <w:p>
      <w:pPr>
        <w:spacing w:after="0" w:line="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Times New Roman" w:cs="Times New Roman" w:eastAsia="Times New Roman" w:hAnsi="Times New Roman"/>
          <w:sz w:val="18"/>
          <w:szCs w:val="18"/>
          <w:color w:val="auto"/>
        </w:rPr>
        <w:t>Total operating expenses increased to $12,852,430, for the three months ended March 31, 2015, as compared to $4,848,543 for the three months ended March 31, 2014. The increase was primarily due to a significant increase in accrued incentive fees as well as increases in interest expense and investment management fees. The increase in accrued incentive fees resulted from the appreciation of our portfolio for the three months ended March 31, 2015 relative to the three months ended March 31, 2014. The increased management fees are a result of the growth in our total assets, which primarily results from the growth of our investment portfolio for the three months ended March 31, 2015 relative to the three months ended March 31, 2014. The increased interest expense resulted from our borrowings under the Credit Facility during the three months ended March 31, 2015. During the three months ended March 31, 2014 we did not borrow under the Credit Facility.</w:t>
      </w:r>
    </w:p>
    <w:p>
      <w:pPr>
        <w:spacing w:after="0" w:line="1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Benefit for Taxes on Net Investment Loss</w:t>
      </w:r>
    </w:p>
    <w:p>
      <w:pPr>
        <w:spacing w:after="0" w:line="121" w:lineRule="exact"/>
        <w:rPr>
          <w:sz w:val="20"/>
          <w:szCs w:val="20"/>
          <w:color w:val="auto"/>
        </w:rPr>
      </w:pPr>
    </w:p>
    <w:p>
      <w:pPr>
        <w:jc w:val="both"/>
        <w:ind w:left="40" w:right="519" w:firstLine="27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2015, we recognized a benefit for taxes on net investment loss of $5,223,611, compared to a corresponding benefit of $2,012,914 for three months ended March 31, 2014. The increase in benefit for taxes on net investment loss is due primarily to the significant increase in operating expenses for the three months ended March 31, 2015, as compared to the three months ended March 31, 2014.</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Loss</w:t>
      </w:r>
    </w:p>
    <w:p>
      <w:pPr>
        <w:spacing w:after="0" w:line="121" w:lineRule="exact"/>
        <w:rPr>
          <w:sz w:val="20"/>
          <w:szCs w:val="20"/>
          <w:color w:val="auto"/>
        </w:rPr>
      </w:pPr>
    </w:p>
    <w:p>
      <w:pPr>
        <w:jc w:val="both"/>
        <w:ind w:left="40" w:right="539" w:firstLine="27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2015, we recognized a net investment loss of $7,569,795, compared to a corresponding net investment loss of $2,794,814 for the three months ended March 31, 2014. The increase in net investment loss is a result of the increased operating expenses discussed above partially offset by the increased benefit for taxes on net investment loss.</w:t>
      </w:r>
    </w:p>
    <w:p>
      <w:pPr>
        <w:spacing w:after="0" w:line="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Net Realized Gains on Investments</w:t>
      </w:r>
    </w:p>
    <w:p>
      <w:pPr>
        <w:spacing w:after="0" w:line="121" w:lineRule="exact"/>
        <w:rPr>
          <w:sz w:val="20"/>
          <w:szCs w:val="20"/>
          <w:color w:val="auto"/>
        </w:rPr>
      </w:pPr>
    </w:p>
    <w:p>
      <w:pPr>
        <w:jc w:val="both"/>
        <w:ind w:left="40" w:right="519" w:firstLine="270"/>
        <w:spacing w:after="0" w:line="261" w:lineRule="auto"/>
        <w:rPr>
          <w:sz w:val="20"/>
          <w:szCs w:val="20"/>
          <w:color w:val="auto"/>
        </w:rPr>
      </w:pPr>
      <w:r>
        <w:rPr>
          <w:rFonts w:ascii="Times New Roman" w:cs="Times New Roman" w:eastAsia="Times New Roman" w:hAnsi="Times New Roman"/>
          <w:sz w:val="18"/>
          <w:szCs w:val="18"/>
          <w:color w:val="auto"/>
        </w:rPr>
        <w:t>There was a significant increase in realized gains for the three months ended March 31, 2015 as compared to the three months ended March 31, 2014. For the three months ended March 31, 2015, net realized gains on investments were $13,218,403, which resulted primarily from the sale of Twitter, Inc. For the three months ended March 31, 2014, we had $7,931,745 of realized capital gains, which resulted primarily from the sales of Facebook, Inc. and Control4 Corporation.</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Taxes on Net Realized Capital Gains</w:t>
      </w:r>
    </w:p>
    <w:p>
      <w:pPr>
        <w:spacing w:after="0" w:line="121" w:lineRule="exact"/>
        <w:rPr>
          <w:sz w:val="20"/>
          <w:szCs w:val="20"/>
          <w:color w:val="auto"/>
        </w:rPr>
      </w:pPr>
    </w:p>
    <w:p>
      <w:pPr>
        <w:jc w:val="both"/>
        <w:ind w:left="40" w:right="519" w:firstLine="27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2015, and 2014, we recognized provisions of $5,397,074 and $3,238,531, respectively, for taxes on net realized capital gains. The increase in the provision for taxes on net realized capital gains is due to the significant increase in net realized gains for the three months ended March 31, 2015 relative to the three months ended March 31, 2014.</w:t>
      </w:r>
    </w:p>
    <w:p>
      <w:pPr>
        <w:spacing w:after="0" w:line="200" w:lineRule="exact"/>
        <w:rPr>
          <w:sz w:val="20"/>
          <w:szCs w:val="20"/>
          <w:color w:val="auto"/>
        </w:rPr>
      </w:pPr>
    </w:p>
    <w:p>
      <w:pPr>
        <w:spacing w:after="0" w:line="3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43" w:name="page44"/>
    <w:bookmarkEnd w:id="43"/>
    <w:p>
      <w:pPr>
        <w:ind w:left="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Change in Unrealized Appreciation (Depreciation) of Investments</w:t>
      </w:r>
    </w:p>
    <w:p>
      <w:pPr>
        <w:spacing w:after="0" w:line="121" w:lineRule="exact"/>
        <w:rPr>
          <w:sz w:val="20"/>
          <w:szCs w:val="20"/>
          <w:color w:val="auto"/>
        </w:rPr>
      </w:pPr>
    </w:p>
    <w:p>
      <w:pPr>
        <w:jc w:val="both"/>
        <w:ind w:left="60" w:right="519" w:firstLine="27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2015, we had a net change in unrealized appreciation of $27,784,081. For three months ended March 31, 2014, we had a net change in unrealized depreciation of $(3,073,679). The following table summarizes, by Portfolio Company, the significant changes in unrealized appreciation (depreciation) of the Company’s investment portfolio for the three months ended 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9690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6900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142875</wp:posOffset>
            </wp:positionV>
            <wp:extent cx="59690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9"/>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March 31, 2015 (Unaudited)</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7"/>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0" w:type="dxa"/>
            <w:vAlign w:val="bottom"/>
          </w:tcPr>
          <w:p>
            <w:pPr>
              <w:spacing w:after="0"/>
              <w:rPr>
                <w:sz w:val="1"/>
                <w:szCs w:val="1"/>
                <w:color w:val="auto"/>
              </w:rPr>
            </w:pPr>
          </w:p>
        </w:tc>
      </w:tr>
      <w:tr>
        <w:trPr>
          <w:trHeight w:val="149"/>
        </w:trPr>
        <w:tc>
          <w:tcPr>
            <w:tcW w:w="2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8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0" w:type="dxa"/>
            <w:vAlign w:val="bottom"/>
          </w:tcPr>
          <w:p>
            <w:pPr>
              <w:spacing w:after="0"/>
              <w:rPr>
                <w:sz w:val="1"/>
                <w:szCs w:val="1"/>
                <w:color w:val="auto"/>
              </w:rPr>
            </w:pPr>
          </w:p>
        </w:tc>
      </w:tr>
      <w:tr>
        <w:trPr>
          <w:trHeight w:val="173"/>
        </w:trPr>
        <w:tc>
          <w:tcPr>
            <w:tcW w:w="2180" w:type="dxa"/>
            <w:vAlign w:val="bottom"/>
            <w:tcBorders>
              <w:bottom w:val="single" w:sz="8" w:color="auto"/>
            </w:tcBorders>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0" w:type="dxa"/>
            <w:vAlign w:val="bottom"/>
          </w:tcPr>
          <w:p>
            <w:pPr>
              <w:spacing w:after="0"/>
              <w:rPr>
                <w:sz w:val="1"/>
                <w:szCs w:val="1"/>
                <w:color w:val="auto"/>
              </w:rPr>
            </w:pPr>
          </w:p>
        </w:tc>
      </w:tr>
      <w:tr>
        <w:trPr>
          <w:trHeight w:val="196"/>
        </w:trPr>
        <w:tc>
          <w:tcPr>
            <w:tcW w:w="21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Twitter, Inc.</w:t>
            </w: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9,050,631</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21,213,458</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60,126,048</w:t>
            </w:r>
          </w:p>
        </w:tc>
        <w:tc>
          <w:tcPr>
            <w:tcW w:w="1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$38,912,590</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27,551,563</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57,413,522</w:t>
            </w:r>
          </w:p>
        </w:tc>
        <w:tc>
          <w:tcPr>
            <w:tcW w:w="1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$ 29,861,959</w:t>
            </w:r>
          </w:p>
        </w:tc>
        <w:tc>
          <w:tcPr>
            <w:tcW w:w="0" w:type="dxa"/>
            <w:vAlign w:val="bottom"/>
          </w:tcPr>
          <w:p>
            <w:pPr>
              <w:spacing w:after="0"/>
              <w:rPr>
                <w:sz w:val="1"/>
                <w:szCs w:val="1"/>
                <w:color w:val="auto"/>
              </w:rPr>
            </w:pPr>
          </w:p>
        </w:tc>
      </w:tr>
      <w:tr>
        <w:trPr>
          <w:trHeight w:val="203"/>
        </w:trPr>
        <w:tc>
          <w:tcPr>
            <w:tcW w:w="2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Dataminr, Inc.</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7,973,954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3,164,265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11,918,699</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8,754,434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3,164,265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3,944,745</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780,480</w:t>
            </w:r>
          </w:p>
        </w:tc>
        <w:tc>
          <w:tcPr>
            <w:tcW w:w="0" w:type="dxa"/>
            <w:vAlign w:val="bottom"/>
          </w:tcPr>
          <w:p>
            <w:pPr>
              <w:spacing w:after="0"/>
              <w:rPr>
                <w:sz w:val="1"/>
                <w:szCs w:val="1"/>
                <w:color w:val="auto"/>
              </w:rPr>
            </w:pPr>
          </w:p>
        </w:tc>
      </w:tr>
      <w:tr>
        <w:trPr>
          <w:trHeight w:val="203"/>
        </w:trPr>
        <w:tc>
          <w:tcPr>
            <w:tcW w:w="21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2U, Inc. (f/k/a 2tor, Inc.)</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7,028,873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10,032,117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30,371,382</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20,339,265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10,032,117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23,342,509</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13,310,392</w:t>
            </w:r>
          </w:p>
        </w:tc>
        <w:tc>
          <w:tcPr>
            <w:tcW w:w="0" w:type="dxa"/>
            <w:vAlign w:val="bottom"/>
          </w:tcPr>
          <w:p>
            <w:pPr>
              <w:spacing w:after="0"/>
              <w:rPr>
                <w:sz w:val="1"/>
                <w:szCs w:val="1"/>
                <w:color w:val="auto"/>
              </w:rPr>
            </w:pPr>
          </w:p>
        </w:tc>
      </w:tr>
      <w:tr>
        <w:trPr>
          <w:trHeight w:val="203"/>
        </w:trPr>
        <w:tc>
          <w:tcPr>
            <w:tcW w:w="2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Lyft, Inc.</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3,658,099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7,507,216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11,160,735</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3,653,519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5,003,634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4,999,054</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(4,580)</w:t>
            </w:r>
          </w:p>
        </w:tc>
        <w:tc>
          <w:tcPr>
            <w:tcW w:w="0" w:type="dxa"/>
            <w:vAlign w:val="bottom"/>
          </w:tcPr>
          <w:p>
            <w:pPr>
              <w:spacing w:after="0"/>
              <w:rPr>
                <w:sz w:val="1"/>
                <w:szCs w:val="1"/>
                <w:color w:val="auto"/>
              </w:rPr>
            </w:pPr>
          </w:p>
        </w:tc>
      </w:tr>
      <w:tr>
        <w:trPr>
          <w:trHeight w:val="203"/>
        </w:trPr>
        <w:tc>
          <w:tcPr>
            <w:tcW w:w="21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Chegg, Inc.</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1,230,103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14,022,863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9,403,196</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(4,619,667)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14,022,863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8,173,093</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(5,849,770)</w:t>
            </w:r>
          </w:p>
        </w:tc>
        <w:tc>
          <w:tcPr>
            <w:tcW w:w="0" w:type="dxa"/>
            <w:vAlign w:val="bottom"/>
          </w:tcPr>
          <w:p>
            <w:pPr>
              <w:spacing w:after="0"/>
              <w:rPr>
                <w:sz w:val="1"/>
                <w:szCs w:val="1"/>
                <w:color w:val="auto"/>
              </w:rPr>
            </w:pPr>
          </w:p>
        </w:tc>
      </w:tr>
      <w:tr>
        <w:trPr>
          <w:trHeight w:val="203"/>
        </w:trPr>
        <w:tc>
          <w:tcPr>
            <w:tcW w:w="2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Gilt Groupe Holdings, Inc.</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(2,039,464)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6,594,433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1,128,644</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(5,465,789)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6,594,433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3,168,108</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(3,426,325)</w:t>
            </w:r>
          </w:p>
        </w:tc>
        <w:tc>
          <w:tcPr>
            <w:tcW w:w="0" w:type="dxa"/>
            <w:vAlign w:val="bottom"/>
          </w:tcPr>
          <w:p>
            <w:pPr>
              <w:spacing w:after="0"/>
              <w:rPr>
                <w:sz w:val="1"/>
                <w:szCs w:val="1"/>
                <w:color w:val="auto"/>
              </w:rPr>
            </w:pPr>
          </w:p>
        </w:tc>
      </w:tr>
      <w:tr>
        <w:trPr>
          <w:trHeight w:val="243"/>
        </w:trPr>
        <w:tc>
          <w:tcPr>
            <w:tcW w:w="2180" w:type="dxa"/>
            <w:vAlign w:val="bottom"/>
            <w:gridSpan w:val="3"/>
          </w:tcPr>
          <w:p>
            <w:pPr>
              <w:ind w:left="20"/>
              <w:spacing w:after="0" w:line="242"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7"/>
                <w:szCs w:val="27"/>
                <w:color w:val="auto"/>
                <w:vertAlign w:val="superscript"/>
              </w:rPr>
              <w:t>(1)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881,885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7"/>
              </w:rPr>
              <w:t>346,728,463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9"/>
              </w:rPr>
              <w:t>382,820,894</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36,092,431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7"/>
              </w:rPr>
              <w:t>342,030,838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9"/>
              </w:rPr>
              <w:t>377,241,384</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35,210,546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27,784,081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7"/>
              </w:rPr>
              <w:t>409,262,815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506,929,598</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97,666,783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7"/>
              </w:rPr>
              <w:t>408,399,713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478,282,415</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$ 69,882,702</w:t>
            </w:r>
          </w:p>
        </w:tc>
        <w:tc>
          <w:tcPr>
            <w:tcW w:w="0" w:type="dxa"/>
            <w:vAlign w:val="bottom"/>
          </w:tcPr>
          <w:p>
            <w:pPr>
              <w:spacing w:after="0"/>
              <w:rPr>
                <w:sz w:val="1"/>
                <w:szCs w:val="1"/>
                <w:color w:val="auto"/>
              </w:rPr>
            </w:pP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bottom w:val="single" w:sz="8" w:color="auto"/>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-222250</wp:posOffset>
            </wp:positionV>
            <wp:extent cx="5969000" cy="342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9000" cy="34290"/>
                    </a:xfrm>
                    <a:prstGeom prst="rect">
                      <a:avLst/>
                    </a:prstGeom>
                    <a:noFill/>
                  </pic:spPr>
                </pic:pic>
              </a:graphicData>
            </a:graphic>
          </wp:anchor>
        </w:drawing>
      </w:r>
    </w:p>
    <w:p>
      <w:pPr>
        <w:spacing w:after="0" w:line="232" w:lineRule="exact"/>
        <w:rPr>
          <w:sz w:val="20"/>
          <w:szCs w:val="20"/>
          <w:color w:val="auto"/>
        </w:rPr>
      </w:pPr>
    </w:p>
    <w:p>
      <w:pPr>
        <w:ind w:left="300" w:right="539" w:hanging="272"/>
        <w:spacing w:after="0" w:line="282" w:lineRule="auto"/>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represents all investments (including U.S. Treasury Bills and U.S. Treasury Strips) whose individual change in unrealized appreciation (depreciation) was less than $1,000,000 for the three months ended March 31, 2015.</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(Provision)/Benefit for taxes on Unrealized Appreciation/Depreciation of Investments</w:t>
      </w:r>
    </w:p>
    <w:p>
      <w:pPr>
        <w:spacing w:after="0" w:line="121" w:lineRule="exact"/>
        <w:rPr>
          <w:sz w:val="20"/>
          <w:szCs w:val="20"/>
          <w:color w:val="auto"/>
        </w:rPr>
      </w:pPr>
    </w:p>
    <w:p>
      <w:pPr>
        <w:jc w:val="both"/>
        <w:ind w:left="60" w:right="539" w:firstLine="27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2015, we recognized a provision for taxes of $11,370,993 on unrealized appreciation of investments.</w:t>
      </w:r>
    </w:p>
    <w:p>
      <w:pPr>
        <w:spacing w:after="0" w:line="54" w:lineRule="exact"/>
        <w:rPr>
          <w:sz w:val="20"/>
          <w:szCs w:val="20"/>
          <w:color w:val="auto"/>
        </w:rPr>
      </w:pPr>
    </w:p>
    <w:p>
      <w:pPr>
        <w:jc w:val="both"/>
        <w:ind w:left="60" w:right="519" w:firstLine="27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2014, we recognized a benefit for taxes of $1,254,983 on unrealized depreciation of investments.</w:t>
      </w:r>
    </w:p>
    <w:p>
      <w:pPr>
        <w:spacing w:after="0" w:line="54" w:lineRule="exact"/>
        <w:rPr>
          <w:sz w:val="20"/>
          <w:szCs w:val="20"/>
          <w:color w:val="auto"/>
        </w:rPr>
      </w:pPr>
    </w:p>
    <w:p>
      <w:pPr>
        <w:jc w:val="both"/>
        <w:ind w:left="60" w:right="519" w:firstLine="270"/>
        <w:spacing w:after="0" w:line="261" w:lineRule="auto"/>
        <w:rPr>
          <w:sz w:val="20"/>
          <w:szCs w:val="20"/>
          <w:color w:val="auto"/>
        </w:rPr>
      </w:pPr>
      <w:r>
        <w:rPr>
          <w:rFonts w:ascii="Times New Roman" w:cs="Times New Roman" w:eastAsia="Times New Roman" w:hAnsi="Times New Roman"/>
          <w:sz w:val="18"/>
          <w:szCs w:val="18"/>
          <w:color w:val="auto"/>
        </w:rPr>
        <w:t>The change between the two periods is due to the fact that the change in unrealized appreciation from investments increased from $(3.1) million to $27.8 million as shown in the table above. The change in unrealized appreciation for the three months ended March 31, 2015 was primarily due to the appreciation of Twitter, Inc., Dataminr, Inc. and 2U, Inc. (f/k/a 2tor, Inc.), partially offset by the deprecation of Gilt Groupe Holdings, Inc.</w:t>
      </w:r>
    </w:p>
    <w:p>
      <w:pPr>
        <w:spacing w:after="0" w:line="1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Increase in Net Assets Resulting from Operations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months ended March 31, 2015, the net increase in net assets resulting from operations was $16,664,622.</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months ended March 31, 2014, the net increase in net assets resulting from operations was $79,704.</w:t>
      </w:r>
    </w:p>
    <w:p>
      <w:pPr>
        <w:spacing w:after="0" w:line="117" w:lineRule="exact"/>
        <w:rPr>
          <w:sz w:val="20"/>
          <w:szCs w:val="20"/>
          <w:color w:val="auto"/>
        </w:rPr>
      </w:pPr>
    </w:p>
    <w:p>
      <w:pPr>
        <w:jc w:val="both"/>
        <w:ind w:left="60" w:right="519" w:firstLine="270"/>
        <w:spacing w:after="0" w:line="266" w:lineRule="auto"/>
        <w:rPr>
          <w:sz w:val="20"/>
          <w:szCs w:val="20"/>
          <w:color w:val="auto"/>
        </w:rPr>
      </w:pPr>
      <w:r>
        <w:rPr>
          <w:rFonts w:ascii="Times New Roman" w:cs="Times New Roman" w:eastAsia="Times New Roman" w:hAnsi="Times New Roman"/>
          <w:sz w:val="18"/>
          <w:szCs w:val="18"/>
          <w:color w:val="auto"/>
        </w:rPr>
        <w:t>The rise in increase in net assets resulting from operations for the three months ended March 31, 2015, as compared to the three months ended March 31, 2014, resulted from the change in unrealized appreciation of the portfolio as a whole, as well as increased realized gains, which were partially offset by a significant increase in operating expenses.</w:t>
      </w:r>
    </w:p>
    <w:p>
      <w:pPr>
        <w:spacing w:after="0" w:line="68" w:lineRule="exact"/>
        <w:rPr>
          <w:sz w:val="20"/>
          <w:szCs w:val="20"/>
          <w:color w:val="auto"/>
        </w:rPr>
      </w:pPr>
    </w:p>
    <w:p>
      <w:pPr>
        <w:jc w:val="both"/>
        <w:ind w:left="60" w:right="519" w:firstLine="270"/>
        <w:spacing w:after="0" w:line="282" w:lineRule="auto"/>
        <w:rPr>
          <w:sz w:val="20"/>
          <w:szCs w:val="20"/>
          <w:color w:val="auto"/>
        </w:rPr>
      </w:pPr>
      <w:r>
        <w:rPr>
          <w:rFonts w:ascii="Times New Roman" w:cs="Times New Roman" w:eastAsia="Times New Roman" w:hAnsi="Times New Roman"/>
          <w:sz w:val="18"/>
          <w:szCs w:val="18"/>
          <w:color w:val="auto"/>
        </w:rPr>
        <w:t>The per-share figures noted above are based on a weighted-average of 19,320,100 shares outstanding for the three months ended March 31, 2015 and 2014.</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left="60" w:right="539" w:firstLine="270"/>
        <w:spacing w:after="0" w:line="282" w:lineRule="auto"/>
        <w:rPr>
          <w:sz w:val="20"/>
          <w:szCs w:val="20"/>
          <w:color w:val="auto"/>
        </w:rPr>
      </w:pPr>
      <w:r>
        <w:rPr>
          <w:rFonts w:ascii="Times New Roman" w:cs="Times New Roman" w:eastAsia="Times New Roman" w:hAnsi="Times New Roman"/>
          <w:sz w:val="18"/>
          <w:szCs w:val="18"/>
          <w:color w:val="auto"/>
        </w:rPr>
        <w:t>Our liquidity and capital resources are generated primarily from the net proceeds of public offerings of our equity and debt securities, advances from our Credit Facility, as well as sales of our investments.</w:t>
      </w:r>
    </w:p>
    <w:p>
      <w:pPr>
        <w:spacing w:after="0" w:line="200" w:lineRule="exact"/>
        <w:rPr>
          <w:sz w:val="20"/>
          <w:szCs w:val="20"/>
          <w:color w:val="auto"/>
        </w:rPr>
      </w:pPr>
    </w:p>
    <w:p>
      <w:pPr>
        <w:spacing w:after="0" w:line="29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44" w:name="page45"/>
    <w:bookmarkEnd w:id="44"/>
    <w:p>
      <w:pPr>
        <w:ind w:left="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jc w:val="both"/>
        <w:ind w:left="60" w:right="519" w:firstLine="270"/>
        <w:spacing w:after="0" w:line="261" w:lineRule="auto"/>
        <w:rPr>
          <w:sz w:val="20"/>
          <w:szCs w:val="20"/>
          <w:color w:val="auto"/>
        </w:rPr>
      </w:pPr>
      <w:r>
        <w:rPr>
          <w:rFonts w:ascii="Times New Roman" w:cs="Times New Roman" w:eastAsia="Times New Roman" w:hAnsi="Times New Roman"/>
          <w:sz w:val="18"/>
          <w:szCs w:val="18"/>
          <w:color w:val="auto"/>
        </w:rPr>
        <w:t>Our primary use of cash is to make investments and to pay our operating expenses. Our current policy is to maintain cash reserves and liquid securities in an amount sufficient to pay our operating expenses, including investment management fees and costs incurred under the administration agreement, for approximately two years. For the three months ended March 31, 2015 and 2014, our operating expenses were $12,852,430, and $4,848,543,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19684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Cash reserves and Liquid securities</w:t>
            </w:r>
          </w:p>
        </w:tc>
        <w:tc>
          <w:tcPr>
            <w:tcW w:w="160" w:type="dxa"/>
            <w:vAlign w:val="bottom"/>
          </w:tcPr>
          <w:p>
            <w:pPr>
              <w:spacing w:after="0"/>
              <w:rPr>
                <w:sz w:val="15"/>
                <w:szCs w:val="15"/>
                <w:color w:val="auto"/>
              </w:rPr>
            </w:pP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w w:val="98"/>
              </w:rPr>
              <w:t>March 31, 2015</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31, 2014</w:t>
            </w:r>
          </w:p>
        </w:tc>
      </w:tr>
      <w:tr>
        <w:trPr>
          <w:trHeight w:val="210"/>
        </w:trPr>
        <w:tc>
          <w:tcPr>
            <w:tcW w:w="5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8,060,624</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4,063,165</w:t>
            </w:r>
          </w:p>
        </w:tc>
      </w:tr>
      <w:tr>
        <w:trPr>
          <w:trHeight w:val="257"/>
        </w:trPr>
        <w:tc>
          <w:tcPr>
            <w:tcW w:w="558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8"/>
                <w:szCs w:val="18"/>
                <w:color w:val="auto"/>
              </w:rPr>
              <w:t>Amounts available for borrowing under the Credit Facility</w:t>
            </w:r>
            <w:r>
              <w:rPr>
                <w:rFonts w:ascii="Times New Roman" w:cs="Times New Roman" w:eastAsia="Times New Roman" w:hAnsi="Times New Roman"/>
                <w:sz w:val="29"/>
                <w:szCs w:val="29"/>
                <w:color w:val="auto"/>
                <w:vertAlign w:val="superscript"/>
              </w:rPr>
              <w:t>(1)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18,000,000</w:t>
            </w:r>
          </w:p>
        </w:tc>
      </w:tr>
      <w:tr>
        <w:trPr>
          <w:trHeight w:val="257"/>
        </w:trPr>
        <w:tc>
          <w:tcPr>
            <w:tcW w:w="5580" w:type="dxa"/>
            <w:vAlign w:val="bottom"/>
            <w:gridSpan w:val="3"/>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Securities of Publicly Traded Portfolio Companies</w:t>
            </w:r>
            <w:r>
              <w:rPr>
                <w:rFonts w:ascii="Times New Roman" w:cs="Times New Roman" w:eastAsia="Times New Roman" w:hAnsi="Times New Roman"/>
                <w:sz w:val="29"/>
                <w:szCs w:val="29"/>
                <w:color w:val="auto"/>
                <w:vertAlign w:val="superscript"/>
              </w:rPr>
              <w:t>(2)</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tcBorders>
              <w:lef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56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Unrestricted securities</w:t>
            </w:r>
            <w:r>
              <w:rPr>
                <w:rFonts w:ascii="Times New Roman" w:cs="Times New Roman" w:eastAsia="Times New Roman" w:hAnsi="Times New Roman"/>
                <w:sz w:val="29"/>
                <w:szCs w:val="29"/>
                <w:color w:val="auto"/>
                <w:vertAlign w:val="superscript"/>
              </w:rPr>
              <w:t>(3)</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69,529,244</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20,551,717</w:t>
            </w:r>
          </w:p>
        </w:tc>
      </w:tr>
      <w:tr>
        <w:trPr>
          <w:trHeight w:val="257"/>
        </w:trPr>
        <w:tc>
          <w:tcPr>
            <w:tcW w:w="20" w:type="dxa"/>
            <w:vAlign w:val="bottom"/>
            <w:shd w:val="clear" w:color="auto" w:fill="CCEEFF"/>
          </w:tcPr>
          <w:p>
            <w:pPr>
              <w:spacing w:after="0"/>
              <w:rPr>
                <w:sz w:val="22"/>
                <w:szCs w:val="22"/>
                <w:color w:val="auto"/>
              </w:rPr>
            </w:pPr>
          </w:p>
        </w:tc>
        <w:tc>
          <w:tcPr>
            <w:tcW w:w="556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Subject to other Sales Restrictions</w:t>
            </w:r>
            <w:r>
              <w:rPr>
                <w:rFonts w:ascii="Times New Roman" w:cs="Times New Roman" w:eastAsia="Times New Roman" w:hAnsi="Times New Roman"/>
                <w:sz w:val="29"/>
                <w:szCs w:val="29"/>
                <w:color w:val="auto"/>
                <w:vertAlign w:val="superscript"/>
              </w:rPr>
              <w:t>(4)(5)</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30,687,788</w:t>
            </w:r>
          </w:p>
        </w:tc>
        <w:tc>
          <w:tcPr>
            <w:tcW w:w="220" w:type="dxa"/>
            <w:vAlign w:val="bottom"/>
            <w:tcBorders>
              <w:lef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104,300,089</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100,217,032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124,851,806</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reserves and Liquid securities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110,277,656</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146,914,971</w:t>
            </w: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45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-479425</wp:posOffset>
            </wp:positionV>
            <wp:extent cx="5213985"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-187960</wp:posOffset>
            </wp:positionV>
            <wp:extent cx="521398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32" w:lineRule="exact"/>
        <w:rPr>
          <w:sz w:val="20"/>
          <w:szCs w:val="20"/>
          <w:color w:val="auto"/>
        </w:rPr>
      </w:pPr>
    </w:p>
    <w:p>
      <w:pPr>
        <w:ind w:left="300" w:right="539" w:hanging="272"/>
        <w:spacing w:after="0" w:line="282" w:lineRule="auto"/>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leverage and borrowing base restrictions under the Credit facility. Refer to NOTE 9 — LONG TERM LIABILITIES in the notes to the Condensed Consolidated Financial Statements for detail regarding the Credit Facility.</w:t>
      </w:r>
    </w:p>
    <w:p>
      <w:pPr>
        <w:spacing w:after="0" w:line="53" w:lineRule="exact"/>
        <w:rPr>
          <w:rFonts w:ascii="Times New Roman" w:cs="Times New Roman" w:eastAsia="Times New Roman" w:hAnsi="Times New Roman"/>
          <w:sz w:val="18"/>
          <w:szCs w:val="18"/>
          <w:color w:val="auto"/>
        </w:rPr>
      </w:pPr>
    </w:p>
    <w:p>
      <w:pPr>
        <w:jc w:val="both"/>
        <w:ind w:left="300" w:right="519" w:hanging="272"/>
        <w:spacing w:after="0" w:line="261" w:lineRule="auto"/>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investments are pledged first to secure the payment of both principal and interest on the Convertible Senior Notes. Thereafter the portfolio investments are pledged as collateral to secure any borrowings under the Credit Facility. We may incur losses if we liquidate these positions in order to pay operating expenses or fund new investments. The Convertible Senior Notes mature on September 15, 2018.</w:t>
      </w:r>
    </w:p>
    <w:p>
      <w:pPr>
        <w:spacing w:after="0" w:line="71" w:lineRule="exact"/>
        <w:rPr>
          <w:rFonts w:ascii="Times New Roman" w:cs="Times New Roman" w:eastAsia="Times New Roman" w:hAnsi="Times New Roman"/>
          <w:sz w:val="18"/>
          <w:szCs w:val="18"/>
          <w:color w:val="auto"/>
        </w:rPr>
      </w:pPr>
    </w:p>
    <w:p>
      <w:pPr>
        <w:ind w:left="300" w:right="539" w:hanging="272"/>
        <w:spacing w:after="0" w:line="282" w:lineRule="auto"/>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“Unrestricted securities” represents the common stock of our publicly traded companies that are not subject to lock-up restrictions or any other restrictions on sale at any time during the year.</w:t>
      </w:r>
    </w:p>
    <w:p>
      <w:pPr>
        <w:spacing w:after="0" w:line="53" w:lineRule="exact"/>
        <w:rPr>
          <w:rFonts w:ascii="Times New Roman" w:cs="Times New Roman" w:eastAsia="Times New Roman" w:hAnsi="Times New Roman"/>
          <w:sz w:val="18"/>
          <w:szCs w:val="18"/>
          <w:color w:val="auto"/>
        </w:rPr>
      </w:pPr>
    </w:p>
    <w:p>
      <w:pPr>
        <w:jc w:val="both"/>
        <w:ind w:left="300" w:right="539" w:hanging="272"/>
        <w:spacing w:after="0" w:line="261" w:lineRule="auto"/>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2015, this balance represents our common shares of Cricket Media (f/k/a ePals Inc.) and 2U, Inc. (f/k/a 2tor, Inc.). During the majority of the year, these shares are freely tradable, however at certain times during the year, these shares are subject to black-out periods as a result of Michael Moe’s seats on the Boards of these portfolio companies. During these black-out periods, we are unable to sell these securities under Canadian and U.S. Securities law.</w:t>
      </w:r>
    </w:p>
    <w:p>
      <w:pPr>
        <w:spacing w:after="0" w:line="71" w:lineRule="exact"/>
        <w:rPr>
          <w:rFonts w:ascii="Times New Roman" w:cs="Times New Roman" w:eastAsia="Times New Roman" w:hAnsi="Times New Roman"/>
          <w:sz w:val="18"/>
          <w:szCs w:val="18"/>
          <w:color w:val="auto"/>
        </w:rPr>
      </w:pPr>
    </w:p>
    <w:p>
      <w:pPr>
        <w:jc w:val="both"/>
        <w:ind w:left="300" w:right="519" w:hanging="272"/>
        <w:spacing w:after="0" w:line="258" w:lineRule="auto"/>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2014, this balance represented our common shares of Chegg, Inc. which were subject to lock-up restrictions as of March 31, 2014. This balance also includes our common shares of Cricket Media (f/k/a ePals Inc.) and 2U, Inc. (f/k/a 2tor, Inc.). During the majority of the year, these shares are freely tradable, however at certain times during the year, these shares are subject to black-out periods as a result of Michael Moe’s seats on the Boards of these portfolio companies. During these black-out periods, we are unable to sell these securities under Canadian and U.S. Securities law.</w:t>
      </w:r>
    </w:p>
    <w:p>
      <w:pPr>
        <w:spacing w:after="0" w:line="76" w:lineRule="exact"/>
        <w:rPr>
          <w:sz w:val="20"/>
          <w:szCs w:val="20"/>
          <w:color w:val="auto"/>
        </w:rPr>
      </w:pPr>
    </w:p>
    <w:p>
      <w:pPr>
        <w:jc w:val="both"/>
        <w:ind w:left="60" w:right="539" w:firstLine="270"/>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2015, cash and cash equivalents increased from approximately $3.5 million at the beginning of the period, to approximately $8.1 million, at the end of the period. Net cash provided by operating activities for the period, consisting primarily of the items described in “— Results of Operations,” was approximately $6.6 million, reflecting purchases of portfolio investments of approximately $9.0 million and proceeds from sales of investments of approximately $19.6 million. During the period, net cash used by financing activities was approximately $2.0 million, primarily reflecting repayments of borrowings under the Credit Facility.</w:t>
      </w:r>
    </w:p>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Issuances &amp; Debt Capital Activities</w:t>
      </w:r>
    </w:p>
    <w:p>
      <w:pPr>
        <w:spacing w:after="0" w:line="121" w:lineRule="exact"/>
        <w:rPr>
          <w:sz w:val="20"/>
          <w:szCs w:val="20"/>
          <w:color w:val="auto"/>
        </w:rPr>
      </w:pPr>
    </w:p>
    <w:p>
      <w:pPr>
        <w:jc w:val="both"/>
        <w:ind w:left="60" w:right="539" w:firstLine="270"/>
        <w:spacing w:after="0" w:line="282" w:lineRule="auto"/>
        <w:rPr>
          <w:sz w:val="20"/>
          <w:szCs w:val="20"/>
          <w:color w:val="auto"/>
        </w:rPr>
      </w:pPr>
      <w:r>
        <w:rPr>
          <w:rFonts w:ascii="Times New Roman" w:cs="Times New Roman" w:eastAsia="Times New Roman" w:hAnsi="Times New Roman"/>
          <w:sz w:val="18"/>
          <w:szCs w:val="18"/>
          <w:color w:val="auto"/>
        </w:rPr>
        <w:t>There were no sales of our equity securities during the three months ended March 31, 2015 or the year ended December 31, 2014.</w:t>
      </w:r>
    </w:p>
    <w:p>
      <w:pPr>
        <w:spacing w:after="0" w:line="54" w:lineRule="exact"/>
        <w:rPr>
          <w:sz w:val="20"/>
          <w:szCs w:val="20"/>
          <w:color w:val="auto"/>
        </w:rPr>
      </w:pPr>
    </w:p>
    <w:p>
      <w:pPr>
        <w:jc w:val="both"/>
        <w:ind w:left="60" w:right="519" w:firstLine="270"/>
        <w:spacing w:after="0" w:line="282" w:lineRule="auto"/>
        <w:rPr>
          <w:sz w:val="20"/>
          <w:szCs w:val="20"/>
          <w:color w:val="auto"/>
        </w:rPr>
      </w:pPr>
      <w:r>
        <w:rPr>
          <w:rFonts w:ascii="Times New Roman" w:cs="Times New Roman" w:eastAsia="Times New Roman" w:hAnsi="Times New Roman"/>
          <w:sz w:val="18"/>
          <w:szCs w:val="18"/>
          <w:color w:val="auto"/>
        </w:rPr>
        <w:t>As of March 31, 2015, we had $16,000,000 of borrowings under the Credit Facility, and $2,000,000 unused under the Credit Facility.</w:t>
      </w:r>
    </w:p>
    <w:p>
      <w:pPr>
        <w:spacing w:after="0" w:line="200" w:lineRule="exact"/>
        <w:rPr>
          <w:sz w:val="20"/>
          <w:szCs w:val="20"/>
          <w:color w:val="auto"/>
        </w:rPr>
      </w:pPr>
    </w:p>
    <w:p>
      <w:pPr>
        <w:spacing w:after="0" w:line="29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45" w:name="page46"/>
    <w:bookmarkEnd w:id="45"/>
    <w:p>
      <w:pPr>
        <w:ind w:left="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21398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10"/>
          </w:tcPr>
          <w:p>
            <w:pPr>
              <w:ind w:left="140"/>
              <w:spacing w:after="0"/>
              <w:rPr>
                <w:sz w:val="20"/>
                <w:szCs w:val="20"/>
                <w:color w:val="auto"/>
              </w:rPr>
            </w:pPr>
            <w:r>
              <w:rPr>
                <w:rFonts w:ascii="Times New Roman" w:cs="Times New Roman" w:eastAsia="Times New Roman" w:hAnsi="Times New Roman"/>
                <w:sz w:val="14"/>
                <w:szCs w:val="14"/>
                <w:b w:val="1"/>
                <w:bCs w:val="1"/>
                <w:color w:val="auto"/>
              </w:rPr>
              <w:t>Payments Due By Period (dollars in millions)</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60" w:type="dxa"/>
            <w:vAlign w:val="bottom"/>
          </w:tcPr>
          <w:p>
            <w:pPr>
              <w:spacing w:after="0"/>
              <w:rPr>
                <w:sz w:val="10"/>
                <w:szCs w:val="10"/>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160" w:type="dxa"/>
            <w:vAlign w:val="bottom"/>
          </w:tcPr>
          <w:p>
            <w:pPr>
              <w:spacing w:after="0"/>
              <w:rPr>
                <w:sz w:val="10"/>
                <w:szCs w:val="10"/>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16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0" w:type="dxa"/>
            <w:vAlign w:val="bottom"/>
          </w:tcPr>
          <w:p>
            <w:pPr>
              <w:spacing w:after="0"/>
              <w:rPr>
                <w:sz w:val="1"/>
                <w:szCs w:val="1"/>
                <w:color w:val="auto"/>
              </w:rPr>
            </w:pPr>
          </w:p>
        </w:tc>
      </w:tr>
      <w:tr>
        <w:trPr>
          <w:trHeight w:val="173"/>
        </w:trPr>
        <w:tc>
          <w:tcPr>
            <w:tcW w:w="3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Payable for securities purchased</w:t>
            </w:r>
            <w:r>
              <w:rPr>
                <w:rFonts w:ascii="Times New Roman" w:cs="Times New Roman" w:eastAsia="Times New Roman" w:hAnsi="Times New Roman"/>
                <w:sz w:val="30"/>
                <w:szCs w:val="30"/>
                <w:color w:val="auto"/>
                <w:vertAlign w:val="superscript"/>
              </w:rPr>
              <w:t>(1)</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60" w:type="dxa"/>
            <w:vAlign w:val="bottom"/>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3620" w:type="dxa"/>
            <w:vAlign w:val="bottom"/>
            <w:gridSpan w:val="3"/>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90.0</w:t>
            </w:r>
          </w:p>
        </w:tc>
        <w:tc>
          <w:tcPr>
            <w:tcW w:w="4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62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8"/>
                <w:szCs w:val="18"/>
                <w:color w:val="auto"/>
              </w:rPr>
              <w:t>Credit Facility</w:t>
            </w:r>
            <w:r>
              <w:rPr>
                <w:rFonts w:ascii="Times New Roman" w:cs="Times New Roman" w:eastAsia="Times New Roman" w:hAnsi="Times New Roman"/>
                <w:sz w:val="29"/>
                <w:szCs w:val="29"/>
                <w:color w:val="auto"/>
                <w:vertAlign w:val="superscript"/>
              </w:rPr>
              <w:t>(2)(3)</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106.0</w:t>
            </w:r>
          </w:p>
        </w:tc>
        <w:tc>
          <w:tcPr>
            <w:tcW w:w="4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left="300" w:right="519" w:hanging="272"/>
        <w:spacing w:after="0" w:line="267" w:lineRule="auto"/>
        <w:tabs>
          <w:tab w:leader="none" w:pos="30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Payable for securities purchased relates to the purchase of the United States Treasury Bill on margin. The payable for securities purchased was subsequently repaid on April 2, 2015 when the United States Treasury Bill matured and the $10.5 million margin deposit which was posted as collateral was returned.</w:t>
      </w:r>
    </w:p>
    <w:p>
      <w:pPr>
        <w:spacing w:after="0" w:line="65" w:lineRule="exact"/>
        <w:rPr>
          <w:rFonts w:ascii="Times New Roman" w:cs="Times New Roman" w:eastAsia="Times New Roman" w:hAnsi="Times New Roman"/>
          <w:sz w:val="18"/>
          <w:szCs w:val="18"/>
          <w:i w:val="1"/>
          <w:iCs w:val="1"/>
          <w:color w:val="auto"/>
        </w:rPr>
      </w:pPr>
    </w:p>
    <w:p>
      <w:pPr>
        <w:ind w:left="300" w:hanging="272"/>
        <w:spacing w:after="0"/>
        <w:tabs>
          <w:tab w:leader="none" w:pos="30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Total unused amount of the Credit Facility as of March 31, 2015 was $2,000,000.</w:t>
      </w:r>
    </w:p>
    <w:p>
      <w:pPr>
        <w:spacing w:after="0" w:line="117" w:lineRule="exact"/>
        <w:rPr>
          <w:rFonts w:ascii="Times New Roman" w:cs="Times New Roman" w:eastAsia="Times New Roman" w:hAnsi="Times New Roman"/>
          <w:sz w:val="18"/>
          <w:szCs w:val="18"/>
          <w:i w:val="1"/>
          <w:iCs w:val="1"/>
          <w:color w:val="auto"/>
        </w:rPr>
      </w:pPr>
    </w:p>
    <w:p>
      <w:pPr>
        <w:ind w:left="300" w:hanging="272"/>
        <w:spacing w:after="0"/>
        <w:tabs>
          <w:tab w:leader="none" w:pos="30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weighted average interest rate incurred under the Credit Facility was 8.0% for the three months ended March 31, 2015.</w:t>
      </w:r>
    </w:p>
    <w:p>
      <w:pPr>
        <w:spacing w:after="0" w:line="1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jc w:val="both"/>
        <w:ind w:left="60" w:right="519" w:firstLine="270"/>
        <w:spacing w:after="0" w:line="282" w:lineRule="auto"/>
        <w:rPr>
          <w:sz w:val="20"/>
          <w:szCs w:val="20"/>
          <w:color w:val="auto"/>
        </w:rPr>
      </w:pPr>
      <w:r>
        <w:rPr>
          <w:rFonts w:ascii="Times New Roman" w:cs="Times New Roman" w:eastAsia="Times New Roman" w:hAnsi="Times New Roman"/>
          <w:sz w:val="18"/>
          <w:szCs w:val="18"/>
          <w:color w:val="auto"/>
        </w:rPr>
        <w:t>As of March 31, 2015, we had no off-balance sheet arrangements, including any risk management of commodity pricing or other hedging practices. However, we may employ hedging and other risk management techniques in the future.</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Distribution Policy</w:t>
      </w:r>
    </w:p>
    <w:p>
      <w:pPr>
        <w:spacing w:after="0" w:line="121" w:lineRule="exact"/>
        <w:rPr>
          <w:sz w:val="20"/>
          <w:szCs w:val="20"/>
          <w:color w:val="auto"/>
        </w:rPr>
      </w:pPr>
    </w:p>
    <w:p>
      <w:pPr>
        <w:jc w:val="both"/>
        <w:ind w:left="60" w:right="519" w:firstLine="270"/>
        <w:spacing w:after="0" w:line="256" w:lineRule="auto"/>
        <w:rPr>
          <w:sz w:val="20"/>
          <w:szCs w:val="20"/>
          <w:color w:val="auto"/>
        </w:rPr>
      </w:pPr>
      <w:r>
        <w:rPr>
          <w:rFonts w:ascii="Times New Roman" w:cs="Times New Roman" w:eastAsia="Times New Roman" w:hAnsi="Times New Roman"/>
          <w:sz w:val="18"/>
          <w:szCs w:val="18"/>
          <w:color w:val="auto"/>
        </w:rPr>
        <w:t>The timing and amount of our dividends, if any, will be determined by our board of directors. Any dividends to our stockholders will be declared out of assets legally available for distribution. We intend to focus on making capital gains-based investments from which we will derive primarily capital gains. As a consequence, we do not anticipate that we will pay dividends on a quarterly basis or become a predictable distributor of dividends, and we expect that our dividends, if any, will be much less consistent than the dividends of other business development companies that primarily make debt investments. However, if there are earnings or realized capital gains to be distributed, we intend to declare and pay a dividend at least annually.</w:t>
      </w:r>
    </w:p>
    <w:p>
      <w:pPr>
        <w:spacing w:after="0" w:line="80" w:lineRule="exact"/>
        <w:rPr>
          <w:sz w:val="20"/>
          <w:szCs w:val="20"/>
          <w:color w:val="auto"/>
        </w:rPr>
      </w:pPr>
    </w:p>
    <w:p>
      <w:pPr>
        <w:jc w:val="both"/>
        <w:ind w:left="60" w:right="519" w:firstLine="270"/>
        <w:spacing w:after="0" w:line="269" w:lineRule="auto"/>
        <w:rPr>
          <w:sz w:val="20"/>
          <w:szCs w:val="20"/>
          <w:color w:val="auto"/>
        </w:rPr>
      </w:pPr>
      <w:r>
        <w:rPr>
          <w:rFonts w:ascii="Times New Roman" w:cs="Times New Roman" w:eastAsia="Times New Roman" w:hAnsi="Times New Roman"/>
          <w:sz w:val="17"/>
          <w:szCs w:val="17"/>
          <w:color w:val="auto"/>
        </w:rPr>
        <w:t>We may elect to be treated for federal income tax purposes as a RIC effective for the 2013 tax year. In September, 2014 we filed our 2013 tax return as a RIC and are seeking to be granted RIC status for our 2013 taxable year, however, we will not be eligible to elect to be treated as a RIC for the 2013 taxable year unless we are certified by the SEC as “principally engaged in the furnishing of capital to other corporations which are principally engaged in the development or exploitation of inventions, technological improvements, new processes, or products not previously generally available” for the 2013 taxable year. Although we filed an application with the SEC for an SEC Certification for the 2013 taxable year, there can be no assurance that we will receive an SEC Certification. In the event that we do not receive such SEC Certification or we are otherwise unable to meet all of the qualifications to be treated as a RIC for 2013, we will be taxed as a C Corporation for the 2013 taxable year. To that end, for purposes of our financial statements, we have accrued taxes as though we were a C Corporation for the 2013 taxable year, in the event we are unable to qualify as a RIC. Should we not qualify as a RIC for 2013, we intend to elect to be treated as a RIC for our 2014 taxable year, if management determines that it is in our best interests to do so. For example, it may not be in our best interests in the event that we experience large operating losses or have large loss carryforwards. If we opt not to do so or are unable to qualify, we will continue to be taxed as a C corporation under the Code for our 2014 taxable year. See “U.S. Federal and State Income Taxes.”</w:t>
      </w:r>
    </w:p>
    <w:p>
      <w:pPr>
        <w:spacing w:after="0" w:line="69" w:lineRule="exact"/>
        <w:rPr>
          <w:sz w:val="20"/>
          <w:szCs w:val="20"/>
          <w:color w:val="auto"/>
        </w:rPr>
      </w:pPr>
    </w:p>
    <w:p>
      <w:pPr>
        <w:jc w:val="both"/>
        <w:ind w:left="60" w:right="519" w:firstLine="270"/>
        <w:spacing w:after="0" w:line="255" w:lineRule="auto"/>
        <w:rPr>
          <w:sz w:val="20"/>
          <w:szCs w:val="20"/>
          <w:color w:val="auto"/>
        </w:rPr>
      </w:pPr>
      <w:r>
        <w:rPr>
          <w:rFonts w:ascii="Times New Roman" w:cs="Times New Roman" w:eastAsia="Times New Roman" w:hAnsi="Times New Roman"/>
          <w:sz w:val="18"/>
          <w:szCs w:val="18"/>
          <w:color w:val="auto"/>
        </w:rPr>
        <w:t>Our current intention is to make any distributions out of assets legally available therefrom in additional shares of our common stock under our dividend reinvestment plan, unless you elect to receive your dividends and/or long-term capital gains distributions in cash. Under the dividend reinvestment plan, if a stockholder owns shares of common stock registered in its own name, the stockholder will have all cash distributions (net of any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remain taxable to the U.S. stockholder, although no cash distribution has been made. As a result, if you do not</w:t>
      </w:r>
    </w:p>
    <w:p>
      <w:pPr>
        <w:spacing w:after="0" w:line="200" w:lineRule="exact"/>
        <w:rPr>
          <w:sz w:val="20"/>
          <w:szCs w:val="20"/>
          <w:color w:val="auto"/>
        </w:rPr>
      </w:pPr>
    </w:p>
    <w:p>
      <w:pPr>
        <w:spacing w:after="0" w:line="3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46" w:name="page47"/>
    <w:bookmarkEnd w:id="4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jc w:val="both"/>
        <w:ind w:left="40" w:right="519"/>
        <w:spacing w:after="0" w:line="258" w:lineRule="auto"/>
        <w:rPr>
          <w:sz w:val="20"/>
          <w:szCs w:val="20"/>
          <w:color w:val="auto"/>
        </w:rPr>
      </w:pPr>
      <w:r>
        <w:rPr>
          <w:rFonts w:ascii="Times New Roman" w:cs="Times New Roman" w:eastAsia="Times New Roman" w:hAnsi="Times New Roman"/>
          <w:sz w:val="18"/>
          <w:szCs w:val="18"/>
          <w:color w:val="auto"/>
        </w:rPr>
        <w:t>elect to opt out of the dividend reinvestment plan, you will be required to pay applicable federal, state and local taxes on any reinvested dividends even though you will not receive a corresponding cash distribution. In addition, reinvested dividends have the effect of increasing our gross assets, which may correspondingly increase the management fee payable to our investment adviser. If you hold shares in the name of a broker or financial intermediary, you should contact the broker or financial intermediary regarding your election to receive distributions in cash.</w:t>
      </w:r>
    </w:p>
    <w:p>
      <w:pPr>
        <w:spacing w:after="0" w:line="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 payable</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Times New Roman" w:cs="Times New Roman" w:eastAsia="Times New Roman" w:hAnsi="Times New Roman"/>
          <w:sz w:val="18"/>
          <w:szCs w:val="18"/>
          <w:color w:val="auto"/>
        </w:rPr>
        <w:t>On September 17, 2013, we issued $69,000,000 aggregate principal amount of the Convertible Senior Notes (including $9,000,000 aggregate principal amount issued pursuant to the exercise of the initial purchasers’ option to purchase additional Convertible Senior Notes). The Convertible Senior Notes bear interest at a fixed rate of 5.25% per year, payable semi-annually in arrears on March 15 and September 15 of each year, commencing on March 15, 2014. The Convertible Senior Notes are convertible into shares of our common stock based on an initial conversion rate of 61.5091 shares of our common stock per $1,000 principal amount of Convertible Senior Notes, which is equivalent to an initial conversion price of approximately $16.26 per share of common stock. The Convertible Senior Notes mature on September 15, 2018, unless previously purchased or converted in accordance with their terms. We do not have the right to redeem the Convertible Senior Notes prior to maturity.</w:t>
      </w:r>
    </w:p>
    <w:p>
      <w:pPr>
        <w:spacing w:after="0" w:line="77" w:lineRule="exact"/>
        <w:rPr>
          <w:sz w:val="20"/>
          <w:szCs w:val="20"/>
          <w:color w:val="auto"/>
        </w:rPr>
      </w:pPr>
    </w:p>
    <w:p>
      <w:pPr>
        <w:jc w:val="both"/>
        <w:ind w:left="40" w:right="519" w:firstLine="270"/>
        <w:spacing w:after="0" w:line="252" w:lineRule="auto"/>
        <w:rPr>
          <w:sz w:val="20"/>
          <w:szCs w:val="20"/>
          <w:color w:val="auto"/>
        </w:rPr>
      </w:pPr>
      <w:r>
        <w:rPr>
          <w:rFonts w:ascii="Times New Roman" w:cs="Times New Roman" w:eastAsia="Times New Roman" w:hAnsi="Times New Roman"/>
          <w:sz w:val="18"/>
          <w:szCs w:val="18"/>
          <w:color w:val="auto"/>
        </w:rPr>
        <w:t xml:space="preserve">The terms of the offering require us to place a portion of the proceeds of the offering in an escrow account (the “Interest Escrow”) with U.S. Bank National Association (the “Trustee”) under the indenture pursuant to which the notes are issued. Funds in the escrow account will be invested in government securities and will be used to make the first six scheduled interest payments on the notes, unless we elect to make the interest payments from our available funds. The interest payments on the Convertible Senior Notes will be secured by a pledge of our interest in the escrow account. In accordance with the Interest Escrow, we deposited $10,867,500 in an escrow account with the Trustee. These funds were used to purchase U.S. Treasury Strips (“Government Securities”) with an original cost of $10,845,236. At March 31, 2015, the remaining government securities are shown on the Condensed Consolidated Schedule of Investments and have an amortized cost of $5,478,126. The excess funds of $16,181 held in escrow will be used to secure the payment of the notes and is included on the Condensed Consolidated Statements of Assets and Liabilities as “Restricted Cash”, as well as a $25,000 deposit for the Company’s Fidelity Bond. Proceeds from the issuance of the Convertible Senior Notes were offset by offering costs of approximately $3,585,929 that are being amortized over the term of the notes in accordance with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As of March 31, 2015, of the total offering costs of $3,585,929 incurred, $2,693,379 remains to be amortized and is included within deferred financing costs on the Condensed Consolidated Statements of Assets and Liabilities.</w:t>
      </w:r>
    </w:p>
    <w:p>
      <w:pPr>
        <w:spacing w:after="0" w:line="91" w:lineRule="exact"/>
        <w:rPr>
          <w:sz w:val="20"/>
          <w:szCs w:val="20"/>
          <w:color w:val="auto"/>
        </w:rPr>
      </w:pPr>
    </w:p>
    <w:p>
      <w:pPr>
        <w:jc w:val="both"/>
        <w:ind w:left="40" w:right="519" w:firstLine="270"/>
        <w:spacing w:after="0" w:line="282" w:lineRule="auto"/>
        <w:rPr>
          <w:sz w:val="20"/>
          <w:szCs w:val="20"/>
          <w:color w:val="auto"/>
        </w:rPr>
      </w:pPr>
      <w:r>
        <w:rPr>
          <w:rFonts w:ascii="Times New Roman" w:cs="Times New Roman" w:eastAsia="Times New Roman" w:hAnsi="Times New Roman"/>
          <w:sz w:val="18"/>
          <w:szCs w:val="18"/>
          <w:color w:val="auto"/>
        </w:rPr>
        <w:t>As of March 31, 2015, the principal amount of the Convertible Senior Notes exceeded the value of the underlying shares multiplied by the per share closing price of our common stock.</w:t>
      </w:r>
    </w:p>
    <w:p>
      <w:pPr>
        <w:spacing w:after="0" w:line="54" w:lineRule="exact"/>
        <w:rPr>
          <w:sz w:val="20"/>
          <w:szCs w:val="20"/>
          <w:color w:val="auto"/>
        </w:rPr>
      </w:pPr>
    </w:p>
    <w:p>
      <w:pPr>
        <w:jc w:val="both"/>
        <w:ind w:left="40" w:right="519" w:firstLine="270"/>
        <w:spacing w:after="0" w:line="258" w:lineRule="auto"/>
        <w:rPr>
          <w:sz w:val="20"/>
          <w:szCs w:val="20"/>
          <w:color w:val="auto"/>
        </w:rPr>
      </w:pPr>
      <w:r>
        <w:rPr>
          <w:rFonts w:ascii="Times New Roman" w:cs="Times New Roman" w:eastAsia="Times New Roman" w:hAnsi="Times New Roman"/>
          <w:sz w:val="18"/>
          <w:szCs w:val="18"/>
          <w:color w:val="auto"/>
        </w:rPr>
        <w:t>The Convertible Senior Notes are our senior, unsecured obligations and rank senior in right of payment to any future indebtedness that is expressly subordinated in right of payment to the Convertible Senior Notes, equal in right of payment to any future unsecured indebtedness that is not so subordinated to the Convertible Senior Notes, junior (other than to the extent of the interest escrow) to any future secured indebtedness to the extent of the value of the assets securing such indebtedness, and structurally junior to all future indebtedness (including trade payables) incurred by our subsidiaries.</w:t>
      </w:r>
    </w:p>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w:t>
      </w:r>
    </w:p>
    <w:p>
      <w:pPr>
        <w:spacing w:after="0" w:line="121" w:lineRule="exact"/>
        <w:rPr>
          <w:sz w:val="20"/>
          <w:szCs w:val="20"/>
          <w:color w:val="auto"/>
        </w:rPr>
      </w:pPr>
    </w:p>
    <w:p>
      <w:pPr>
        <w:jc w:val="both"/>
        <w:ind w:left="40" w:right="519" w:firstLine="270"/>
        <w:spacing w:after="0" w:line="256" w:lineRule="auto"/>
        <w:rPr>
          <w:sz w:val="20"/>
          <w:szCs w:val="20"/>
          <w:color w:val="auto"/>
        </w:rPr>
      </w:pPr>
      <w:r>
        <w:rPr>
          <w:rFonts w:ascii="Times New Roman" w:cs="Times New Roman" w:eastAsia="Times New Roman" w:hAnsi="Times New Roman"/>
          <w:sz w:val="18"/>
          <w:szCs w:val="18"/>
          <w:color w:val="auto"/>
        </w:rPr>
        <w:t>The Convertible Senior Notes contain an interest make-whole payment provision pursuant to which holders who convert their notes prior to September 15, 2016 will receive, in addition to a number of shares of our common stock calculated at the applicable conversion rate for principal amount of notes being converted, the cash proceeds from sale by the escrow agent of the portion of the government securities in the escrow account that are remaining with respect to any of the first six interest payments that have not been made on the notes being converted. Under ASC 815-10-15-74(a), the interest make-whole payment is considered an embedded derivative and is separated from the host contract, the Convertible Senior Notes, and carried at fair value.</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47" w:name="page48"/>
    <w:bookmarkEnd w:id="4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21" w:lineRule="exact"/>
        <w:rPr>
          <w:sz w:val="20"/>
          <w:szCs w:val="20"/>
          <w:color w:val="auto"/>
        </w:rPr>
      </w:pPr>
    </w:p>
    <w:p>
      <w:pPr>
        <w:jc w:val="both"/>
        <w:ind w:left="40" w:right="519" w:firstLine="270"/>
        <w:spacing w:after="0" w:line="266" w:lineRule="auto"/>
        <w:rPr>
          <w:sz w:val="20"/>
          <w:szCs w:val="20"/>
          <w:color w:val="auto"/>
        </w:rPr>
      </w:pPr>
      <w:r>
        <w:rPr>
          <w:rFonts w:ascii="Times New Roman" w:cs="Times New Roman" w:eastAsia="Times New Roman" w:hAnsi="Times New Roman"/>
          <w:sz w:val="18"/>
          <w:szCs w:val="18"/>
          <w:color w:val="auto"/>
        </w:rPr>
        <w:t>We entered into the Loan Agreement, effective December 31, 2013, with Silicon Valley Bank to provide us with a new $18 million Credit Facility. Under the Credit Facility, we are permitted to borrow an amount equal to the lesser of $18 million or 20% of our then-current net asset value.</w:t>
      </w:r>
    </w:p>
    <w:p>
      <w:pPr>
        <w:spacing w:after="0" w:line="68" w:lineRule="exact"/>
        <w:rPr>
          <w:sz w:val="20"/>
          <w:szCs w:val="20"/>
          <w:color w:val="auto"/>
        </w:rPr>
      </w:pPr>
    </w:p>
    <w:p>
      <w:pPr>
        <w:jc w:val="both"/>
        <w:ind w:left="40" w:right="519" w:firstLine="270"/>
        <w:spacing w:after="0" w:line="254" w:lineRule="auto"/>
        <w:rPr>
          <w:sz w:val="20"/>
          <w:szCs w:val="20"/>
          <w:color w:val="auto"/>
        </w:rPr>
      </w:pPr>
      <w:r>
        <w:rPr>
          <w:rFonts w:ascii="Times New Roman" w:cs="Times New Roman" w:eastAsia="Times New Roman" w:hAnsi="Times New Roman"/>
          <w:sz w:val="18"/>
          <w:szCs w:val="18"/>
          <w:color w:val="auto"/>
        </w:rPr>
        <w:t>The Credit Facility, among other things, matures on December 31, 2016, and bears interest at a per annum rate equal to the greater of (i) the prime rate plus 4.75% and (ii) 8.0%. In addition, a fee of $180,000 per annum (1.0% of the $18 million revolving line of credit) is charged under the Loan Agreement. Under the terms of the Credit Facility, we must repay all outstanding borrowings so that there is at least a 30-day period every twelve months during which we have no balance outstanding. Under the Loan Agreement, we have made certain customary representations and warranties and we are required to comply with various covenants, reporting requirements, and other customary requirements for similar credit facilities. The Loan Agreement includes usual and customary events of default for credit facilities of this nature, including, without limitation, nonpayment, misrepresentation of representations and warranties in a material respect, breach of covenant, cross-default to certain other indebtedness, bankruptcy, change of control, and the occurrence of a material adverse effect. As of March 31, 2015, we had $16,000,000 of borrowings outstanding under the Credit Facility.</w:t>
      </w:r>
    </w:p>
    <w:p>
      <w:pPr>
        <w:spacing w:after="0" w:line="78" w:lineRule="exact"/>
        <w:rPr>
          <w:sz w:val="20"/>
          <w:szCs w:val="20"/>
          <w:color w:val="auto"/>
        </w:rPr>
      </w:pPr>
    </w:p>
    <w:p>
      <w:pPr>
        <w:jc w:val="both"/>
        <w:ind w:left="40" w:right="519" w:firstLine="270"/>
        <w:spacing w:after="0" w:line="266" w:lineRule="auto"/>
        <w:rPr>
          <w:sz w:val="20"/>
          <w:szCs w:val="20"/>
          <w:color w:val="auto"/>
        </w:rPr>
      </w:pPr>
      <w:r>
        <w:rPr>
          <w:rFonts w:ascii="Times New Roman" w:cs="Times New Roman" w:eastAsia="Times New Roman" w:hAnsi="Times New Roman"/>
          <w:sz w:val="18"/>
          <w:szCs w:val="18"/>
          <w:color w:val="auto"/>
        </w:rPr>
        <w:t>The Credit Facility is secured by all of our property and assets, except for our assets pledged to secure certain obligations in connection with our issuance, in September 2013, of the Convertible Senior Notes and, as provided for in the Loan Agreement, as may be pledged in connection with any future issuance by us of convertible senior notes on substantially similar terms.</w:t>
      </w:r>
    </w:p>
    <w:p>
      <w:pPr>
        <w:spacing w:after="0" w:line="68" w:lineRule="exact"/>
        <w:rPr>
          <w:sz w:val="20"/>
          <w:szCs w:val="20"/>
          <w:color w:val="auto"/>
        </w:rPr>
      </w:pPr>
    </w:p>
    <w:p>
      <w:pPr>
        <w:jc w:val="both"/>
        <w:ind w:left="40" w:right="519" w:firstLine="270"/>
        <w:spacing w:after="0" w:line="266" w:lineRule="auto"/>
        <w:rPr>
          <w:sz w:val="20"/>
          <w:szCs w:val="20"/>
          <w:color w:val="auto"/>
        </w:rPr>
      </w:pPr>
      <w:r>
        <w:rPr>
          <w:rFonts w:ascii="Times New Roman" w:cs="Times New Roman" w:eastAsia="Times New Roman" w:hAnsi="Times New Roman"/>
          <w:sz w:val="18"/>
          <w:szCs w:val="18"/>
          <w:color w:val="auto"/>
        </w:rPr>
        <w:t>Borrowing under the Credit Facility is subject to the leverage restrictions contained in the Investment Company Act of 1940, as amended. In addition, under the Loan Agreement, and as provided for therein, we have agreed not to incur certain additional permitted indebtedness in an aggregate amount exceeding 50% of our then-applicable net asset value.</w:t>
      </w:r>
    </w:p>
    <w:p>
      <w:pPr>
        <w:spacing w:after="0" w:line="1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Times New Roman" w:cs="Times New Roman" w:eastAsia="Times New Roman" w:hAnsi="Times New Roman"/>
          <w:sz w:val="18"/>
          <w:szCs w:val="18"/>
          <w:color w:val="auto"/>
        </w:rPr>
        <w:t>We entered into an investment advisory agreement with GSV Asset Management (the “Advisory Agreement”) in connection with our initial public offering. Pursuant to the Advisory Agreement, GSV Asset Management will be paid a base annual fee of 2.00% of gross assets, and an annual incentive fee equal to the lesser of (i) 20% of GSV Capital’s realized capital gains during each calendar year, if any, calculated on an investment-by-investment basis, subject to a non-compounded preferred return, or “hurdle,” and a “catch-up” feature, and (ii) 20% of GSV Capital’s realized capital gains, if any, on a cumulative basis from inception through the end of each calendar year, computed net of all realized capital losses and unrealized capital depreciation on a cumulative basis, less the aggregate amount of any previously paid incentive fees.</w:t>
      </w:r>
    </w:p>
    <w:p>
      <w:pPr>
        <w:spacing w:after="0" w:line="81" w:lineRule="exact"/>
        <w:rPr>
          <w:sz w:val="20"/>
          <w:szCs w:val="20"/>
          <w:color w:val="auto"/>
        </w:rPr>
      </w:pPr>
    </w:p>
    <w:p>
      <w:pPr>
        <w:jc w:val="both"/>
        <w:ind w:left="40" w:right="519" w:firstLine="270"/>
        <w:spacing w:after="0" w:line="261" w:lineRule="auto"/>
        <w:rPr>
          <w:sz w:val="20"/>
          <w:szCs w:val="20"/>
          <w:color w:val="auto"/>
        </w:rPr>
      </w:pPr>
      <w:r>
        <w:rPr>
          <w:rFonts w:ascii="Times New Roman" w:cs="Times New Roman" w:eastAsia="Times New Roman" w:hAnsi="Times New Roman"/>
          <w:sz w:val="18"/>
          <w:szCs w:val="18"/>
          <w:color w:val="auto"/>
        </w:rPr>
        <w:t>GSV Asset Management earned $1,921,128, and $1,756,196 in base management fees for the three months ended March 31, 2015, and 2014, respectively, and $0 and $0 in incentive fees for the three months ended March 31, 2015, and 2014, respectively. For the three months ended March 31, 2015, and 2014, we accrued incentive fees of $8,211,728, and $969,652, respectively, considering the hypothetical liquidation value of our investment portfolio as of the measurement date.</w:t>
      </w:r>
    </w:p>
    <w:p>
      <w:pPr>
        <w:spacing w:after="0" w:line="72" w:lineRule="exact"/>
        <w:rPr>
          <w:sz w:val="20"/>
          <w:szCs w:val="20"/>
          <w:color w:val="auto"/>
        </w:rPr>
      </w:pPr>
    </w:p>
    <w:p>
      <w:pPr>
        <w:jc w:val="both"/>
        <w:ind w:left="40" w:right="519" w:firstLine="270"/>
        <w:spacing w:after="0" w:line="266" w:lineRule="auto"/>
        <w:rPr>
          <w:sz w:val="20"/>
          <w:szCs w:val="20"/>
          <w:color w:val="auto"/>
        </w:rPr>
      </w:pPr>
      <w:r>
        <w:rPr>
          <w:rFonts w:ascii="Times New Roman" w:cs="Times New Roman" w:eastAsia="Times New Roman" w:hAnsi="Times New Roman"/>
          <w:sz w:val="18"/>
          <w:szCs w:val="18"/>
          <w:color w:val="auto"/>
        </w:rPr>
        <w:t>As of March 31, 2015, we were owed $105,844 from GSV Asset Management for reimbursement of expenses paid for by us that were the responsibility of GSV Asset Management. In addition as of March 31, 2015, we owed GSV Asset Management $30,255 for reimbursement of other expenses.</w:t>
      </w:r>
    </w:p>
    <w:p>
      <w:pPr>
        <w:spacing w:after="0" w:line="68" w:lineRule="exact"/>
        <w:rPr>
          <w:sz w:val="20"/>
          <w:szCs w:val="20"/>
          <w:color w:val="auto"/>
        </w:rPr>
      </w:pPr>
    </w:p>
    <w:p>
      <w:pPr>
        <w:jc w:val="both"/>
        <w:ind w:left="40" w:right="539" w:firstLine="270"/>
        <w:spacing w:after="0" w:line="266" w:lineRule="auto"/>
        <w:rPr>
          <w:sz w:val="20"/>
          <w:szCs w:val="20"/>
          <w:color w:val="auto"/>
        </w:rPr>
      </w:pPr>
      <w:r>
        <w:rPr>
          <w:rFonts w:ascii="Times New Roman" w:cs="Times New Roman" w:eastAsia="Times New Roman" w:hAnsi="Times New Roman"/>
          <w:sz w:val="18"/>
          <w:szCs w:val="18"/>
          <w:color w:val="auto"/>
        </w:rPr>
        <w:t>As of December 31, 2014, we were owed $204,825 from GSV Asset Management for reimbursement of expenses paid for by us that were the responsibility of GSV Asset Management. In addition as of December 31, 2014, we owed GSV Asset Management $23,396 for reimbursement of other expenses.</w:t>
      </w:r>
    </w:p>
    <w:p>
      <w:pPr>
        <w:spacing w:after="0" w:line="68" w:lineRule="exact"/>
        <w:rPr>
          <w:sz w:val="20"/>
          <w:szCs w:val="20"/>
          <w:color w:val="auto"/>
        </w:rPr>
      </w:pPr>
    </w:p>
    <w:p>
      <w:pPr>
        <w:jc w:val="both"/>
        <w:ind w:left="40" w:right="539" w:firstLine="270"/>
        <w:spacing w:after="0" w:line="261" w:lineRule="auto"/>
        <w:rPr>
          <w:sz w:val="20"/>
          <w:szCs w:val="20"/>
          <w:color w:val="auto"/>
        </w:rPr>
      </w:pPr>
      <w:r>
        <w:rPr>
          <w:rFonts w:ascii="Times New Roman" w:cs="Times New Roman" w:eastAsia="Times New Roman" w:hAnsi="Times New Roman"/>
          <w:sz w:val="18"/>
          <w:szCs w:val="18"/>
          <w:color w:val="auto"/>
        </w:rPr>
        <w:t>In February 2013, Mark Moe, who is the brother of our Chief Executive Officer, Michael Moe, joined NestGSV, Inc. (d.b.a. GSV Labs, Inc.), one of our portfolio companies, as a Vice President of Business Development, Global Expansion. On August 26, 2014, Diane Flynn, who is the spouse of our president, Mark Flynn, joined NestGSV, Inc. (d.b.a. GSV Labs, Inc.), on a contract basis as Chief Marketing Officer. In</w:t>
      </w:r>
    </w:p>
    <w:p>
      <w:pPr>
        <w:spacing w:after="0" w:line="200" w:lineRule="exact"/>
        <w:rPr>
          <w:sz w:val="20"/>
          <w:szCs w:val="20"/>
          <w:color w:val="auto"/>
        </w:rPr>
      </w:pPr>
    </w:p>
    <w:p>
      <w:pPr>
        <w:spacing w:after="0" w:line="31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48" w:name="page49"/>
    <w:bookmarkEnd w:id="4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jc w:val="both"/>
        <w:ind w:left="40" w:right="539"/>
        <w:spacing w:after="0" w:line="282" w:lineRule="auto"/>
        <w:rPr>
          <w:sz w:val="20"/>
          <w:szCs w:val="20"/>
          <w:color w:val="auto"/>
        </w:rPr>
      </w:pPr>
      <w:r>
        <w:rPr>
          <w:rFonts w:ascii="Times New Roman" w:cs="Times New Roman" w:eastAsia="Times New Roman" w:hAnsi="Times New Roman"/>
          <w:sz w:val="18"/>
          <w:szCs w:val="18"/>
          <w:color w:val="auto"/>
        </w:rPr>
        <w:t>February 2015, she became the Chief Marketing Officer on a full time basis. Ron Johnson, the CEO of Enjoy Technology, Inc., is the brother in law of our president, Mark Flynn.</w:t>
      </w:r>
    </w:p>
    <w:p>
      <w:pPr>
        <w:spacing w:after="0" w:line="54" w:lineRule="exact"/>
        <w:rPr>
          <w:sz w:val="20"/>
          <w:szCs w:val="20"/>
          <w:color w:val="auto"/>
        </w:rPr>
      </w:pPr>
    </w:p>
    <w:p>
      <w:pPr>
        <w:jc w:val="both"/>
        <w:ind w:left="40" w:right="519" w:firstLine="270"/>
        <w:spacing w:after="0" w:line="256" w:lineRule="auto"/>
        <w:rPr>
          <w:sz w:val="20"/>
          <w:szCs w:val="20"/>
          <w:color w:val="auto"/>
        </w:rPr>
      </w:pPr>
      <w:r>
        <w:rPr>
          <w:rFonts w:ascii="Times New Roman" w:cs="Times New Roman" w:eastAsia="Times New Roman" w:hAnsi="Times New Roman"/>
          <w:sz w:val="18"/>
          <w:szCs w:val="18"/>
          <w:color w:val="auto"/>
        </w:rPr>
        <w:t>We entered into an Administration Agreement with GSV Capital Service Company (the “Administration Agreement”) to provide administrative services, including furnishing us with office facilities, equipment, clerical, bookkeeping services and other administrative services, in connection with our initial public offering. We reimburse GSV Capital Service Company an allocable portion of overhead and other expenses in performing its obligations under the Administration Agreement. There were $802,396, and $908,532 in such costs incurred under the Administration Agreement for the three months ended March 31, 2015, and 2014, respectively.</w:t>
      </w:r>
    </w:p>
    <w:p>
      <w:pPr>
        <w:spacing w:after="0" w:line="80" w:lineRule="exact"/>
        <w:rPr>
          <w:sz w:val="20"/>
          <w:szCs w:val="20"/>
          <w:color w:val="auto"/>
        </w:rPr>
      </w:pPr>
    </w:p>
    <w:p>
      <w:pPr>
        <w:jc w:val="both"/>
        <w:ind w:left="40" w:right="519" w:firstLine="270"/>
        <w:spacing w:after="0" w:line="256" w:lineRule="auto"/>
        <w:rPr>
          <w:sz w:val="20"/>
          <w:szCs w:val="20"/>
          <w:color w:val="auto"/>
        </w:rPr>
      </w:pPr>
      <w:r>
        <w:rPr>
          <w:rFonts w:ascii="Times New Roman" w:cs="Times New Roman" w:eastAsia="Times New Roman" w:hAnsi="Times New Roman"/>
          <w:sz w:val="18"/>
          <w:szCs w:val="18"/>
          <w:color w:val="auto"/>
        </w:rPr>
        <w:t>In addition, our executive officers and directors, and the principals of our investment adviser, GSV Asset Management, serve or may serve as officers and directors of entities that operate in a line of business similar to our own, including new entities that may be formed in the future. Accordingly, they may have obligations to investors in those entities, the fulfillment of which might not be in the best interests of us or our stockholders. For example, GSV Asset Management currently manages GSV X Fund, a global long/short absolute return fund, and Coursera@GSV Fund, LP, a special purpose vehicle comprised of an underlying investment in Coursera stock, and will likely manage one or more private funds in the future.</w:t>
      </w:r>
    </w:p>
    <w:p>
      <w:pPr>
        <w:spacing w:after="0" w:line="80" w:lineRule="exact"/>
        <w:rPr>
          <w:sz w:val="20"/>
          <w:szCs w:val="20"/>
          <w:color w:val="auto"/>
        </w:rPr>
      </w:pPr>
    </w:p>
    <w:p>
      <w:pPr>
        <w:jc w:val="both"/>
        <w:ind w:left="40" w:right="519" w:firstLine="270"/>
        <w:spacing w:after="0" w:line="254" w:lineRule="auto"/>
        <w:rPr>
          <w:sz w:val="20"/>
          <w:szCs w:val="20"/>
          <w:color w:val="auto"/>
        </w:rPr>
      </w:pPr>
      <w:r>
        <w:rPr>
          <w:rFonts w:ascii="Times New Roman" w:cs="Times New Roman" w:eastAsia="Times New Roman" w:hAnsi="Times New Roman"/>
          <w:sz w:val="18"/>
          <w:szCs w:val="18"/>
          <w:color w:val="auto"/>
        </w:rPr>
        <w:t>While the investment focus of each of these entities may be different from our investment objective, it is likely that new investment opportunities that meet our investment objective will come to the attention of one of these entities, or new entities that will likely be formed in the future in connection with another investment advisory client or program, and, if so, such opportunity might not be offered, or otherwise made available, to us. However, our executive officers, directors and investment adviser intend to treat us in a fair and equitable manner consistent with their applicable duties under law so that we will not be disadvantaged in relation to any other particular client. In addition, while GSV Asset Management anticipates that it will from time to time identify investment opportunities that are appropriate for both GSV Capital and the other funds that are currently or in the future may be managed by GSV Asset Management, to the extent it does identify such opportunities, GSV Asset Management has established an allocation policy to ensure that GSV Capital has priority over such other funds. Our Board of Directors will monitor on a quarterly basis any such allocation of investment opportunities between GSV Capital and any such other funds.</w:t>
      </w:r>
    </w:p>
    <w:p>
      <w:pPr>
        <w:spacing w:after="0" w:line="78" w:lineRule="exact"/>
        <w:rPr>
          <w:sz w:val="20"/>
          <w:szCs w:val="20"/>
          <w:color w:val="auto"/>
        </w:rPr>
      </w:pPr>
    </w:p>
    <w:p>
      <w:pPr>
        <w:jc w:val="both"/>
        <w:ind w:left="40" w:right="519" w:firstLine="270"/>
        <w:spacing w:after="0" w:line="258" w:lineRule="auto"/>
        <w:rPr>
          <w:sz w:val="20"/>
          <w:szCs w:val="20"/>
          <w:color w:val="auto"/>
        </w:rPr>
      </w:pPr>
      <w:r>
        <w:rPr>
          <w:rFonts w:ascii="Times New Roman" w:cs="Times New Roman" w:eastAsia="Times New Roman" w:hAnsi="Times New Roman"/>
          <w:sz w:val="18"/>
          <w:szCs w:val="18"/>
          <w:color w:val="auto"/>
        </w:rPr>
        <w:t>GSV Asset Management is the owner of the “GSV” name and marks, which we are permitted to use pursuant to a non-exclusive license agreement between us and GSV Asset Management. GSV Asset Management and its principals also use and may permit other entities to use the “GSV” name and marks in connection with businesses and activities unrelated to our operations. The use of the “GSV” name and marks in connection with businesses and activities unrelated to our operations may not be in the best interest of us or our stockholder and may result in actual or perceived conflicts of interest.</w:t>
      </w:r>
    </w:p>
    <w:p>
      <w:pPr>
        <w:spacing w:after="0" w:line="76" w:lineRule="exact"/>
        <w:rPr>
          <w:sz w:val="20"/>
          <w:szCs w:val="20"/>
          <w:color w:val="auto"/>
        </w:rPr>
      </w:pPr>
    </w:p>
    <w:p>
      <w:pPr>
        <w:jc w:val="both"/>
        <w:ind w:left="40" w:right="519" w:firstLine="27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may enter into transactions with portfolio companies that may be considered related party transactions. In order to ensure that we do not engage in any prohibited transactions with any persons affiliated with us, we have implemented certain written policies and procedures whereby our executive officers screen each of our transactions for any possible affiliations between the proposed portfolio investment, us, companies controlled by us and our executive officers and directors.</w:t>
      </w:r>
    </w:p>
    <w:p>
      <w:pPr>
        <w:spacing w:after="0" w:line="72" w:lineRule="exact"/>
        <w:rPr>
          <w:sz w:val="20"/>
          <w:szCs w:val="20"/>
          <w:color w:val="auto"/>
        </w:rPr>
      </w:pPr>
    </w:p>
    <w:p>
      <w:pPr>
        <w:jc w:val="both"/>
        <w:ind w:left="40" w:right="519" w:firstLine="270"/>
        <w:spacing w:after="0" w:line="255" w:lineRule="auto"/>
        <w:rPr>
          <w:sz w:val="20"/>
          <w:szCs w:val="20"/>
          <w:color w:val="auto"/>
        </w:rPr>
      </w:pPr>
      <w:r>
        <w:rPr>
          <w:rFonts w:ascii="Times New Roman" w:cs="Times New Roman" w:eastAsia="Times New Roman" w:hAnsi="Times New Roman"/>
          <w:sz w:val="18"/>
          <w:szCs w:val="18"/>
          <w:color w:val="auto"/>
        </w:rPr>
        <w:t>We also adopted a Code of Ethics which applies to, among others, our senior officers, including our Chief Executive Officer and Chief Financial Officer, as well as all of our officers, directors and employees. Our Code of Ethics requires that all employees and directors avoid any conflict, or the appearance of a conflict, between an individual’s personal interests and our interests. Pursuant to our Code of Ethics, each employee and director must disclose any conflicts of interest, or actions or relationships that might give rise to a conflict, to our Chief Compliance Officer. Our board of directors is charged with approving any waivers under our Code of Ethics. As required by the NASDAQ corporate governance listing standards, the Audit Committee of our board of directors is also required to review and approve any transactions with related parties (as such term is defined in Item 404 of Regulation S-K).</w:t>
      </w:r>
    </w:p>
    <w:p>
      <w:pPr>
        <w:spacing w:after="0" w:line="200" w:lineRule="exact"/>
        <w:rPr>
          <w:sz w:val="20"/>
          <w:szCs w:val="20"/>
          <w:color w:val="auto"/>
        </w:rPr>
      </w:pPr>
    </w:p>
    <w:p>
      <w:pPr>
        <w:spacing w:after="0" w:line="32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49" w:name="page50"/>
    <w:bookmarkEnd w:id="4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left="40" w:right="519" w:firstLine="270"/>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the accrual basis of accounting in conformity with GAAP, and include the accounts of ours and our consolidated subsidiaries. We are an investment company following accounting and reporting guidance in ASC 946. The condensed consolidated financial statements reflect all adjustments and reclassifications that, in the opinion of management, are necessary for the fair presentation of the results of the operations and financial condition as of and for the periods presented. All intercompany balances and transactions have been eliminated.</w:t>
      </w:r>
    </w:p>
    <w:p>
      <w:pPr>
        <w:spacing w:after="0" w:line="76" w:lineRule="exact"/>
        <w:rPr>
          <w:sz w:val="20"/>
          <w:szCs w:val="20"/>
          <w:color w:val="auto"/>
        </w:rPr>
      </w:pPr>
    </w:p>
    <w:p>
      <w:pPr>
        <w:jc w:val="both"/>
        <w:ind w:left="40" w:right="539" w:firstLine="270"/>
        <w:spacing w:after="0" w:line="282" w:lineRule="auto"/>
        <w:rPr>
          <w:sz w:val="20"/>
          <w:szCs w:val="20"/>
          <w:color w:val="auto"/>
        </w:rPr>
      </w:pPr>
      <w:r>
        <w:rPr>
          <w:rFonts w:ascii="Times New Roman" w:cs="Times New Roman" w:eastAsia="Times New Roman" w:hAnsi="Times New Roman"/>
          <w:sz w:val="18"/>
          <w:szCs w:val="18"/>
          <w:color w:val="auto"/>
        </w:rPr>
        <w:t>In accordance with Regulation S-X under the Securities Act of 1933 and Securities Exchange Act of 1934, the Company does not consolidate portfolio company investments.</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Investments at Fair Value</w:t>
      </w:r>
    </w:p>
    <w:p>
      <w:pPr>
        <w:spacing w:after="0" w:line="121" w:lineRule="exact"/>
        <w:rPr>
          <w:sz w:val="20"/>
          <w:szCs w:val="20"/>
          <w:color w:val="auto"/>
        </w:rPr>
      </w:pPr>
    </w:p>
    <w:p>
      <w:pPr>
        <w:jc w:val="both"/>
        <w:ind w:left="40" w:right="539" w:firstLine="270"/>
        <w:spacing w:after="0" w:line="255" w:lineRule="auto"/>
        <w:rPr>
          <w:sz w:val="20"/>
          <w:szCs w:val="20"/>
          <w:color w:val="auto"/>
        </w:rPr>
      </w:pPr>
      <w:r>
        <w:rPr>
          <w:rFonts w:ascii="Times New Roman" w:cs="Times New Roman" w:eastAsia="Times New Roman" w:hAnsi="Times New Roman"/>
          <w:sz w:val="18"/>
          <w:szCs w:val="18"/>
          <w:color w:val="auto"/>
        </w:rPr>
        <w:t>We carry our investments at fair value, as determined in good faith by our board of directors, in accordance with GAAP. Fair value is the price that one would receive upon selling an investment or pay to transfer a liability in an orderly transaction between market participants at the measurement date in the principal or most advantageous market for the investment or liability. GAAP emphasizes that valuation techniques should maximize the use of observable market inputs and minimize the use of unobservable inputs. Observable inputs are based on market data obtained from sources independent of the entity and should not be limited to information that is only available to the entity making the fair value determination, or to a small group of users. Observable market inputs should be readily available to participants in that market. In addition, observable market inputs should include a level of transparency that is reliable and verifiable.</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GAAP fair value measurement guidance classifies the inputs used to measure these fair values into the following hierarchy:</w:t>
      </w:r>
    </w:p>
    <w:p>
      <w:pPr>
        <w:spacing w:after="0" w:line="113" w:lineRule="exact"/>
        <w:rPr>
          <w:sz w:val="20"/>
          <w:szCs w:val="20"/>
          <w:color w:val="auto"/>
        </w:rPr>
      </w:pPr>
    </w:p>
    <w:p>
      <w:pPr>
        <w:jc w:val="both"/>
        <w:ind w:left="40" w:right="519" w:firstLine="27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Financial assets and liabilities whose values are based on unadjusted quoted prices for identical assets or liabilities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active market that we have the ability to access.</w:t>
      </w:r>
    </w:p>
    <w:p>
      <w:pPr>
        <w:spacing w:after="0" w:line="47" w:lineRule="exact"/>
        <w:rPr>
          <w:sz w:val="20"/>
          <w:szCs w:val="20"/>
          <w:color w:val="auto"/>
        </w:rPr>
      </w:pPr>
    </w:p>
    <w:p>
      <w:pPr>
        <w:jc w:val="both"/>
        <w:ind w:left="40" w:right="519" w:firstLine="27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Financial assets and liabilities whose values are based on quoted prices in markets that are not active or model inputs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are observable either directly or indirectly for substantially the full term of the asset or liability. Level 2 inputs include the following:</w:t>
      </w:r>
    </w:p>
    <w:p>
      <w:pPr>
        <w:spacing w:after="0" w:line="67" w:lineRule="exact"/>
        <w:rPr>
          <w:sz w:val="20"/>
          <w:szCs w:val="20"/>
          <w:color w:val="auto"/>
        </w:rPr>
      </w:pPr>
    </w:p>
    <w:p>
      <w:pPr>
        <w:ind w:left="540" w:hanging="262"/>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117"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non-active markets;</w:t>
      </w:r>
    </w:p>
    <w:p>
      <w:pPr>
        <w:spacing w:after="0" w:line="117"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models whose inputs are observable for substantially the full term of the asset or liability; and</w:t>
      </w:r>
    </w:p>
    <w:p>
      <w:pPr>
        <w:spacing w:after="0" w:line="117" w:lineRule="exact"/>
        <w:rPr>
          <w:rFonts w:ascii="Times New Roman" w:cs="Times New Roman" w:eastAsia="Times New Roman" w:hAnsi="Times New Roman"/>
          <w:sz w:val="18"/>
          <w:szCs w:val="18"/>
          <w:color w:val="auto"/>
        </w:rPr>
      </w:pPr>
    </w:p>
    <w:p>
      <w:pPr>
        <w:ind w:left="540" w:right="519" w:hanging="262"/>
        <w:spacing w:after="0" w:line="282"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models whose inputs are derived principally from or corroborated by observable market data through correlation or other means for substantially the full term of the asset or liability.</w:t>
      </w:r>
    </w:p>
    <w:p>
      <w:pPr>
        <w:spacing w:after="0" w:line="50" w:lineRule="exact"/>
        <w:rPr>
          <w:sz w:val="20"/>
          <w:szCs w:val="20"/>
          <w:color w:val="auto"/>
        </w:rPr>
      </w:pPr>
    </w:p>
    <w:p>
      <w:pPr>
        <w:jc w:val="both"/>
        <w:ind w:left="40" w:right="519" w:firstLine="27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Financial assets and liabilities whose values are based on prices or valuation techniques that require inputs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both unobservable and significant to the overall fair value measurement. These inputs reflect management’s own assumptions about the assumptions a market participant would use in pricing the asset or liability.</w:t>
      </w:r>
    </w:p>
    <w:p>
      <w:pPr>
        <w:spacing w:after="0" w:line="67" w:lineRule="exact"/>
        <w:rPr>
          <w:sz w:val="20"/>
          <w:szCs w:val="20"/>
          <w:color w:val="auto"/>
        </w:rPr>
      </w:pPr>
    </w:p>
    <w:p>
      <w:pPr>
        <w:jc w:val="both"/>
        <w:ind w:left="40" w:right="539" w:firstLine="270"/>
        <w:spacing w:after="0" w:line="282" w:lineRule="auto"/>
        <w:rPr>
          <w:sz w:val="20"/>
          <w:szCs w:val="20"/>
          <w:color w:val="auto"/>
        </w:rPr>
      </w:pPr>
      <w:r>
        <w:rPr>
          <w:rFonts w:ascii="Times New Roman" w:cs="Times New Roman" w:eastAsia="Times New Roman" w:hAnsi="Times New Roman"/>
          <w:sz w:val="18"/>
          <w:szCs w:val="18"/>
          <w:color w:val="auto"/>
        </w:rPr>
        <w:t>An asset’s categorization within the valuation hierarchy is based upon the lowest level of input that is significant to the fair value measurement.</w:t>
      </w:r>
    </w:p>
    <w:p>
      <w:pPr>
        <w:spacing w:after="0" w:line="54" w:lineRule="exact"/>
        <w:rPr>
          <w:sz w:val="20"/>
          <w:szCs w:val="20"/>
          <w:color w:val="auto"/>
        </w:rPr>
      </w:pPr>
    </w:p>
    <w:p>
      <w:pPr>
        <w:jc w:val="both"/>
        <w:ind w:left="40" w:right="539" w:firstLine="270"/>
        <w:spacing w:after="0" w:line="266" w:lineRule="auto"/>
        <w:rPr>
          <w:sz w:val="20"/>
          <w:szCs w:val="20"/>
          <w:color w:val="auto"/>
        </w:rPr>
      </w:pPr>
      <w:r>
        <w:rPr>
          <w:rFonts w:ascii="Times New Roman" w:cs="Times New Roman" w:eastAsia="Times New Roman" w:hAnsi="Times New Roman"/>
          <w:sz w:val="18"/>
          <w:szCs w:val="18"/>
          <w:color w:val="auto"/>
        </w:rPr>
        <w:t>Securities that are publicly traded are generally valued at the close price on the valuation date; however, if they remain subject to lock-up restrictions they are discounted accordingly. Securities that are not publicly traded or for which there are no readily available market quotations are valued at fair value as determined in good faith by our board of directors.</w:t>
      </w:r>
    </w:p>
    <w:p>
      <w:pPr>
        <w:spacing w:after="0" w:line="68" w:lineRule="exact"/>
        <w:rPr>
          <w:sz w:val="20"/>
          <w:szCs w:val="20"/>
          <w:color w:val="auto"/>
        </w:rPr>
      </w:pPr>
    </w:p>
    <w:p>
      <w:pPr>
        <w:jc w:val="both"/>
        <w:ind w:left="40" w:right="519" w:firstLine="270"/>
        <w:spacing w:after="0" w:line="266" w:lineRule="auto"/>
        <w:rPr>
          <w:sz w:val="20"/>
          <w:szCs w:val="20"/>
          <w:color w:val="auto"/>
        </w:rPr>
      </w:pPr>
      <w:r>
        <w:rPr>
          <w:rFonts w:ascii="Times New Roman" w:cs="Times New Roman" w:eastAsia="Times New Roman" w:hAnsi="Times New Roman"/>
          <w:sz w:val="18"/>
          <w:szCs w:val="18"/>
          <w:color w:val="auto"/>
        </w:rPr>
        <w:t>In connection with that determination, portfolio company valuations are prepared using the most currently available data. As appropriate, we obtain updates on each portfolio company’s financial performance, including information such as economic and industry trends, new product development, and other operational issues.</w:t>
      </w:r>
    </w:p>
    <w:p>
      <w:pPr>
        <w:spacing w:after="0" w:line="200" w:lineRule="exact"/>
        <w:rPr>
          <w:sz w:val="20"/>
          <w:szCs w:val="20"/>
          <w:color w:val="auto"/>
        </w:rPr>
      </w:pPr>
    </w:p>
    <w:p>
      <w:pPr>
        <w:spacing w:after="0" w:line="3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50" w:name="page51"/>
    <w:bookmarkEnd w:id="5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jc w:val="both"/>
        <w:ind w:left="40" w:right="519" w:firstLine="270"/>
        <w:spacing w:after="0" w:line="258" w:lineRule="auto"/>
        <w:rPr>
          <w:sz w:val="20"/>
          <w:szCs w:val="20"/>
          <w:color w:val="auto"/>
        </w:rPr>
      </w:pPr>
      <w:r>
        <w:rPr>
          <w:rFonts w:ascii="Times New Roman" w:cs="Times New Roman" w:eastAsia="Times New Roman" w:hAnsi="Times New Roman"/>
          <w:sz w:val="18"/>
          <w:szCs w:val="18"/>
          <w:color w:val="auto"/>
        </w:rPr>
        <w:t>In making our good faith determination of the fair value of investments, we consider valuation methodologies consistent with industry practice, including but not limited to (i) publicly available information regarding the valuation of the securities based on recent sales in comparable transactions of private companies, (ii) when management believes there are comparable companies that are publicly traded, a review of these publicly traded companies and applicable market multiples of their equity securities and, (iii) an income approach that estimates value based on the expectation of future cash flows that an asset or business will generate.</w:t>
      </w:r>
    </w:p>
    <w:p>
      <w:pPr>
        <w:spacing w:after="0" w:line="76" w:lineRule="exact"/>
        <w:rPr>
          <w:sz w:val="20"/>
          <w:szCs w:val="20"/>
          <w:color w:val="auto"/>
        </w:rPr>
      </w:pPr>
    </w:p>
    <w:p>
      <w:pPr>
        <w:jc w:val="both"/>
        <w:ind w:left="40" w:right="519" w:firstLine="270"/>
        <w:spacing w:after="0" w:line="258" w:lineRule="auto"/>
        <w:rPr>
          <w:sz w:val="20"/>
          <w:szCs w:val="20"/>
          <w:color w:val="auto"/>
        </w:rPr>
      </w:pPr>
      <w:r>
        <w:rPr>
          <w:rFonts w:ascii="Times New Roman" w:cs="Times New Roman" w:eastAsia="Times New Roman" w:hAnsi="Times New Roman"/>
          <w:sz w:val="18"/>
          <w:szCs w:val="18"/>
          <w:color w:val="auto"/>
        </w:rPr>
        <w:t>We engage independent valuation firms to perform valuations of our investments that are not publicly traded or for which there are no readily available market quotations. We also engage independent valuation firms to perform valuations of any securities that trade on private secondary markets, but are not otherwise publicly traded, where there is a lack of appreciable trading or a wide disparity in recently reported trades. We consider the independent valuations provided by the valuation firms, among other factors, in making our fair value determinations.</w:t>
      </w:r>
    </w:p>
    <w:p>
      <w:pPr>
        <w:spacing w:after="0" w:line="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U.S. Federal and State Income Taxes</w:t>
      </w:r>
    </w:p>
    <w:p>
      <w:pPr>
        <w:spacing w:after="0" w:line="121" w:lineRule="exact"/>
        <w:rPr>
          <w:sz w:val="20"/>
          <w:szCs w:val="20"/>
          <w:color w:val="auto"/>
        </w:rPr>
      </w:pPr>
    </w:p>
    <w:p>
      <w:pPr>
        <w:jc w:val="both"/>
        <w:ind w:left="40" w:right="519" w:firstLine="270"/>
        <w:spacing w:after="0" w:line="258" w:lineRule="auto"/>
        <w:rPr>
          <w:sz w:val="20"/>
          <w:szCs w:val="20"/>
          <w:color w:val="auto"/>
        </w:rPr>
      </w:pPr>
      <w:r>
        <w:rPr>
          <w:rFonts w:ascii="Times New Roman" w:cs="Times New Roman" w:eastAsia="Times New Roman" w:hAnsi="Times New Roman"/>
          <w:sz w:val="18"/>
          <w:szCs w:val="18"/>
          <w:color w:val="auto"/>
        </w:rPr>
        <w:t>We use the liability method of accounting for income taxes. Deferred tax assets and liabilities are recorded for tax loss carryforwards and temporary differences between the tax basis of assets and liabilities and their reported amounts in the condensed consolidated financial statements, using statutory tax rates in effect for the year in which the temporary differences are expected to reverse. Certain tax attributes may be subject to limitations on timing and usage. A valuation allowance is provided against deferred tax assets when it is more likely than not that some portion or all of the deferred tax assets will not be realized.</w:t>
      </w:r>
    </w:p>
    <w:p>
      <w:pPr>
        <w:spacing w:after="0" w:line="76" w:lineRule="exact"/>
        <w:rPr>
          <w:sz w:val="20"/>
          <w:szCs w:val="20"/>
          <w:color w:val="auto"/>
        </w:rPr>
      </w:pPr>
    </w:p>
    <w:p>
      <w:pPr>
        <w:jc w:val="both"/>
        <w:ind w:left="40" w:right="519" w:firstLine="270"/>
        <w:spacing w:after="0" w:line="253" w:lineRule="auto"/>
        <w:rPr>
          <w:sz w:val="20"/>
          <w:szCs w:val="20"/>
          <w:color w:val="auto"/>
        </w:rPr>
      </w:pPr>
      <w:r>
        <w:rPr>
          <w:rFonts w:ascii="Times New Roman" w:cs="Times New Roman" w:eastAsia="Times New Roman" w:hAnsi="Times New Roman"/>
          <w:sz w:val="18"/>
          <w:szCs w:val="18"/>
          <w:color w:val="auto"/>
        </w:rPr>
        <w:t>We may elect to be treated for federal income tax purposes as a RIC effective for the 2013 tax year. In September 2014 we filed our 2013 tax return as a RIC and are seeking to be granted RIC status for our 2013 taxable year, however, we will not be eligible to elect to be treated as a RIC for the 2013 taxable year unless we are certified by the SEC as “principally engaged in the furnishing of capital to other corporations which are principally engaged in the development or exploitation of inventions, technological improvements, new processes, or products not previously generally available” for the 2013 taxable year. Although we filed an application with the SEC for an SEC Certification for the 2013 taxable year, there can be no assurance that we will receive an SEC Certification. In the event that we do not receive such SEC Certification or we are otherwise unable to meet all of the qualifications to be treated as a RIC for 2013, we will be taxed as a C Corporation for the 2013 taxable year. To that end, for purposes of our financial statements, we have accrued taxes as though we were a C Corporation for the 2013 taxable year, in the event we are unable to qualify as a RIC. Should we not qualify as a RIC for 2013, we intend to elect to be treated as a RIC for our 2014 taxable year, if management determines that it is in our best interests to do so. For example, it may not be in our best interests in the event that we experience large operating losses or have large loss carryforwards. If we opt not to do so or are unable to qualify, we will continue to be taxed as a C corporation under the Code for our 2014 taxable year.</w:t>
      </w:r>
    </w:p>
    <w:p>
      <w:pPr>
        <w:spacing w:after="0" w:line="81" w:lineRule="exact"/>
        <w:rPr>
          <w:sz w:val="20"/>
          <w:szCs w:val="20"/>
          <w:color w:val="auto"/>
        </w:rPr>
      </w:pPr>
    </w:p>
    <w:p>
      <w:pPr>
        <w:jc w:val="both"/>
        <w:ind w:left="40" w:right="519" w:firstLine="270"/>
        <w:spacing w:after="0" w:line="255" w:lineRule="auto"/>
        <w:rPr>
          <w:sz w:val="20"/>
          <w:szCs w:val="20"/>
          <w:color w:val="auto"/>
        </w:rPr>
      </w:pPr>
      <w:r>
        <w:rPr>
          <w:rFonts w:ascii="Times New Roman" w:cs="Times New Roman" w:eastAsia="Times New Roman" w:hAnsi="Times New Roman"/>
          <w:sz w:val="18"/>
          <w:szCs w:val="18"/>
          <w:color w:val="auto"/>
        </w:rPr>
        <w:t>We evaluate tax positions taken or expected to be taken in the course of preparing our condensed consolidated financial statements to determine whether the tax positions are “more-likely-than-not” of being sustained by the applicable tax authority. We recognize the tax benefits of uncertain tax positions only where the position has met the “more-likely-than-not” threshold. We classify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 We did not have any unrecognized tax benefits as of the period presented herein. We have identified our major tax jurisdictions as U.S. federal and California, and are not aware of any tax positions for which it is reasonably possible that the total amount of unrecognized tax benefits will change significantly in the next 12 months.</w:t>
      </w:r>
    </w:p>
    <w:p>
      <w:pPr>
        <w:spacing w:after="0" w:line="1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21" w:lineRule="exact"/>
        <w:rPr>
          <w:sz w:val="20"/>
          <w:szCs w:val="20"/>
          <w:color w:val="auto"/>
        </w:rPr>
      </w:pPr>
    </w:p>
    <w:p>
      <w:pPr>
        <w:jc w:val="both"/>
        <w:ind w:left="40" w:right="519" w:firstLine="270"/>
        <w:spacing w:after="0" w:line="282" w:lineRule="auto"/>
        <w:rPr>
          <w:sz w:val="20"/>
          <w:szCs w:val="20"/>
          <w:color w:val="auto"/>
        </w:rPr>
      </w:pPr>
      <w:r>
        <w:rPr>
          <w:rFonts w:ascii="Times New Roman" w:cs="Times New Roman" w:eastAsia="Times New Roman" w:hAnsi="Times New Roman"/>
          <w:sz w:val="18"/>
          <w:szCs w:val="18"/>
          <w:color w:val="auto"/>
        </w:rPr>
        <w:t>We do not believe that the adoption of any recently issued accounting standards will have a material impact on our current financial position and results of operations.</w:t>
      </w:r>
    </w:p>
    <w:p>
      <w:pPr>
        <w:spacing w:after="0" w:line="200" w:lineRule="exact"/>
        <w:rPr>
          <w:sz w:val="20"/>
          <w:szCs w:val="20"/>
          <w:color w:val="auto"/>
        </w:rPr>
      </w:pPr>
    </w:p>
    <w:p>
      <w:pPr>
        <w:spacing w:after="0" w:line="29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51" w:name="page52"/>
    <w:bookmarkEnd w:id="51"/>
    <w:p>
      <w:pPr>
        <w:ind w:left="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jc w:val="both"/>
        <w:ind w:left="60" w:right="519" w:firstLine="270"/>
        <w:spacing w:after="0" w:line="282" w:lineRule="auto"/>
        <w:rPr>
          <w:sz w:val="20"/>
          <w:szCs w:val="20"/>
          <w:color w:val="auto"/>
        </w:rPr>
      </w:pPr>
      <w:r>
        <w:rPr>
          <w:rFonts w:ascii="Times New Roman" w:cs="Times New Roman" w:eastAsia="Times New Roman" w:hAnsi="Times New Roman"/>
          <w:sz w:val="18"/>
          <w:szCs w:val="18"/>
          <w:color w:val="auto"/>
        </w:rPr>
        <w:t>From March 31, 2015 through May 11, 2015, we closed on investment purchases of $1,549,999 plus transaction costs as shown in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wp:posOffset>
            </wp:positionV>
            <wp:extent cx="47510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00" w:type="dxa"/>
            <w:vAlign w:val="bottom"/>
          </w:tcPr>
          <w:p>
            <w:pPr>
              <w:spacing w:after="0"/>
              <w:rPr>
                <w:sz w:val="13"/>
                <w:szCs w:val="13"/>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73"/>
        </w:trPr>
        <w:tc>
          <w:tcPr>
            <w:tcW w:w="3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NestGSV, Inc. (d.b.a. GSV Labs, Inc.)</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Incubator</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3, 2015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1,499,999</w:t>
            </w: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Earlyshares.com</w:t>
            </w:r>
          </w:p>
        </w:tc>
        <w:tc>
          <w:tcPr>
            <w:tcW w:w="1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 Crowd Funding</w:t>
            </w:r>
          </w:p>
        </w:tc>
        <w:tc>
          <w:tcPr>
            <w:tcW w:w="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16, 2015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Payments</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1,549,999</w:t>
            </w: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47510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0" w:lineRule="exact"/>
        <w:rPr>
          <w:sz w:val="20"/>
          <w:szCs w:val="20"/>
          <w:color w:val="auto"/>
        </w:rPr>
      </w:pPr>
    </w:p>
    <w:p>
      <w:pPr>
        <w:jc w:val="both"/>
        <w:ind w:left="60" w:right="519" w:firstLine="270"/>
        <w:spacing w:after="0" w:line="282" w:lineRule="auto"/>
        <w:rPr>
          <w:sz w:val="20"/>
          <w:szCs w:val="20"/>
          <w:color w:val="auto"/>
        </w:rPr>
      </w:pPr>
      <w:r>
        <w:rPr>
          <w:rFonts w:ascii="Times New Roman" w:cs="Times New Roman" w:eastAsia="Times New Roman" w:hAnsi="Times New Roman"/>
          <w:sz w:val="18"/>
          <w:szCs w:val="18"/>
          <w:color w:val="auto"/>
        </w:rPr>
        <w:t>From March 31, 2015 through May 11, 2015, we sold investments of $20,608,011 net of transaction costs as shown in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wp:posOffset>
            </wp:positionV>
            <wp:extent cx="521398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160" w:type="dxa"/>
            <w:vAlign w:val="bottom"/>
          </w:tcPr>
          <w:p>
            <w:pPr>
              <w:spacing w:after="0"/>
              <w:rPr>
                <w:sz w:val="16"/>
                <w:szCs w:val="16"/>
                <w:color w:val="auto"/>
              </w:rPr>
            </w:pPr>
          </w:p>
        </w:tc>
        <w:tc>
          <w:tcPr>
            <w:tcW w:w="9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Net Share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0" w:type="dxa"/>
            <w:vAlign w:val="bottom"/>
          </w:tcPr>
          <w:p>
            <w:pPr>
              <w:spacing w:after="0"/>
              <w:rPr>
                <w:sz w:val="1"/>
                <w:szCs w:val="1"/>
                <w:color w:val="auto"/>
              </w:rPr>
            </w:pPr>
          </w:p>
        </w:tc>
      </w:tr>
      <w:tr>
        <w:trPr>
          <w:trHeight w:val="176"/>
        </w:trPr>
        <w:tc>
          <w:tcPr>
            <w:tcW w:w="2520" w:type="dxa"/>
            <w:vAlign w:val="bottom"/>
            <w:tcBorders>
              <w:bottom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60" w:type="dxa"/>
            <w:vAlign w:val="bottom"/>
          </w:tcPr>
          <w:p>
            <w:pPr>
              <w:spacing w:after="0"/>
              <w:rPr>
                <w:sz w:val="15"/>
                <w:szCs w:val="15"/>
                <w:color w:val="auto"/>
              </w:rPr>
            </w:pPr>
          </w:p>
        </w:tc>
        <w:tc>
          <w:tcPr>
            <w:tcW w:w="9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Sold</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8"/>
              <w:spacing w:after="0" w:line="176" w:lineRule="exact"/>
              <w:rPr>
                <w:sz w:val="20"/>
                <w:szCs w:val="20"/>
                <w:color w:val="auto"/>
              </w:rPr>
            </w:pPr>
            <w:r>
              <w:rPr>
                <w:rFonts w:ascii="Times New Roman" w:cs="Times New Roman" w:eastAsia="Times New Roman" w:hAnsi="Times New Roman"/>
                <w:sz w:val="13"/>
                <w:szCs w:val="13"/>
                <w:b w:val="1"/>
                <w:bCs w:val="1"/>
                <w:color w:val="auto"/>
              </w:rPr>
              <w:t>Price</w:t>
            </w:r>
            <w:r>
              <w:rPr>
                <w:rFonts w:ascii="Times New Roman" w:cs="Times New Roman" w:eastAsia="Times New Roman" w:hAnsi="Times New Roman"/>
                <w:sz w:val="20"/>
                <w:szCs w:val="20"/>
                <w:b w:val="1"/>
                <w:bCs w:val="1"/>
                <w:color w:val="auto"/>
                <w:vertAlign w:val="superscript"/>
              </w:rPr>
              <w:t>(1)</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0" w:type="dxa"/>
            <w:vAlign w:val="bottom"/>
          </w:tcPr>
          <w:p>
            <w:pPr>
              <w:spacing w:after="0"/>
              <w:rPr>
                <w:sz w:val="1"/>
                <w:szCs w:val="1"/>
                <w:color w:val="auto"/>
              </w:rPr>
            </w:pPr>
          </w:p>
        </w:tc>
      </w:tr>
      <w:tr>
        <w:trPr>
          <w:trHeight w:val="191"/>
        </w:trPr>
        <w:tc>
          <w:tcPr>
            <w:tcW w:w="2520" w:type="dxa"/>
            <w:vAlign w:val="bottom"/>
            <w:gridSpan w:val="3"/>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Twitter Inc.</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April 15,</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2015</w:t>
            </w:r>
          </w:p>
        </w:tc>
        <w:tc>
          <w:tcPr>
            <w:tcW w:w="1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100,000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51.19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5,118,576</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3,432,729</w:t>
            </w:r>
          </w:p>
        </w:tc>
        <w:tc>
          <w:tcPr>
            <w:tcW w:w="0" w:type="dxa"/>
            <w:vAlign w:val="bottom"/>
          </w:tcPr>
          <w:p>
            <w:pPr>
              <w:spacing w:after="0"/>
              <w:rPr>
                <w:sz w:val="1"/>
                <w:szCs w:val="1"/>
                <w:color w:val="auto"/>
              </w:rPr>
            </w:pPr>
          </w:p>
        </w:tc>
      </w:tr>
      <w:tr>
        <w:trPr>
          <w:trHeight w:val="198"/>
        </w:trPr>
        <w:tc>
          <w:tcPr>
            <w:tcW w:w="252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Twitter Inc.</w:t>
            </w:r>
          </w:p>
        </w:tc>
        <w:tc>
          <w:tcPr>
            <w:tcW w:w="16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April 16,</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2015</w:t>
            </w:r>
          </w:p>
        </w:tc>
        <w:tc>
          <w:tcPr>
            <w:tcW w:w="10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52.09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5,208,674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3,456,759</w:t>
            </w:r>
          </w:p>
        </w:tc>
        <w:tc>
          <w:tcPr>
            <w:tcW w:w="0" w:type="dxa"/>
            <w:vAlign w:val="bottom"/>
          </w:tcPr>
          <w:p>
            <w:pPr>
              <w:spacing w:after="0"/>
              <w:rPr>
                <w:sz w:val="1"/>
                <w:szCs w:val="1"/>
                <w:color w:val="auto"/>
              </w:rPr>
            </w:pPr>
          </w:p>
        </w:tc>
      </w:tr>
      <w:tr>
        <w:trPr>
          <w:trHeight w:val="198"/>
        </w:trPr>
        <w:tc>
          <w:tcPr>
            <w:tcW w:w="2520" w:type="dxa"/>
            <w:vAlign w:val="bottom"/>
            <w:gridSpan w:val="3"/>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Twitter Inc.</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April 21,</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2015</w:t>
            </w:r>
          </w:p>
        </w:tc>
        <w:tc>
          <w:tcPr>
            <w:tcW w:w="1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51.59</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5,158,915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3,369,931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April 22,</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Twitter Inc.</w:t>
            </w:r>
          </w:p>
        </w:tc>
        <w:tc>
          <w:tcPr>
            <w:tcW w:w="12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2015</w:t>
            </w:r>
          </w:p>
        </w:tc>
        <w:tc>
          <w:tcPr>
            <w:tcW w:w="10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51.22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5,121,846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3,407,000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400,000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51.52</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20,608,011</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13,666,419</w:t>
            </w:r>
          </w:p>
        </w:tc>
        <w:tc>
          <w:tcPr>
            <w:tcW w:w="0" w:type="dxa"/>
            <w:vAlign w:val="bottom"/>
          </w:tcPr>
          <w:p>
            <w:pPr>
              <w:spacing w:after="0"/>
              <w:rPr>
                <w:sz w:val="1"/>
                <w:szCs w:val="1"/>
                <w:color w:val="auto"/>
              </w:rPr>
            </w:pP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bottom w:val="single" w:sz="8" w:color="auto"/>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9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-222250</wp:posOffset>
            </wp:positionV>
            <wp:extent cx="5213985" cy="342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The average net share price is the net share price realized after deducting all commissions and fees on the sale(s).</w:t>
      </w:r>
    </w:p>
    <w:p>
      <w:pPr>
        <w:spacing w:after="0" w:line="117" w:lineRule="exact"/>
        <w:rPr>
          <w:sz w:val="20"/>
          <w:szCs w:val="20"/>
          <w:color w:val="auto"/>
        </w:rPr>
      </w:pPr>
    </w:p>
    <w:p>
      <w:pPr>
        <w:jc w:val="both"/>
        <w:ind w:left="60" w:right="519" w:firstLine="270"/>
        <w:spacing w:after="0" w:line="255" w:lineRule="auto"/>
        <w:rPr>
          <w:sz w:val="20"/>
          <w:szCs w:val="20"/>
          <w:color w:val="auto"/>
        </w:rPr>
      </w:pPr>
      <w:r>
        <w:rPr>
          <w:rFonts w:ascii="Times New Roman" w:cs="Times New Roman" w:eastAsia="Times New Roman" w:hAnsi="Times New Roman"/>
          <w:sz w:val="18"/>
          <w:szCs w:val="18"/>
          <w:color w:val="auto"/>
        </w:rPr>
        <w:t>We are presently in the final stages of negotiations with respect to several private company investments that we anticipate entering into within the next 30 to 60 days, subject to satisfaction of applicable closing conditions. In the case of secondary market transactions, such closing conditions may include approval of the issuer, waiver or failure to exercise rights of first refusal by the issuer and/or its stockholders and termination rights by us or the seller. Equity investments made through the secondary market may involve making deposits in escrow accounts until the applicable closing conditions are satisfied, at which time the escrow accounts will close and such equity investments will be effectuated. From March 31, 2015 through May 11, 2015, we have not made any such escrow deposits.</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Line of Credit</w:t>
      </w:r>
    </w:p>
    <w:p>
      <w:pPr>
        <w:spacing w:after="0" w:line="121" w:lineRule="exact"/>
        <w:rPr>
          <w:sz w:val="20"/>
          <w:szCs w:val="20"/>
          <w:color w:val="auto"/>
        </w:rPr>
      </w:pPr>
    </w:p>
    <w:p>
      <w:pPr>
        <w:jc w:val="both"/>
        <w:ind w:left="60" w:right="519" w:firstLine="270"/>
        <w:spacing w:after="0" w:line="282" w:lineRule="auto"/>
        <w:rPr>
          <w:sz w:val="20"/>
          <w:szCs w:val="20"/>
          <w:color w:val="auto"/>
        </w:rPr>
      </w:pPr>
      <w:r>
        <w:rPr>
          <w:rFonts w:ascii="Times New Roman" w:cs="Times New Roman" w:eastAsia="Times New Roman" w:hAnsi="Times New Roman"/>
          <w:sz w:val="18"/>
          <w:szCs w:val="18"/>
          <w:color w:val="auto"/>
        </w:rPr>
        <w:t>As of May 11, 2015, we had no borrowings outstanding under the Credit Facility, and $18 million unused under the Credit Facility.</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left="60" w:right="519" w:firstLine="270"/>
        <w:spacing w:after="0" w:line="258" w:lineRule="auto"/>
        <w:rPr>
          <w:sz w:val="20"/>
          <w:szCs w:val="20"/>
          <w:color w:val="auto"/>
        </w:rPr>
      </w:pPr>
      <w:r>
        <w:rPr>
          <w:rFonts w:ascii="Times New Roman" w:cs="Times New Roman" w:eastAsia="Times New Roman" w:hAnsi="Times New Roman"/>
          <w:sz w:val="18"/>
          <w:szCs w:val="18"/>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our return on our portfolio investments, although any significant change in market interest rates could potentially have an indirect effect on the business, financial condition and results of operations of the portfolio companies in which we invest.</w:t>
      </w:r>
    </w:p>
    <w:p>
      <w:pPr>
        <w:spacing w:after="0" w:line="76" w:lineRule="exact"/>
        <w:rPr>
          <w:sz w:val="20"/>
          <w:szCs w:val="20"/>
          <w:color w:val="auto"/>
        </w:rPr>
      </w:pPr>
    </w:p>
    <w:p>
      <w:pPr>
        <w:jc w:val="both"/>
        <w:ind w:left="60" w:right="519" w:firstLine="270"/>
        <w:spacing w:after="0" w:line="261" w:lineRule="auto"/>
        <w:rPr>
          <w:sz w:val="20"/>
          <w:szCs w:val="20"/>
          <w:color w:val="auto"/>
        </w:rPr>
      </w:pPr>
      <w:r>
        <w:rPr>
          <w:rFonts w:ascii="Times New Roman" w:cs="Times New Roman" w:eastAsia="Times New Roman" w:hAnsi="Times New Roman"/>
          <w:sz w:val="18"/>
          <w:szCs w:val="18"/>
          <w:color w:val="auto"/>
        </w:rPr>
        <w:t>As of March 31, 2015, all of our debt investments bore a fixed rate of interest. As of March 31, 2015, all of our borrowings bear a fixed rate of interest with the exception of the Credit Facility which is indexed to the prime rate. We do not expect a significant impact on net investment income, due to changes in the prime rate, based on its historical stability. The table below, however, indicates the impact on our net investment income should the prime rate rise.</w:t>
      </w:r>
    </w:p>
    <w:p>
      <w:pPr>
        <w:spacing w:after="0" w:line="200" w:lineRule="exact"/>
        <w:rPr>
          <w:sz w:val="20"/>
          <w:szCs w:val="20"/>
          <w:color w:val="auto"/>
        </w:rPr>
      </w:pPr>
    </w:p>
    <w:p>
      <w:pPr>
        <w:spacing w:after="0" w:line="31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52" w:name="page53"/>
    <w:bookmarkEnd w:id="52"/>
    <w:p>
      <w:pPr>
        <w:ind w:left="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jc w:val="both"/>
        <w:ind w:left="60" w:right="519" w:firstLine="270"/>
        <w:spacing w:after="0" w:line="256" w:lineRule="auto"/>
        <w:rPr>
          <w:sz w:val="20"/>
          <w:szCs w:val="20"/>
          <w:color w:val="auto"/>
        </w:rPr>
      </w:pPr>
      <w:r>
        <w:rPr>
          <w:rFonts w:ascii="Times New Roman" w:cs="Times New Roman" w:eastAsia="Times New Roman" w:hAnsi="Times New Roman"/>
          <w:sz w:val="18"/>
          <w:szCs w:val="18"/>
          <w:color w:val="auto"/>
        </w:rPr>
        <w:t>At March 31, 2015 we borrowed $16.0 million under the Credit Facility, which allows us to borrow a maximum of $18.0 million. The amount we borrow under the Credit Facility will vary based on our business needs throughout the year. As such we are not able to forecast our utilization under the Credit Facility, and thus have assumed full utilization of the Credit Facility, in order to present the worst-case scenario that rising interest rates could have on our net income. The table below assumes we had fully drawn on the Credit Facility, during the quarter ended March 31, 2015, and shows the impact on quarterly net income of changes in interest rates (assuming no other changes in our investment and borrowing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19685</wp:posOffset>
            </wp:positionV>
            <wp:extent cx="47421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Basis Point Change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46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 300 Basis points</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495,000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(495,000)</w:t>
            </w: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 200 Basis points</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450,000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(450,000)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 100 Basis points</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405,000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(405,000)</w:t>
            </w:r>
          </w:p>
        </w:tc>
        <w:tc>
          <w:tcPr>
            <w:tcW w:w="0" w:type="dxa"/>
            <w:vAlign w:val="bottom"/>
          </w:tcPr>
          <w:p>
            <w:pPr>
              <w:spacing w:after="0"/>
              <w:rPr>
                <w:sz w:val="1"/>
                <w:szCs w:val="1"/>
                <w:color w:val="auto"/>
              </w:rPr>
            </w:pPr>
          </w:p>
        </w:tc>
      </w:tr>
      <w:tr>
        <w:trPr>
          <w:trHeight w:val="257"/>
        </w:trPr>
        <w:tc>
          <w:tcPr>
            <w:tcW w:w="46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Down 100 Basis points</w:t>
            </w:r>
            <w:r>
              <w:rPr>
                <w:rFonts w:ascii="Times New Roman" w:cs="Times New Roman" w:eastAsia="Times New Roman" w:hAnsi="Times New Roman"/>
                <w:sz w:val="29"/>
                <w:szCs w:val="29"/>
                <w:color w:val="auto"/>
                <w:vertAlign w:val="superscript"/>
              </w:rPr>
              <w:t>(1)</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68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Down 200 Basis points</w:t>
            </w:r>
            <w:r>
              <w:rPr>
                <w:rFonts w:ascii="Times New Roman" w:cs="Times New Roman" w:eastAsia="Times New Roman" w:hAnsi="Times New Roman"/>
                <w:sz w:val="29"/>
                <w:szCs w:val="29"/>
                <w:color w:val="auto"/>
                <w:vertAlign w:val="superscript"/>
              </w:rPr>
              <w:t>(1)</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Down 300 Basis points</w:t>
            </w:r>
            <w:r>
              <w:rPr>
                <w:rFonts w:ascii="Times New Roman" w:cs="Times New Roman" w:eastAsia="Times New Roman" w:hAnsi="Times New Roman"/>
                <w:sz w:val="30"/>
                <w:szCs w:val="30"/>
                <w:color w:val="auto"/>
                <w:vertAlign w:val="superscript"/>
              </w:rPr>
              <w:t>(1)</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83820</wp:posOffset>
            </wp:positionV>
            <wp:extent cx="6172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378" w:lineRule="exact"/>
        <w:rPr>
          <w:sz w:val="20"/>
          <w:szCs w:val="20"/>
          <w:color w:val="auto"/>
        </w:rPr>
      </w:pPr>
    </w:p>
    <w:p>
      <w:pPr>
        <w:jc w:val="both"/>
        <w:ind w:left="300" w:right="519" w:hanging="272"/>
        <w:spacing w:after="0" w:line="266" w:lineRule="auto"/>
        <w:tabs>
          <w:tab w:leader="none" w:pos="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Facility, bears interest at a per annum rate equal to the greater of (i) the prime rate plus 4.75% and (ii) 8.0%. As such the effective minimum interest rate we will incur on borrowings under the Credit Facility is 8%. As the prime rate was at 3.25% as of March 31, 2015, only increases in the prime rate will affect our net income.</w:t>
      </w:r>
    </w:p>
    <w:p>
      <w:pPr>
        <w:spacing w:after="0" w:line="1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jc w:val="both"/>
        <w:ind w:left="60" w:right="519" w:firstLine="270"/>
        <w:spacing w:after="0" w:line="254" w:lineRule="auto"/>
        <w:rPr>
          <w:sz w:val="20"/>
          <w:szCs w:val="20"/>
          <w:color w:val="auto"/>
        </w:rPr>
      </w:pPr>
      <w:r>
        <w:rPr>
          <w:rFonts w:ascii="Times New Roman" w:cs="Times New Roman" w:eastAsia="Times New Roman" w:hAnsi="Times New Roman"/>
          <w:sz w:val="18"/>
          <w:szCs w:val="18"/>
          <w:color w:val="auto"/>
        </w:rPr>
        <w:t>As of March 31, 2015, we, including our Chief Executive Officer and Chief Financial Officer, evaluated the effectiveness of the design and operation of our disclosure controls and procedures (as defined in Rule 13a-15(e) and 15d-15(e) under the Securities Exchange Act of 1934, as amended).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78" w:lineRule="exact"/>
        <w:rPr>
          <w:sz w:val="20"/>
          <w:szCs w:val="20"/>
          <w:color w:val="auto"/>
        </w:rPr>
      </w:pPr>
    </w:p>
    <w:p>
      <w:pPr>
        <w:jc w:val="both"/>
        <w:ind w:left="60" w:right="519" w:firstLine="270"/>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13a-15(f) and 15d-15(f) under the Securities Exchange Act of 1934, as amended) that occurred during the quarter ended March 31, 2015 that have materially affected, or are reasonably likely to materially affect, our internal control over financial reporting.</w:t>
      </w:r>
    </w:p>
    <w:p>
      <w:pPr>
        <w:spacing w:after="0" w:line="200" w:lineRule="exact"/>
        <w:rPr>
          <w:sz w:val="20"/>
          <w:szCs w:val="20"/>
          <w:color w:val="auto"/>
        </w:rPr>
      </w:pPr>
    </w:p>
    <w:p>
      <w:pPr>
        <w:spacing w:after="0" w:line="3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53" w:name="page54"/>
    <w:bookmarkEnd w:id="5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left="40" w:right="580" w:firstLine="270"/>
        <w:spacing w:after="0" w:line="258" w:lineRule="auto"/>
        <w:rPr>
          <w:sz w:val="20"/>
          <w:szCs w:val="20"/>
          <w:color w:val="auto"/>
        </w:rPr>
      </w:pPr>
      <w:r>
        <w:rPr>
          <w:rFonts w:ascii="Times New Roman" w:cs="Times New Roman" w:eastAsia="Times New Roman" w:hAnsi="Times New Roman"/>
          <w:sz w:val="18"/>
          <w:szCs w:val="18"/>
          <w:color w:val="auto"/>
        </w:rPr>
        <w:t>We are not currently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business, financial condition or results of operations.</w:t>
      </w:r>
    </w:p>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left="40" w:right="580" w:firstLine="270"/>
        <w:spacing w:after="0" w:line="255"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Item 1A. Risk Factors in our Annual Report on Form 10-K for the fiscal year ended December 31, 2014, which could materially affect our business, financial condition and/or operating results. The risks described in our Annual Report on Form 10-K are not the only risks facing our company. Additional risks and uncertainties not currently known to us or that we currently deem to be immaterial also may materially and adversely affect our business, financial condition and/or operating results. There have been no material changes during the three months ended March 31, 2015 to the risk factors discussed in Item 1A. Risk Factors in our Annual Report on Form 10-K for the year ended December 31, 2014.</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exhibits are filed as part of this report or hereby incorporated by reference to exhibits previously filed with the</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510286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02860" cy="8890"/>
                    </a:xfrm>
                    <a:prstGeom prst="rect">
                      <a:avLst/>
                    </a:prstGeom>
                    <a:noFill/>
                  </pic:spPr>
                </pic:pic>
              </a:graphicData>
            </a:graphic>
          </wp:anchor>
        </w:drawing>
      </w:r>
    </w:p>
    <w:p>
      <w:pPr>
        <w:spacing w:after="0" w:line="44" w:lineRule="exact"/>
        <w:rPr>
          <w:sz w:val="20"/>
          <w:szCs w:val="20"/>
          <w:color w:val="auto"/>
        </w:rPr>
      </w:pPr>
    </w:p>
    <w:tbl>
      <w:tblPr>
        <w:tblLayout w:type="fixed"/>
        <w:tblInd w:w="60" w:type="dxa"/>
        <w:tblCellMar>
          <w:top w:w="0" w:type="dxa"/>
          <w:left w:w="0" w:type="dxa"/>
          <w:bottom w:w="0" w:type="dxa"/>
          <w:right w:w="0" w:type="dxa"/>
        </w:tblCellMar>
      </w:tblPr>
      <w:tr>
        <w:trPr>
          <w:trHeight w:val="345"/>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Articles of Amendment and Restatement</w:t>
            </w:r>
            <w:r>
              <w:rPr>
                <w:rFonts w:ascii="Times New Roman" w:cs="Times New Roman" w:eastAsia="Times New Roman" w:hAnsi="Times New Roman"/>
                <w:sz w:val="30"/>
                <w:szCs w:val="30"/>
                <w:color w:val="auto"/>
                <w:vertAlign w:val="superscript"/>
              </w:rPr>
              <w:t>(1)</w:t>
            </w:r>
          </w:p>
        </w:tc>
        <w:tc>
          <w:tcPr>
            <w:tcW w:w="0" w:type="dxa"/>
            <w:vAlign w:val="bottom"/>
          </w:tcPr>
          <w:p>
            <w:pPr>
              <w:spacing w:after="0"/>
              <w:rPr>
                <w:sz w:val="1"/>
                <w:szCs w:val="1"/>
                <w:color w:val="auto"/>
              </w:rPr>
            </w:pPr>
          </w:p>
        </w:tc>
      </w:tr>
      <w:tr>
        <w:trPr>
          <w:trHeight w:val="257"/>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9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Articles of Amendment</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9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Bylaws</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57"/>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9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Form of Common Stock Certificate</w:t>
            </w:r>
            <w:r>
              <w:rPr>
                <w:rFonts w:ascii="Times New Roman" w:cs="Times New Roman" w:eastAsia="Times New Roman" w:hAnsi="Times New Roman"/>
                <w:sz w:val="29"/>
                <w:szCs w:val="29"/>
                <w:color w:val="auto"/>
                <w:vertAlign w:val="superscript"/>
              </w:rPr>
              <w:t>(6)</w:t>
            </w:r>
          </w:p>
        </w:tc>
        <w:tc>
          <w:tcPr>
            <w:tcW w:w="0" w:type="dxa"/>
            <w:vAlign w:val="bottom"/>
          </w:tcPr>
          <w:p>
            <w:pPr>
              <w:spacing w:after="0"/>
              <w:rPr>
                <w:sz w:val="1"/>
                <w:szCs w:val="1"/>
                <w:color w:val="auto"/>
              </w:rPr>
            </w:pPr>
          </w:p>
        </w:tc>
      </w:tr>
      <w:tr>
        <w:trPr>
          <w:trHeight w:val="220"/>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Indenture, dated September 17, 2013, relating to the 5.25% Convertible Senior Notes due 2018, by and between the Company and the</w:t>
            </w:r>
          </w:p>
        </w:tc>
        <w:tc>
          <w:tcPr>
            <w:tcW w:w="0" w:type="dxa"/>
            <w:vAlign w:val="bottom"/>
          </w:tcPr>
          <w:p>
            <w:pPr>
              <w:spacing w:after="0"/>
              <w:rPr>
                <w:sz w:val="1"/>
                <w:szCs w:val="1"/>
                <w:color w:val="auto"/>
              </w:rPr>
            </w:pPr>
          </w:p>
        </w:tc>
      </w:tr>
      <w:tr>
        <w:trPr>
          <w:trHeight w:val="257"/>
        </w:trPr>
        <w:tc>
          <w:tcPr>
            <w:tcW w:w="4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10.1</w:t>
            </w:r>
          </w:p>
        </w:tc>
        <w:tc>
          <w:tcPr>
            <w:tcW w:w="9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U.S. Bank National Association, as trustee</w:t>
            </w:r>
            <w:r>
              <w:rPr>
                <w:rFonts w:ascii="Times New Roman" w:cs="Times New Roman" w:eastAsia="Times New Roman" w:hAnsi="Times New Roman"/>
                <w:sz w:val="29"/>
                <w:szCs w:val="29"/>
                <w:color w:val="auto"/>
                <w:vertAlign w:val="superscript"/>
              </w:rPr>
              <w:t>(4)</w:t>
            </w:r>
          </w:p>
        </w:tc>
        <w:tc>
          <w:tcPr>
            <w:tcW w:w="0" w:type="dxa"/>
            <w:vAlign w:val="bottom"/>
          </w:tcPr>
          <w:p>
            <w:pPr>
              <w:spacing w:after="0"/>
              <w:rPr>
                <w:sz w:val="1"/>
                <w:szCs w:val="1"/>
                <w:color w:val="auto"/>
              </w:rPr>
            </w:pPr>
          </w:p>
        </w:tc>
      </w:tr>
      <w:tr>
        <w:trPr>
          <w:trHeight w:val="253"/>
        </w:trPr>
        <w:tc>
          <w:tcPr>
            <w:tcW w:w="440" w:type="dxa"/>
            <w:vAlign w:val="bottom"/>
            <w:vMerge w:val="continue"/>
          </w:tcPr>
          <w:p>
            <w:pPr>
              <w:spacing w:after="0"/>
              <w:rPr>
                <w:sz w:val="21"/>
                <w:szCs w:val="21"/>
                <w:color w:val="auto"/>
              </w:rPr>
            </w:pPr>
          </w:p>
        </w:tc>
        <w:tc>
          <w:tcPr>
            <w:tcW w:w="9640" w:type="dxa"/>
            <w:vAlign w:val="bottom"/>
            <w:gridSpan w:val="2"/>
          </w:tcPr>
          <w:p>
            <w:pPr>
              <w:spacing w:after="0" w:line="253" w:lineRule="exact"/>
              <w:rPr>
                <w:sz w:val="20"/>
                <w:szCs w:val="20"/>
                <w:color w:val="auto"/>
              </w:rPr>
            </w:pPr>
            <w:r>
              <w:rPr>
                <w:rFonts w:ascii="Times New Roman" w:cs="Times New Roman" w:eastAsia="Times New Roman" w:hAnsi="Times New Roman"/>
                <w:sz w:val="18"/>
                <w:szCs w:val="18"/>
                <w:color w:val="auto"/>
              </w:rPr>
              <w:t>Dividend Reinvestment Plan</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57"/>
        </w:trPr>
        <w:tc>
          <w:tcPr>
            <w:tcW w:w="4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10.2</w:t>
            </w:r>
          </w:p>
        </w:tc>
        <w:tc>
          <w:tcPr>
            <w:tcW w:w="9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Amended and Restated Investment Advisory Agreement by and between the Company and GSV Asset Management, LLC</w:t>
            </w:r>
            <w:r>
              <w:rPr>
                <w:rFonts w:ascii="Times New Roman" w:cs="Times New Roman" w:eastAsia="Times New Roman" w:hAnsi="Times New Roman"/>
                <w:sz w:val="29"/>
                <w:szCs w:val="29"/>
                <w:color w:val="auto"/>
                <w:vertAlign w:val="superscript"/>
              </w:rPr>
              <w:t>(3)</w:t>
            </w:r>
          </w:p>
        </w:tc>
        <w:tc>
          <w:tcPr>
            <w:tcW w:w="0" w:type="dxa"/>
            <w:vAlign w:val="bottom"/>
          </w:tcPr>
          <w:p>
            <w:pPr>
              <w:spacing w:after="0"/>
              <w:rPr>
                <w:sz w:val="1"/>
                <w:szCs w:val="1"/>
                <w:color w:val="auto"/>
              </w:rPr>
            </w:pPr>
          </w:p>
        </w:tc>
      </w:tr>
      <w:tr>
        <w:trPr>
          <w:trHeight w:val="257"/>
        </w:trPr>
        <w:tc>
          <w:tcPr>
            <w:tcW w:w="4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10.3</w:t>
            </w:r>
          </w:p>
        </w:tc>
        <w:tc>
          <w:tcPr>
            <w:tcW w:w="9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Amended and Restated Administration Agreement by and between the Company and GSV Capital Service Company, LLC</w:t>
            </w:r>
            <w:r>
              <w:rPr>
                <w:rFonts w:ascii="Times New Roman" w:cs="Times New Roman" w:eastAsia="Times New Roman" w:hAnsi="Times New Roman"/>
                <w:sz w:val="29"/>
                <w:szCs w:val="29"/>
                <w:color w:val="auto"/>
                <w:vertAlign w:val="superscript"/>
              </w:rPr>
              <w:t>(3)</w:t>
            </w:r>
          </w:p>
        </w:tc>
        <w:tc>
          <w:tcPr>
            <w:tcW w:w="0" w:type="dxa"/>
            <w:vAlign w:val="bottom"/>
          </w:tcPr>
          <w:p>
            <w:pPr>
              <w:spacing w:after="0"/>
              <w:rPr>
                <w:sz w:val="1"/>
                <w:szCs w:val="1"/>
                <w:color w:val="auto"/>
              </w:rPr>
            </w:pPr>
          </w:p>
        </w:tc>
      </w:tr>
      <w:tr>
        <w:trPr>
          <w:trHeight w:val="257"/>
        </w:trPr>
        <w:tc>
          <w:tcPr>
            <w:tcW w:w="4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10.4</w:t>
            </w:r>
          </w:p>
        </w:tc>
        <w:tc>
          <w:tcPr>
            <w:tcW w:w="9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Form of Indemnification Agreement by and between the Company and each of its directors</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57"/>
        </w:trPr>
        <w:tc>
          <w:tcPr>
            <w:tcW w:w="4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10.5</w:t>
            </w:r>
          </w:p>
        </w:tc>
        <w:tc>
          <w:tcPr>
            <w:tcW w:w="9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Custody Agreement by and between the Company and U.S. Bank National Association</w:t>
            </w:r>
            <w:r>
              <w:rPr>
                <w:rFonts w:ascii="Times New Roman" w:cs="Times New Roman" w:eastAsia="Times New Roman" w:hAnsi="Times New Roman"/>
                <w:sz w:val="29"/>
                <w:szCs w:val="29"/>
                <w:color w:val="auto"/>
                <w:vertAlign w:val="superscript"/>
              </w:rPr>
              <w:t>(7)</w:t>
            </w:r>
          </w:p>
        </w:tc>
        <w:tc>
          <w:tcPr>
            <w:tcW w:w="0" w:type="dxa"/>
            <w:vAlign w:val="bottom"/>
          </w:tcPr>
          <w:p>
            <w:pPr>
              <w:spacing w:after="0"/>
              <w:rPr>
                <w:sz w:val="1"/>
                <w:szCs w:val="1"/>
                <w:color w:val="auto"/>
              </w:rPr>
            </w:pPr>
          </w:p>
        </w:tc>
      </w:tr>
      <w:tr>
        <w:trPr>
          <w:trHeight w:val="398"/>
        </w:trPr>
        <w:tc>
          <w:tcPr>
            <w:tcW w:w="4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10.6</w:t>
            </w:r>
          </w:p>
        </w:tc>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Trademark License Agreement by and between the Company and GSV Asset Management, LLC</w:t>
            </w:r>
            <w:r>
              <w:rPr>
                <w:rFonts w:ascii="Times New Roman" w:cs="Times New Roman" w:eastAsia="Times New Roman" w:hAnsi="Times New Roman"/>
                <w:sz w:val="30"/>
                <w:szCs w:val="30"/>
                <w:color w:val="auto"/>
                <w:vertAlign w:val="superscript"/>
              </w:rPr>
              <w:t>(2)</w:t>
            </w:r>
          </w:p>
        </w:tc>
        <w:tc>
          <w:tcPr>
            <w:tcW w:w="0" w:type="dxa"/>
            <w:vAlign w:val="bottom"/>
          </w:tcPr>
          <w:p>
            <w:pPr>
              <w:spacing w:after="0"/>
              <w:rPr>
                <w:sz w:val="1"/>
                <w:szCs w:val="1"/>
                <w:color w:val="auto"/>
              </w:rPr>
            </w:pPr>
          </w:p>
        </w:tc>
      </w:tr>
      <w:tr>
        <w:trPr>
          <w:trHeight w:val="309"/>
        </w:trPr>
        <w:tc>
          <w:tcPr>
            <w:tcW w:w="440" w:type="dxa"/>
            <w:vAlign w:val="bottom"/>
          </w:tcPr>
          <w:p>
            <w:pPr>
              <w:spacing w:after="0"/>
              <w:rPr>
                <w:sz w:val="24"/>
                <w:szCs w:val="24"/>
                <w:color w:val="auto"/>
              </w:rPr>
            </w:pPr>
          </w:p>
        </w:tc>
        <w:tc>
          <w:tcPr>
            <w:tcW w:w="9600" w:type="dxa"/>
            <w:vAlign w:val="bottom"/>
          </w:tcPr>
          <w:p>
            <w:pPr>
              <w:ind w:left="4700"/>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960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9600" w:type="dxa"/>
            <w:vAlign w:val="bottom"/>
            <w:tcBorders>
              <w:bottom w:val="single" w:sz="8" w:color="EEEE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6386830</wp:posOffset>
            </wp:positionH>
            <wp:positionV relativeFrom="paragraph">
              <wp:posOffset>-46355</wp:posOffset>
            </wp:positionV>
            <wp:extent cx="34290" cy="596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-46355</wp:posOffset>
            </wp:positionV>
            <wp:extent cx="34290" cy="596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140"/>
          </w:cols>
          <w:pgMar w:left="380" w:top="790" w:right="1379" w:bottom="1440" w:gutter="0" w:footer="0" w:header="0"/>
        </w:sectPr>
      </w:pPr>
    </w:p>
    <w:bookmarkStart w:id="54" w:name="page55"/>
    <w:bookmarkEnd w:id="54"/>
    <w:p>
      <w:pPr>
        <w:ind w:left="64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36"/>
          <w:szCs w:val="36"/>
          <w:color w:val="auto"/>
          <w:vertAlign w:val="superscript"/>
        </w:rPr>
        <w:t>10.7</w:t>
      </w:r>
      <w:r>
        <w:rPr>
          <w:rFonts w:ascii="Times New Roman" w:cs="Times New Roman" w:eastAsia="Times New Roman" w:hAnsi="Times New Roman"/>
          <w:sz w:val="18"/>
          <w:szCs w:val="18"/>
          <w:color w:val="auto"/>
        </w:rPr>
        <w:t xml:space="preserve">  Loan and Security Agreement between the Company and Silicon Valley Bank, dated as of December 31, 2013</w:t>
      </w:r>
      <w:r>
        <w:rPr>
          <w:rFonts w:ascii="Times New Roman" w:cs="Times New Roman" w:eastAsia="Times New Roman" w:hAnsi="Times New Roman"/>
          <w:sz w:val="30"/>
          <w:szCs w:val="30"/>
          <w:color w:val="auto"/>
          <w:vertAlign w:val="superscript"/>
        </w:rPr>
        <w:t>(5)</w:t>
      </w:r>
    </w:p>
    <w:p>
      <w:pPr>
        <w:ind w:left="60"/>
        <w:spacing w:after="0"/>
        <w:rPr>
          <w:sz w:val="20"/>
          <w:szCs w:val="20"/>
          <w:color w:val="auto"/>
        </w:rPr>
      </w:pPr>
      <w:r>
        <w:rPr>
          <w:rFonts w:ascii="Times New Roman" w:cs="Times New Roman" w:eastAsia="Times New Roman" w:hAnsi="Times New Roman"/>
          <w:sz w:val="18"/>
          <w:szCs w:val="18"/>
          <w:color w:val="auto"/>
        </w:rPr>
        <w:t>11.1  Computation of Per Share Earnings (Included in Note 5 to the condensed consolidated financial statements contained in this report)</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31.1  Certification of Chief Executive Officer pursuant to Rule 13a-14 of the Securities Exchange Act of 1934, as amended*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31.2  Certification of Chief Financial Officer pursuant to Rule 13a-14 of the Securities Exchange Act of 1934, as amended*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32.1  Certification of Chief Executive Officer pursuant to Section 906 of The Sarbanes-Oxley Act of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32.2  Certification of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177165</wp:posOffset>
            </wp:positionV>
            <wp:extent cx="6172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280" w:right="519" w:hanging="272"/>
        <w:spacing w:after="0" w:line="282" w:lineRule="auto"/>
        <w:tabs>
          <w:tab w:leader="none" w:pos="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Pre-Effective Amendment No. 2 to the Registrant’s Registration Statement on Form N-2 (File No. 333-171578) filed on March 30, 2011, and incorporated by reference herein.</w:t>
      </w:r>
    </w:p>
    <w:p>
      <w:pPr>
        <w:spacing w:after="0" w:line="53" w:lineRule="exact"/>
        <w:rPr>
          <w:rFonts w:ascii="Times New Roman" w:cs="Times New Roman" w:eastAsia="Times New Roman" w:hAnsi="Times New Roman"/>
          <w:sz w:val="18"/>
          <w:szCs w:val="18"/>
          <w:color w:val="auto"/>
        </w:rPr>
      </w:pPr>
    </w:p>
    <w:p>
      <w:pPr>
        <w:ind w:left="280" w:right="539" w:hanging="272"/>
        <w:spacing w:after="0" w:line="282" w:lineRule="auto"/>
        <w:tabs>
          <w:tab w:leader="none" w:pos="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Current Report on Form 8-K (File No. 814-00852) filed on June 1, 2011, and incorporated by reference herein.</w:t>
      </w:r>
    </w:p>
    <w:p>
      <w:pPr>
        <w:spacing w:after="0" w:line="53" w:lineRule="exact"/>
        <w:rPr>
          <w:rFonts w:ascii="Times New Roman" w:cs="Times New Roman" w:eastAsia="Times New Roman" w:hAnsi="Times New Roman"/>
          <w:sz w:val="18"/>
          <w:szCs w:val="18"/>
          <w:color w:val="auto"/>
        </w:rPr>
      </w:pPr>
    </w:p>
    <w:p>
      <w:pPr>
        <w:ind w:left="280" w:right="539" w:hanging="272"/>
        <w:spacing w:after="0" w:line="282" w:lineRule="auto"/>
        <w:tabs>
          <w:tab w:leader="none" w:pos="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Annual Report on Form 10-K (File No. 814-00852) filed on March 14, 2013, and incorporated by reference herein.</w:t>
      </w:r>
    </w:p>
    <w:p>
      <w:pPr>
        <w:spacing w:after="0" w:line="53" w:lineRule="exact"/>
        <w:rPr>
          <w:rFonts w:ascii="Times New Roman" w:cs="Times New Roman" w:eastAsia="Times New Roman" w:hAnsi="Times New Roman"/>
          <w:sz w:val="18"/>
          <w:szCs w:val="18"/>
          <w:color w:val="auto"/>
        </w:rPr>
      </w:pPr>
    </w:p>
    <w:p>
      <w:pPr>
        <w:ind w:left="280" w:right="539" w:hanging="272"/>
        <w:spacing w:after="0" w:line="282" w:lineRule="auto"/>
        <w:tabs>
          <w:tab w:leader="none" w:pos="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September 18, 2013, and incorporated by reference herein.</w:t>
      </w:r>
    </w:p>
    <w:p>
      <w:pPr>
        <w:spacing w:after="0" w:line="53" w:lineRule="exact"/>
        <w:rPr>
          <w:rFonts w:ascii="Times New Roman" w:cs="Times New Roman" w:eastAsia="Times New Roman" w:hAnsi="Times New Roman"/>
          <w:sz w:val="18"/>
          <w:szCs w:val="18"/>
          <w:color w:val="auto"/>
        </w:rPr>
      </w:pPr>
    </w:p>
    <w:p>
      <w:pPr>
        <w:ind w:left="280" w:right="539" w:hanging="272"/>
        <w:spacing w:after="0" w:line="282" w:lineRule="auto"/>
        <w:tabs>
          <w:tab w:leader="none" w:pos="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Current Report on Form 8-K (File No. 814-00852) filed on January 7, 2014, and incorporated by reference herein.</w:t>
      </w:r>
    </w:p>
    <w:p>
      <w:pPr>
        <w:spacing w:after="0" w:line="53" w:lineRule="exact"/>
        <w:rPr>
          <w:rFonts w:ascii="Times New Roman" w:cs="Times New Roman" w:eastAsia="Times New Roman" w:hAnsi="Times New Roman"/>
          <w:sz w:val="18"/>
          <w:szCs w:val="18"/>
          <w:color w:val="auto"/>
        </w:rPr>
      </w:pPr>
    </w:p>
    <w:p>
      <w:pPr>
        <w:ind w:left="280" w:right="519" w:hanging="272"/>
        <w:spacing w:after="0" w:line="282" w:lineRule="auto"/>
        <w:tabs>
          <w:tab w:leader="none" w:pos="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Pre-Effective Amendment No. 3 to the Registrant’s Registration Statement on Form N-2 (File No. 333-175655) filed on September 20, 2011, and incorporated by reference herein.</w:t>
      </w:r>
    </w:p>
    <w:p>
      <w:pPr>
        <w:spacing w:after="0" w:line="53" w:lineRule="exact"/>
        <w:rPr>
          <w:rFonts w:ascii="Times New Roman" w:cs="Times New Roman" w:eastAsia="Times New Roman" w:hAnsi="Times New Roman"/>
          <w:sz w:val="18"/>
          <w:szCs w:val="18"/>
          <w:color w:val="auto"/>
        </w:rPr>
      </w:pPr>
    </w:p>
    <w:p>
      <w:pPr>
        <w:ind w:left="280" w:right="519" w:hanging="272"/>
        <w:spacing w:after="0" w:line="282" w:lineRule="auto"/>
        <w:tabs>
          <w:tab w:leader="none" w:pos="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Pre-Effective Amendment No. 3 to the Registrant’s Registration Statement on Form N-2 (File No. 333-171578), filed on April 15, 2011, and incorporated by reference herein.</w:t>
      </w:r>
    </w:p>
    <w:p>
      <w:pPr>
        <w:spacing w:after="0" w:line="5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107950</wp:posOffset>
            </wp:positionV>
            <wp:extent cx="6114415" cy="596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63" w:right="1440" w:bottom="1440" w:gutter="0" w:footer="0" w:header="0"/>
        </w:sectPr>
      </w:pPr>
    </w:p>
    <w:bookmarkStart w:id="55" w:name="page56"/>
    <w:bookmarkEnd w:id="55"/>
    <w:p>
      <w:pPr>
        <w:ind w:left="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Schedule 12-14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Schedule of Investments in and Advances to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21398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Amount of</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Interest, Fees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or Dividends</w:t>
            </w:r>
          </w:p>
        </w:tc>
        <w:tc>
          <w:tcPr>
            <w:tcW w:w="8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Fair Value at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Realized and</w:t>
            </w:r>
          </w:p>
        </w:tc>
        <w:tc>
          <w:tcPr>
            <w:tcW w:w="80" w:type="dxa"/>
            <w:vAlign w:val="bottom"/>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Fair Value at</w:t>
            </w: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Credited in</w:t>
            </w:r>
          </w:p>
        </w:tc>
        <w:tc>
          <w:tcPr>
            <w:tcW w:w="8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March 31,</w:t>
            </w:r>
          </w:p>
        </w:tc>
      </w:tr>
      <w:tr>
        <w:trPr>
          <w:trHeight w:val="165"/>
        </w:trPr>
        <w:tc>
          <w:tcPr>
            <w:tcW w:w="2900" w:type="dxa"/>
            <w:vAlign w:val="bottom"/>
            <w:gridSpan w:val="13"/>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Company/Type of Investment*</w:t>
            </w:r>
          </w:p>
        </w:tc>
        <w:tc>
          <w:tcPr>
            <w:tcW w:w="10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8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Gains/Losses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2015</w:t>
            </w:r>
          </w:p>
        </w:tc>
        <w:tc>
          <w:tcPr>
            <w:tcW w:w="60" w:type="dxa"/>
            <w:vAlign w:val="bottom"/>
          </w:tcPr>
          <w:p>
            <w:pPr>
              <w:spacing w:after="0"/>
              <w:rPr>
                <w:sz w:val="14"/>
                <w:szCs w:val="14"/>
                <w:color w:val="auto"/>
              </w:rPr>
            </w:pPr>
          </w:p>
        </w:tc>
      </w:tr>
      <w:tr>
        <w:trPr>
          <w:trHeight w:val="156"/>
        </w:trPr>
        <w:tc>
          <w:tcPr>
            <w:tcW w:w="2900" w:type="dxa"/>
            <w:vAlign w:val="bottom"/>
            <w:tcBorders>
              <w:top w:val="single" w:sz="8" w:color="auto"/>
              <w:right w:val="single" w:sz="8" w:color="CCEEFF"/>
            </w:tcBorders>
            <w:gridSpan w:val="13"/>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Control Investments</w:t>
            </w:r>
          </w:p>
        </w:tc>
        <w:tc>
          <w:tcPr>
            <w:tcW w:w="1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2900" w:type="dxa"/>
            <w:vAlign w:val="bottom"/>
            <w:gridSpan w:val="1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AlwaysOn, Inc.</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2900" w:type="dxa"/>
            <w:vAlign w:val="bottom"/>
            <w:tcBorders>
              <w:right w:val="single" w:sz="8" w:color="CCEEFF"/>
            </w:tcBorders>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629,309</w:t>
            </w:r>
          </w:p>
        </w:tc>
        <w:tc>
          <w:tcPr>
            <w:tcW w:w="2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(74,663)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554,646</w:t>
            </w:r>
          </w:p>
        </w:tc>
      </w:tr>
      <w:tr>
        <w:trPr>
          <w:trHeight w:val="203"/>
        </w:trPr>
        <w:tc>
          <w:tcPr>
            <w:tcW w:w="290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Preferred shares, Series A-1</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491,252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(44,979)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446,593</w:t>
            </w:r>
          </w:p>
        </w:tc>
      </w:tr>
      <w:tr>
        <w:trPr>
          <w:trHeight w:val="189"/>
        </w:trPr>
        <w:tc>
          <w:tcPr>
            <w:tcW w:w="2900" w:type="dxa"/>
            <w:vAlign w:val="bottom"/>
            <w:tcBorders>
              <w:right w:val="single" w:sz="8" w:color="CCEEFF"/>
            </w:tcBorders>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warrants Series A, $1.00 strike</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6"/>
        </w:trPr>
        <w:tc>
          <w:tcPr>
            <w:tcW w:w="20" w:type="dxa"/>
            <w:vAlign w:val="bottom"/>
            <w:shd w:val="clear" w:color="auto" w:fill="CCEEFF"/>
          </w:tcPr>
          <w:p>
            <w:pPr>
              <w:spacing w:after="0"/>
              <w:rPr>
                <w:sz w:val="18"/>
                <w:szCs w:val="18"/>
                <w:color w:val="auto"/>
              </w:rPr>
            </w:pPr>
          </w:p>
        </w:tc>
        <w:tc>
          <w:tcPr>
            <w:tcW w:w="2880" w:type="dxa"/>
            <w:vAlign w:val="bottom"/>
            <w:tcBorders>
              <w:right w:val="single" w:sz="8" w:color="CCEEFF"/>
            </w:tcBorders>
            <w:gridSpan w:val="1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price, expire 1/9/2017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3,281</w:t>
            </w:r>
          </w:p>
        </w:tc>
      </w:tr>
      <w:tr>
        <w:trPr>
          <w:trHeight w:val="203"/>
        </w:trPr>
        <w:tc>
          <w:tcPr>
            <w:tcW w:w="2900" w:type="dxa"/>
            <w:vAlign w:val="bottom"/>
            <w:gridSpan w:val="13"/>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StormWind, LLC</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2900" w:type="dxa"/>
            <w:vAlign w:val="bottom"/>
            <w:tcBorders>
              <w:right w:val="single" w:sz="8" w:color="CCEEFF"/>
            </w:tcBorders>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C</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4,338,830</w:t>
            </w: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23,077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4,361,907</w:t>
            </w:r>
          </w:p>
        </w:tc>
      </w:tr>
      <w:tr>
        <w:trPr>
          <w:trHeight w:val="203"/>
        </w:trPr>
        <w:tc>
          <w:tcPr>
            <w:tcW w:w="290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4,347,608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4,331,940</w:t>
            </w:r>
          </w:p>
        </w:tc>
      </w:tr>
      <w:tr>
        <w:trPr>
          <w:trHeight w:val="203"/>
        </w:trPr>
        <w:tc>
          <w:tcPr>
            <w:tcW w:w="2900" w:type="dxa"/>
            <w:vAlign w:val="bottom"/>
            <w:tcBorders>
              <w:right w:val="single" w:sz="8" w:color="CCEEFF"/>
            </w:tcBorders>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391,592</w:t>
            </w: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94,240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485,832</w:t>
            </w:r>
          </w:p>
        </w:tc>
      </w:tr>
      <w:tr>
        <w:trPr>
          <w:trHeight w:val="162"/>
        </w:trPr>
        <w:tc>
          <w:tcPr>
            <w:tcW w:w="2900" w:type="dxa"/>
            <w:vAlign w:val="bottom"/>
            <w:gridSpan w:val="1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NestGSV, Inc. (d/b/a GSV Labs, Inc.)</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2900" w:type="dxa"/>
            <w:vAlign w:val="bottom"/>
            <w:tcBorders>
              <w:right w:val="single" w:sz="8" w:color="CCEEFF"/>
            </w:tcBorders>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D</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1,460,557</w:t>
            </w: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1,000,000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2,460,560</w:t>
            </w:r>
          </w:p>
        </w:tc>
      </w:tr>
      <w:tr>
        <w:trPr>
          <w:trHeight w:val="203"/>
        </w:trPr>
        <w:tc>
          <w:tcPr>
            <w:tcW w:w="290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Preferred shares, Series C</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1,503,832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(240,436)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1,264,916</w:t>
            </w:r>
          </w:p>
        </w:tc>
      </w:tr>
      <w:tr>
        <w:trPr>
          <w:trHeight w:val="203"/>
        </w:trPr>
        <w:tc>
          <w:tcPr>
            <w:tcW w:w="2900" w:type="dxa"/>
            <w:vAlign w:val="bottom"/>
            <w:tcBorders>
              <w:right w:val="single" w:sz="8" w:color="CCEEFF"/>
            </w:tcBorders>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440,000</w:t>
            </w: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70,000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510,000</w:t>
            </w:r>
          </w:p>
        </w:tc>
      </w:tr>
      <w:tr>
        <w:trPr>
          <w:trHeight w:val="203"/>
        </w:trPr>
        <w:tc>
          <w:tcPr>
            <w:tcW w:w="290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265,980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(36,480)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229,500</w:t>
            </w:r>
          </w:p>
        </w:tc>
      </w:tr>
      <w:tr>
        <w:trPr>
          <w:trHeight w:val="189"/>
        </w:trPr>
        <w:tc>
          <w:tcPr>
            <w:tcW w:w="2900" w:type="dxa"/>
            <w:vAlign w:val="bottom"/>
            <w:tcBorders>
              <w:right w:val="single" w:sz="8" w:color="CCEEFF"/>
            </w:tcBorders>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Warrant Series D – $1.33 Strike</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6"/>
        </w:trPr>
        <w:tc>
          <w:tcPr>
            <w:tcW w:w="20" w:type="dxa"/>
            <w:vAlign w:val="bottom"/>
            <w:shd w:val="clear" w:color="auto" w:fill="CCEEFF"/>
          </w:tcPr>
          <w:p>
            <w:pPr>
              <w:spacing w:after="0"/>
              <w:rPr>
                <w:sz w:val="18"/>
                <w:szCs w:val="18"/>
                <w:color w:val="auto"/>
              </w:rPr>
            </w:pPr>
          </w:p>
        </w:tc>
        <w:tc>
          <w:tcPr>
            <w:tcW w:w="2880" w:type="dxa"/>
            <w:vAlign w:val="bottom"/>
            <w:tcBorders>
              <w:right w:val="single" w:sz="8" w:color="CCEEFF"/>
            </w:tcBorders>
            <w:gridSpan w:val="1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Price, Expiration Date 10/6/2019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65,000</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145,000</w:t>
            </w:r>
          </w:p>
        </w:tc>
      </w:tr>
      <w:tr>
        <w:trPr>
          <w:trHeight w:val="203"/>
        </w:trPr>
        <w:tc>
          <w:tcPr>
            <w:tcW w:w="290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18,000</w:t>
            </w:r>
          </w:p>
        </w:tc>
      </w:tr>
      <w:tr>
        <w:trPr>
          <w:trHeight w:val="189"/>
        </w:trPr>
        <w:tc>
          <w:tcPr>
            <w:tcW w:w="2900" w:type="dxa"/>
            <w:vAlign w:val="bottom"/>
            <w:tcBorders>
              <w:right w:val="single" w:sz="8" w:color="CCEEFF"/>
            </w:tcBorders>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warrants, Series C – $1.33 Strike</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6"/>
        </w:trPr>
        <w:tc>
          <w:tcPr>
            <w:tcW w:w="20" w:type="dxa"/>
            <w:vAlign w:val="bottom"/>
            <w:shd w:val="clear" w:color="auto" w:fill="CCEEFF"/>
          </w:tcPr>
          <w:p>
            <w:pPr>
              <w:spacing w:after="0"/>
              <w:rPr>
                <w:sz w:val="18"/>
                <w:szCs w:val="18"/>
                <w:color w:val="auto"/>
              </w:rPr>
            </w:pPr>
          </w:p>
        </w:tc>
        <w:tc>
          <w:tcPr>
            <w:tcW w:w="2880" w:type="dxa"/>
            <w:vAlign w:val="bottom"/>
            <w:tcBorders>
              <w:right w:val="single" w:sz="8" w:color="CCEEFF"/>
            </w:tcBorders>
            <w:gridSpan w:val="1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Price, Expiration Date 4/9/2019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24,375</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7,500</w:t>
            </w:r>
          </w:p>
        </w:tc>
      </w:tr>
      <w:tr>
        <w:trPr>
          <w:trHeight w:val="162"/>
        </w:trPr>
        <w:tc>
          <w:tcPr>
            <w:tcW w:w="2900" w:type="dxa"/>
            <w:vAlign w:val="bottom"/>
            <w:gridSpan w:val="1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GSV Sustainability Partners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2900" w:type="dxa"/>
            <w:vAlign w:val="bottom"/>
            <w:tcBorders>
              <w:right w:val="single" w:sz="8" w:color="CCEEFF"/>
            </w:tcBorders>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Class A</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4,850,000</w:t>
            </w: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500,156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5,350,000</w:t>
            </w:r>
          </w:p>
        </w:tc>
      </w:tr>
      <w:tr>
        <w:trPr>
          <w:trHeight w:val="203"/>
        </w:trPr>
        <w:tc>
          <w:tcPr>
            <w:tcW w:w="290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10,000</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2900" w:type="dxa"/>
            <w:vAlign w:val="bottom"/>
            <w:tcBorders>
              <w:right w:val="single" w:sz="8" w:color="CCEEFF"/>
            </w:tcBorders>
            <w:gridSpan w:val="13"/>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Total Control Investments</w:t>
            </w:r>
          </w:p>
        </w:tc>
        <w:tc>
          <w:tcPr>
            <w:tcW w:w="1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shd w:val="clear" w:color="auto" w:fill="CCEEFF"/>
          </w:tcPr>
          <w:p>
            <w:pPr>
              <w:jc w:val="right"/>
              <w:ind w:right="80"/>
              <w:spacing w:after="0" w:line="155"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b w:val="1"/>
                <w:bCs w:val="1"/>
                <w:u w:val="single" w:color="auto"/>
                <w:color w:val="auto"/>
              </w:rPr>
              <w:t>$</w:t>
            </w:r>
          </w:p>
        </w:tc>
        <w:tc>
          <w:tcPr>
            <w:tcW w:w="7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w w:val="99"/>
              </w:rPr>
              <w:t>18,819,335</w:t>
            </w:r>
          </w:p>
        </w:tc>
        <w:tc>
          <w:tcPr>
            <w:tcW w:w="12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b w:val="1"/>
                <w:bCs w:val="1"/>
                <w:u w:val="single" w:color="auto"/>
                <w:color w:val="auto"/>
              </w:rPr>
              <w:t>$</w:t>
            </w:r>
          </w:p>
        </w:tc>
        <w:tc>
          <w:tcPr>
            <w:tcW w:w="780" w:type="dxa"/>
            <w:vAlign w:val="bottom"/>
            <w:gridSpan w:val="2"/>
            <w:shd w:val="clear" w:color="auto" w:fill="CCEEFF"/>
          </w:tcPr>
          <w:p>
            <w:pPr>
              <w:jc w:val="right"/>
              <w:ind w:right="40"/>
              <w:spacing w:after="0" w:line="155" w:lineRule="exact"/>
              <w:rPr>
                <w:sz w:val="20"/>
                <w:szCs w:val="20"/>
                <w:color w:val="auto"/>
              </w:rPr>
            </w:pPr>
            <w:r>
              <w:rPr>
                <w:rFonts w:ascii="Times New Roman" w:cs="Times New Roman" w:eastAsia="Times New Roman" w:hAnsi="Times New Roman"/>
                <w:sz w:val="16"/>
                <w:szCs w:val="16"/>
                <w:b w:val="1"/>
                <w:bCs w:val="1"/>
                <w:color w:val="auto"/>
                <w:w w:val="99"/>
              </w:rPr>
              <w:t>20,179,675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6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2900" w:type="dxa"/>
            <w:vAlign w:val="bottom"/>
            <w:gridSpan w:val="13"/>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Affiliate Investments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2900" w:type="dxa"/>
            <w:vAlign w:val="bottom"/>
            <w:tcBorders>
              <w:right w:val="single" w:sz="8" w:color="CCEEFF"/>
            </w:tcBorders>
            <w:gridSpan w:val="13"/>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Whittle Schools, LLC</w:t>
            </w:r>
            <w:r>
              <w:rPr>
                <w:rFonts w:ascii="Times New Roman" w:cs="Times New Roman" w:eastAsia="Times New Roman" w:hAnsi="Times New Roman"/>
                <w:sz w:val="23"/>
                <w:szCs w:val="23"/>
                <w:b w:val="1"/>
                <w:bCs w:val="1"/>
                <w:color w:val="auto"/>
                <w:vertAlign w:val="superscript"/>
              </w:rPr>
              <w:t>(2)</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90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3,000,000</w:t>
            </w:r>
          </w:p>
        </w:tc>
      </w:tr>
      <w:tr>
        <w:trPr>
          <w:trHeight w:val="203"/>
        </w:trPr>
        <w:tc>
          <w:tcPr>
            <w:tcW w:w="2900" w:type="dxa"/>
            <w:vAlign w:val="bottom"/>
            <w:tcBorders>
              <w:right w:val="single" w:sz="8" w:color="CCEEFF"/>
            </w:tcBorders>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1,500,000</w:t>
            </w:r>
          </w:p>
        </w:tc>
      </w:tr>
      <w:tr>
        <w:trPr>
          <w:trHeight w:val="162"/>
        </w:trPr>
        <w:tc>
          <w:tcPr>
            <w:tcW w:w="2900" w:type="dxa"/>
            <w:vAlign w:val="bottom"/>
            <w:gridSpan w:val="1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Circle Media (f/k/a S3 Digital Corp.</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2460" w:type="dxa"/>
            <w:vAlign w:val="bottom"/>
            <w:tcBorders>
              <w:top w:val="single" w:sz="8" w:color="auto"/>
            </w:tcBorders>
            <w:gridSpan w:val="10"/>
          </w:tcPr>
          <w:p>
            <w:pPr>
              <w:ind w:left="180"/>
              <w:spacing w:after="0" w:line="183" w:lineRule="exact"/>
              <w:rPr>
                <w:sz w:val="20"/>
                <w:szCs w:val="20"/>
                <w:color w:val="auto"/>
              </w:rPr>
            </w:pPr>
            <w:r>
              <w:rPr>
                <w:rFonts w:ascii="Times New Roman" w:cs="Times New Roman" w:eastAsia="Times New Roman" w:hAnsi="Times New Roman"/>
                <w:sz w:val="16"/>
                <w:szCs w:val="16"/>
                <w:b w:val="1"/>
                <w:bCs w:val="1"/>
                <w:color w:val="auto"/>
              </w:rPr>
              <w:t>(d/b/a S3i)</w:t>
            </w:r>
          </w:p>
        </w:tc>
        <w:tc>
          <w:tcPr>
            <w:tcW w:w="4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2900" w:type="dxa"/>
            <w:vAlign w:val="bottom"/>
            <w:tcBorders>
              <w:right w:val="single" w:sz="8" w:color="CCEEFF"/>
            </w:tcBorders>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1,705,006</w:t>
            </w: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(55,759)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1,649,247</w:t>
            </w:r>
          </w:p>
        </w:tc>
      </w:tr>
      <w:tr>
        <w:trPr>
          <w:trHeight w:val="203"/>
        </w:trPr>
        <w:tc>
          <w:tcPr>
            <w:tcW w:w="290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Term Loan, 12%, 09/30/15***</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8,063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288,114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8,164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296,278</w:t>
            </w:r>
          </w:p>
        </w:tc>
      </w:tr>
      <w:tr>
        <w:trPr>
          <w:trHeight w:val="189"/>
        </w:trPr>
        <w:tc>
          <w:tcPr>
            <w:tcW w:w="2900" w:type="dxa"/>
            <w:vAlign w:val="bottom"/>
            <w:tcBorders>
              <w:right w:val="single" w:sz="8" w:color="CCEEFF"/>
            </w:tcBorders>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warrants, $1.00 Strike Price,</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6"/>
        </w:trPr>
        <w:tc>
          <w:tcPr>
            <w:tcW w:w="20" w:type="dxa"/>
            <w:vAlign w:val="bottom"/>
            <w:shd w:val="clear" w:color="auto" w:fill="CCEEFF"/>
          </w:tcPr>
          <w:p>
            <w:pPr>
              <w:spacing w:after="0"/>
              <w:rPr>
                <w:sz w:val="18"/>
                <w:szCs w:val="18"/>
                <w:color w:val="auto"/>
              </w:rPr>
            </w:pPr>
          </w:p>
        </w:tc>
        <w:tc>
          <w:tcPr>
            <w:tcW w:w="2880" w:type="dxa"/>
            <w:vAlign w:val="bottom"/>
            <w:tcBorders>
              <w:right w:val="single" w:sz="8" w:color="CCEEFF"/>
            </w:tcBorders>
            <w:gridSpan w:val="1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Expiration Date 11/21/2017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165,000</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220,000</w:t>
            </w:r>
          </w:p>
        </w:tc>
      </w:tr>
      <w:tr>
        <w:trPr>
          <w:trHeight w:val="189"/>
        </w:trPr>
        <w:tc>
          <w:tcPr>
            <w:tcW w:w="290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Preferred warrants, $1.17 Strike Price,</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2880" w:type="dxa"/>
            <w:vAlign w:val="bottom"/>
            <w:gridSpan w:val="12"/>
          </w:tcPr>
          <w:p>
            <w:pPr>
              <w:ind w:left="180"/>
              <w:spacing w:after="0"/>
              <w:rPr>
                <w:sz w:val="20"/>
                <w:szCs w:val="20"/>
                <w:color w:val="auto"/>
              </w:rPr>
            </w:pPr>
            <w:r>
              <w:rPr>
                <w:rFonts w:ascii="Times New Roman" w:cs="Times New Roman" w:eastAsia="Times New Roman" w:hAnsi="Times New Roman"/>
                <w:sz w:val="16"/>
                <w:szCs w:val="16"/>
                <w:color w:val="auto"/>
              </w:rPr>
              <w:t>Expiration Date 08/29/2021</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12,307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70,326</w:t>
            </w:r>
          </w:p>
        </w:tc>
      </w:tr>
      <w:tr>
        <w:trPr>
          <w:trHeight w:val="192"/>
        </w:trPr>
        <w:tc>
          <w:tcPr>
            <w:tcW w:w="2900" w:type="dxa"/>
            <w:vAlign w:val="bottom"/>
            <w:tcBorders>
              <w:right w:val="single" w:sz="8" w:color="CCEEFF"/>
            </w:tcBorders>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warrants, $1.17 Strike Price,</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6"/>
        </w:trPr>
        <w:tc>
          <w:tcPr>
            <w:tcW w:w="20" w:type="dxa"/>
            <w:vAlign w:val="bottom"/>
            <w:shd w:val="clear" w:color="auto" w:fill="CCEEFF"/>
          </w:tcPr>
          <w:p>
            <w:pPr>
              <w:spacing w:after="0"/>
              <w:rPr>
                <w:sz w:val="18"/>
                <w:szCs w:val="18"/>
                <w:color w:val="auto"/>
              </w:rPr>
            </w:pPr>
          </w:p>
        </w:tc>
        <w:tc>
          <w:tcPr>
            <w:tcW w:w="2880" w:type="dxa"/>
            <w:vAlign w:val="bottom"/>
            <w:tcBorders>
              <w:right w:val="single" w:sz="8" w:color="CCEEFF"/>
            </w:tcBorders>
            <w:gridSpan w:val="1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Expiration Date 09/30/2020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64,322</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64,322</w:t>
            </w:r>
          </w:p>
        </w:tc>
      </w:tr>
      <w:tr>
        <w:trPr>
          <w:trHeight w:val="189"/>
        </w:trPr>
        <w:tc>
          <w:tcPr>
            <w:tcW w:w="290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Preferred warrants, $1.16 Strike Price,</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2880" w:type="dxa"/>
            <w:vAlign w:val="bottom"/>
            <w:gridSpan w:val="12"/>
          </w:tcPr>
          <w:p>
            <w:pPr>
              <w:ind w:left="180"/>
              <w:spacing w:after="0"/>
              <w:rPr>
                <w:sz w:val="20"/>
                <w:szCs w:val="20"/>
                <w:color w:val="auto"/>
              </w:rPr>
            </w:pPr>
            <w:r>
              <w:rPr>
                <w:rFonts w:ascii="Times New Roman" w:cs="Times New Roman" w:eastAsia="Times New Roman" w:hAnsi="Times New Roman"/>
                <w:sz w:val="16"/>
                <w:szCs w:val="16"/>
                <w:color w:val="auto"/>
              </w:rPr>
              <w:t>Expiration Date 6/26/2021</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2,702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15,438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-2087880</wp:posOffset>
            </wp:positionV>
            <wp:extent cx="5213985"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56" w:name="page57"/>
    <w:bookmarkEnd w:id="56"/>
    <w:p>
      <w:pPr>
        <w:ind w:left="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Schedule of Investments in and Advances to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21398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Amount of</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Interest, Fees</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or Dividends</w:t>
            </w: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Fair Value at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Realized and</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Fair Value at</w:t>
            </w: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Credited in</w:t>
            </w: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Unrealized</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March 31,</w:t>
            </w:r>
          </w:p>
        </w:tc>
      </w:tr>
      <w:tr>
        <w:trPr>
          <w:trHeight w:val="165"/>
        </w:trPr>
        <w:tc>
          <w:tcPr>
            <w:tcW w:w="2840" w:type="dxa"/>
            <w:vAlign w:val="bottom"/>
            <w:gridSpan w:val="14"/>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Company/Type of Investment*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w w:val="92"/>
              </w:rPr>
              <w:t>2014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Gains/Losses</w:t>
            </w:r>
          </w:p>
        </w:tc>
        <w:tc>
          <w:tcPr>
            <w:tcW w:w="960" w:type="dxa"/>
            <w:vAlign w:val="bottom"/>
            <w:gridSpan w:val="2"/>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w w:val="92"/>
              </w:rPr>
              <w:t>2015</w:t>
            </w:r>
          </w:p>
        </w:tc>
      </w:tr>
      <w:tr>
        <w:trPr>
          <w:trHeight w:val="156"/>
        </w:trPr>
        <w:tc>
          <w:tcPr>
            <w:tcW w:w="2840" w:type="dxa"/>
            <w:vAlign w:val="bottom"/>
            <w:tcBorders>
              <w:top w:val="single" w:sz="8" w:color="auto"/>
            </w:tcBorders>
            <w:gridSpan w:val="14"/>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CUX, Inc. (d/b/a CorpU)</w:t>
            </w:r>
          </w:p>
        </w:tc>
        <w:tc>
          <w:tcPr>
            <w:tcW w:w="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840" w:type="dxa"/>
            <w:vAlign w:val="bottom"/>
            <w:gridSpan w:val="14"/>
          </w:tcPr>
          <w:p>
            <w:pPr>
              <w:ind w:left="20"/>
              <w:spacing w:after="0"/>
              <w:rPr>
                <w:sz w:val="20"/>
                <w:szCs w:val="20"/>
                <w:color w:val="auto"/>
              </w:rPr>
            </w:pPr>
            <w:r>
              <w:rPr>
                <w:rFonts w:ascii="Times New Roman" w:cs="Times New Roman" w:eastAsia="Times New Roman" w:hAnsi="Times New Roman"/>
                <w:sz w:val="16"/>
                <w:szCs w:val="16"/>
                <w:color w:val="auto"/>
              </w:rPr>
              <w:t>Convertible preferred shares, Series C</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$ 2,292,582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43"/>
              <w:spacing w:after="0"/>
              <w:rPr>
                <w:sz w:val="20"/>
                <w:szCs w:val="20"/>
                <w:color w:val="auto"/>
              </w:rPr>
            </w:pPr>
            <w:r>
              <w:rPr>
                <w:rFonts w:ascii="Times New Roman" w:cs="Times New Roman" w:eastAsia="Times New Roman" w:hAnsi="Times New Roman"/>
                <w:sz w:val="16"/>
                <w:szCs w:val="16"/>
                <w:color w:val="auto"/>
              </w:rPr>
              <w:t>$  47,317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$ 2,339,899</w:t>
            </w:r>
          </w:p>
        </w:tc>
      </w:tr>
      <w:tr>
        <w:trPr>
          <w:trHeight w:val="189"/>
        </w:trPr>
        <w:tc>
          <w:tcPr>
            <w:tcW w:w="2840" w:type="dxa"/>
            <w:vAlign w:val="bottom"/>
            <w:gridSpan w:val="1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Subordinated Convertible</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4"/>
        </w:trPr>
        <w:tc>
          <w:tcPr>
            <w:tcW w:w="20" w:type="dxa"/>
            <w:vAlign w:val="bottom"/>
            <w:shd w:val="clear" w:color="auto" w:fill="CCEEFF"/>
          </w:tcPr>
          <w:p>
            <w:pPr>
              <w:spacing w:after="0"/>
              <w:rPr>
                <w:sz w:val="17"/>
                <w:szCs w:val="17"/>
                <w:color w:val="auto"/>
              </w:rPr>
            </w:pPr>
          </w:p>
        </w:tc>
        <w:tc>
          <w:tcPr>
            <w:tcW w:w="2820" w:type="dxa"/>
            <w:vAlign w:val="bottom"/>
            <w:gridSpan w:val="1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Promissory Note 8% Due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56"/>
        </w:trPr>
        <w:tc>
          <w:tcPr>
            <w:tcW w:w="1520" w:type="dxa"/>
            <w:vAlign w:val="bottom"/>
            <w:gridSpan w:val="9"/>
            <w:shd w:val="clear" w:color="auto" w:fill="CCEEFF"/>
          </w:tcPr>
          <w:p>
            <w:pPr>
              <w:ind w:left="200"/>
              <w:spacing w:after="0" w:line="255" w:lineRule="exact"/>
              <w:rPr>
                <w:sz w:val="20"/>
                <w:szCs w:val="20"/>
                <w:color w:val="auto"/>
              </w:rPr>
            </w:pPr>
            <w:r>
              <w:rPr>
                <w:rFonts w:ascii="Times New Roman" w:cs="Times New Roman" w:eastAsia="Times New Roman" w:hAnsi="Times New Roman"/>
                <w:sz w:val="16"/>
                <w:szCs w:val="16"/>
                <w:color w:val="auto"/>
              </w:rPr>
              <w:t>11/26/2018***</w:t>
            </w:r>
            <w:r>
              <w:rPr>
                <w:rFonts w:ascii="Times New Roman" w:cs="Times New Roman" w:eastAsia="Times New Roman" w:hAnsi="Times New Roman"/>
                <w:sz w:val="27"/>
                <w:szCs w:val="27"/>
                <w:color w:val="auto"/>
                <w:vertAlign w:val="superscript"/>
              </w:rPr>
              <w:t>(5)</w:t>
            </w:r>
          </w:p>
        </w:tc>
        <w:tc>
          <w:tcPr>
            <w:tcW w:w="2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1,007,671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19,036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1,026,707</w:t>
            </w:r>
          </w:p>
        </w:tc>
      </w:tr>
      <w:tr>
        <w:trPr>
          <w:trHeight w:val="203"/>
        </w:trPr>
        <w:tc>
          <w:tcPr>
            <w:tcW w:w="2840" w:type="dxa"/>
            <w:vAlign w:val="bottom"/>
            <w:gridSpan w:val="14"/>
          </w:tcPr>
          <w:p>
            <w:pPr>
              <w:ind w:left="20"/>
              <w:spacing w:after="0"/>
              <w:rPr>
                <w:sz w:val="20"/>
                <w:szCs w:val="20"/>
                <w:color w:val="auto"/>
              </w:rPr>
            </w:pPr>
            <w:r>
              <w:rPr>
                <w:rFonts w:ascii="Times New Roman" w:cs="Times New Roman" w:eastAsia="Times New Roman" w:hAnsi="Times New Roman"/>
                <w:sz w:val="16"/>
                <w:szCs w:val="16"/>
                <w:color w:val="auto"/>
              </w:rPr>
              <w:t>Convertible preferred shares, Series 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716,066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43"/>
              <w:spacing w:after="0"/>
              <w:rPr>
                <w:sz w:val="20"/>
                <w:szCs w:val="20"/>
                <w:color w:val="auto"/>
              </w:rPr>
            </w:pPr>
            <w:r>
              <w:rPr>
                <w:rFonts w:ascii="Times New Roman" w:cs="Times New Roman" w:eastAsia="Times New Roman" w:hAnsi="Times New Roman"/>
                <w:sz w:val="16"/>
                <w:szCs w:val="16"/>
                <w:color w:val="auto"/>
              </w:rPr>
              <w:t>14,219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730,285</w:t>
            </w:r>
          </w:p>
        </w:tc>
      </w:tr>
      <w:tr>
        <w:trPr>
          <w:trHeight w:val="189"/>
        </w:trPr>
        <w:tc>
          <w:tcPr>
            <w:tcW w:w="2840" w:type="dxa"/>
            <w:vAlign w:val="bottom"/>
            <w:gridSpan w:val="1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warrants, $4.59 Strike Price,</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6"/>
        </w:trPr>
        <w:tc>
          <w:tcPr>
            <w:tcW w:w="20" w:type="dxa"/>
            <w:vAlign w:val="bottom"/>
            <w:shd w:val="clear" w:color="auto" w:fill="CCEEFF"/>
          </w:tcPr>
          <w:p>
            <w:pPr>
              <w:spacing w:after="0"/>
              <w:rPr>
                <w:sz w:val="18"/>
                <w:szCs w:val="18"/>
                <w:color w:val="auto"/>
              </w:rPr>
            </w:pPr>
          </w:p>
        </w:tc>
        <w:tc>
          <w:tcPr>
            <w:tcW w:w="2820" w:type="dxa"/>
            <w:vAlign w:val="bottom"/>
            <w:gridSpan w:val="1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Expiration Date 02/25/2018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338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12,846</w:t>
            </w:r>
          </w:p>
        </w:tc>
      </w:tr>
      <w:tr>
        <w:trPr>
          <w:trHeight w:val="203"/>
        </w:trPr>
        <w:tc>
          <w:tcPr>
            <w:tcW w:w="2840" w:type="dxa"/>
            <w:vAlign w:val="bottom"/>
            <w:gridSpan w:val="14"/>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Cricket Media (f/k/a ePals Inc.)**</w:t>
            </w:r>
            <w:r>
              <w:rPr>
                <w:rFonts w:ascii="Times New Roman" w:cs="Times New Roman" w:eastAsia="Times New Roman" w:hAnsi="Times New Roman"/>
                <w:sz w:val="23"/>
                <w:szCs w:val="23"/>
                <w:b w:val="1"/>
                <w:bCs w:val="1"/>
                <w:color w:val="auto"/>
                <w:vertAlign w:val="superscript"/>
              </w:rPr>
              <w:t>(4)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3"/>
        </w:trPr>
        <w:tc>
          <w:tcPr>
            <w:tcW w:w="2840" w:type="dxa"/>
            <w:vAlign w:val="bottom"/>
            <w:gridSpan w:val="1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331,126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316,406</w:t>
            </w:r>
          </w:p>
        </w:tc>
      </w:tr>
      <w:tr>
        <w:trPr>
          <w:trHeight w:val="162"/>
        </w:trPr>
        <w:tc>
          <w:tcPr>
            <w:tcW w:w="2840" w:type="dxa"/>
            <w:vAlign w:val="bottom"/>
            <w:gridSpan w:val="14"/>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Curious.com Inc.</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3"/>
        </w:trPr>
        <w:tc>
          <w:tcPr>
            <w:tcW w:w="2840" w:type="dxa"/>
            <w:vAlign w:val="bottom"/>
            <w:gridSpan w:val="1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9,996,311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9,996,311</w:t>
            </w:r>
          </w:p>
        </w:tc>
      </w:tr>
      <w:tr>
        <w:trPr>
          <w:trHeight w:val="162"/>
        </w:trPr>
        <w:tc>
          <w:tcPr>
            <w:tcW w:w="2840" w:type="dxa"/>
            <w:vAlign w:val="bottom"/>
            <w:gridSpan w:val="14"/>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Dailybreak, Inc.</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3"/>
        </w:trPr>
        <w:tc>
          <w:tcPr>
            <w:tcW w:w="2840" w:type="dxa"/>
            <w:vAlign w:val="bottom"/>
            <w:gridSpan w:val="1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A-1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840" w:type="dxa"/>
            <w:vAlign w:val="bottom"/>
            <w:gridSpan w:val="14"/>
          </w:tcPr>
          <w:p>
            <w:pPr>
              <w:ind w:left="20"/>
              <w:spacing w:after="0"/>
              <w:rPr>
                <w:sz w:val="20"/>
                <w:szCs w:val="20"/>
                <w:color w:val="auto"/>
              </w:rPr>
            </w:pPr>
            <w:r>
              <w:rPr>
                <w:rFonts w:ascii="Times New Roman" w:cs="Times New Roman" w:eastAsia="Times New Roman" w:hAnsi="Times New Roman"/>
                <w:sz w:val="16"/>
                <w:szCs w:val="16"/>
                <w:color w:val="auto"/>
              </w:rPr>
              <w:t>Preferred shares, Series A-2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62"/>
        </w:trPr>
        <w:tc>
          <w:tcPr>
            <w:tcW w:w="2840" w:type="dxa"/>
            <w:vAlign w:val="bottom"/>
            <w:gridSpan w:val="14"/>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Declara, Inc.</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840" w:type="dxa"/>
            <w:vAlign w:val="bottom"/>
            <w:gridSpan w:val="14"/>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10,019,825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10,019,825</w:t>
            </w:r>
          </w:p>
        </w:tc>
      </w:tr>
      <w:tr>
        <w:trPr>
          <w:trHeight w:val="162"/>
        </w:trPr>
        <w:tc>
          <w:tcPr>
            <w:tcW w:w="2840" w:type="dxa"/>
            <w:vAlign w:val="bottom"/>
            <w:gridSpan w:val="14"/>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EdSurge, Inc.</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840" w:type="dxa"/>
            <w:vAlign w:val="bottom"/>
            <w:gridSpan w:val="14"/>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505,328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43"/>
              <w:spacing w:after="0"/>
              <w:rPr>
                <w:sz w:val="20"/>
                <w:szCs w:val="20"/>
                <w:color w:val="auto"/>
              </w:rPr>
            </w:pPr>
            <w:r>
              <w:rPr>
                <w:rFonts w:ascii="Times New Roman" w:cs="Times New Roman" w:eastAsia="Times New Roman" w:hAnsi="Times New Roman"/>
                <w:sz w:val="16"/>
                <w:szCs w:val="16"/>
                <w:color w:val="auto"/>
              </w:rPr>
              <w:t>6,712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512,040</w:t>
            </w:r>
          </w:p>
        </w:tc>
      </w:tr>
      <w:tr>
        <w:trPr>
          <w:trHeight w:val="162"/>
        </w:trPr>
        <w:tc>
          <w:tcPr>
            <w:tcW w:w="2840" w:type="dxa"/>
            <w:vAlign w:val="bottom"/>
            <w:gridSpan w:val="14"/>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Fullbridge, Inc.</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840" w:type="dxa"/>
            <w:vAlign w:val="bottom"/>
            <w:gridSpan w:val="14"/>
          </w:tcPr>
          <w:p>
            <w:pPr>
              <w:ind w:left="20"/>
              <w:spacing w:after="0"/>
              <w:rPr>
                <w:sz w:val="20"/>
                <w:szCs w:val="20"/>
                <w:color w:val="auto"/>
              </w:rPr>
            </w:pPr>
            <w:r>
              <w:rPr>
                <w:rFonts w:ascii="Times New Roman" w:cs="Times New Roman" w:eastAsia="Times New Roman" w:hAnsi="Times New Roman"/>
                <w:sz w:val="16"/>
                <w:szCs w:val="16"/>
                <w:color w:val="auto"/>
              </w:rPr>
              <w:t>Preferred shares, Series 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3,111,714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3,111,714</w:t>
            </w:r>
          </w:p>
        </w:tc>
      </w:tr>
      <w:tr>
        <w:trPr>
          <w:trHeight w:val="203"/>
        </w:trPr>
        <w:tc>
          <w:tcPr>
            <w:tcW w:w="2840" w:type="dxa"/>
            <w:vAlign w:val="bottom"/>
            <w:gridSpan w:val="1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C</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1,625,001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1,625,001</w:t>
            </w:r>
          </w:p>
        </w:tc>
      </w:tr>
      <w:tr>
        <w:trPr>
          <w:trHeight w:val="189"/>
        </w:trPr>
        <w:tc>
          <w:tcPr>
            <w:tcW w:w="2840" w:type="dxa"/>
            <w:vAlign w:val="bottom"/>
            <w:gridSpan w:val="14"/>
          </w:tcPr>
          <w:p>
            <w:pPr>
              <w:ind w:left="20"/>
              <w:spacing w:after="0"/>
              <w:rPr>
                <w:sz w:val="20"/>
                <w:szCs w:val="20"/>
                <w:color w:val="auto"/>
              </w:rPr>
            </w:pPr>
            <w:r>
              <w:rPr>
                <w:rFonts w:ascii="Times New Roman" w:cs="Times New Roman" w:eastAsia="Times New Roman" w:hAnsi="Times New Roman"/>
                <w:sz w:val="16"/>
                <w:szCs w:val="16"/>
                <w:color w:val="auto"/>
              </w:rPr>
              <w:t>Convertible Promissory Note, 10% Interest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2820" w:type="dxa"/>
            <w:vAlign w:val="bottom"/>
            <w:gridSpan w:val="13"/>
          </w:tcPr>
          <w:p>
            <w:pPr>
              <w:ind w:left="180"/>
              <w:spacing w:after="0"/>
              <w:rPr>
                <w:sz w:val="20"/>
                <w:szCs w:val="20"/>
                <w:color w:val="auto"/>
              </w:rPr>
            </w:pPr>
            <w:r>
              <w:rPr>
                <w:rFonts w:ascii="Times New Roman" w:cs="Times New Roman" w:eastAsia="Times New Roman" w:hAnsi="Times New Roman"/>
                <w:sz w:val="16"/>
                <w:szCs w:val="16"/>
                <w:color w:val="auto"/>
              </w:rPr>
              <w:t>rate, February 16, 2015***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22,300</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977,994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43"/>
              <w:spacing w:after="0"/>
              <w:rPr>
                <w:sz w:val="20"/>
                <w:szCs w:val="20"/>
                <w:color w:val="auto"/>
              </w:rPr>
            </w:pPr>
            <w:r>
              <w:rPr>
                <w:rFonts w:ascii="Times New Roman" w:cs="Times New Roman" w:eastAsia="Times New Roman" w:hAnsi="Times New Roman"/>
                <w:sz w:val="16"/>
                <w:szCs w:val="16"/>
                <w:color w:val="auto"/>
              </w:rPr>
              <w:t>2,401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980,395</w:t>
            </w:r>
          </w:p>
        </w:tc>
      </w:tr>
      <w:tr>
        <w:trPr>
          <w:trHeight w:val="192"/>
        </w:trPr>
        <w:tc>
          <w:tcPr>
            <w:tcW w:w="2840" w:type="dxa"/>
            <w:vAlign w:val="bottom"/>
            <w:gridSpan w:val="1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warrants, $0.91 Strike Price,</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6"/>
        </w:trPr>
        <w:tc>
          <w:tcPr>
            <w:tcW w:w="20" w:type="dxa"/>
            <w:vAlign w:val="bottom"/>
            <w:shd w:val="clear" w:color="auto" w:fill="CCEEFF"/>
          </w:tcPr>
          <w:p>
            <w:pPr>
              <w:spacing w:after="0"/>
              <w:rPr>
                <w:sz w:val="18"/>
                <w:szCs w:val="18"/>
                <w:color w:val="auto"/>
              </w:rPr>
            </w:pPr>
          </w:p>
        </w:tc>
        <w:tc>
          <w:tcPr>
            <w:tcW w:w="2820" w:type="dxa"/>
            <w:vAlign w:val="bottom"/>
            <w:gridSpan w:val="1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Expiration Date 2/18/2019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19,567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21,429</w:t>
            </w:r>
          </w:p>
        </w:tc>
      </w:tr>
      <w:tr>
        <w:trPr>
          <w:trHeight w:val="189"/>
        </w:trPr>
        <w:tc>
          <w:tcPr>
            <w:tcW w:w="2840" w:type="dxa"/>
            <w:vAlign w:val="bottom"/>
            <w:gridSpan w:val="14"/>
          </w:tcPr>
          <w:p>
            <w:pPr>
              <w:ind w:left="20"/>
              <w:spacing w:after="0"/>
              <w:rPr>
                <w:sz w:val="20"/>
                <w:szCs w:val="20"/>
                <w:color w:val="auto"/>
              </w:rPr>
            </w:pPr>
            <w:r>
              <w:rPr>
                <w:rFonts w:ascii="Times New Roman" w:cs="Times New Roman" w:eastAsia="Times New Roman" w:hAnsi="Times New Roman"/>
                <w:sz w:val="16"/>
                <w:szCs w:val="16"/>
                <w:color w:val="auto"/>
              </w:rPr>
              <w:t>Common warrants, $0.91 Strike Price,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2820" w:type="dxa"/>
            <w:vAlign w:val="bottom"/>
            <w:gridSpan w:val="13"/>
          </w:tcPr>
          <w:p>
            <w:pPr>
              <w:ind w:left="180"/>
              <w:spacing w:after="0"/>
              <w:rPr>
                <w:sz w:val="20"/>
                <w:szCs w:val="20"/>
                <w:color w:val="auto"/>
              </w:rPr>
            </w:pPr>
            <w:r>
              <w:rPr>
                <w:rFonts w:ascii="Times New Roman" w:cs="Times New Roman" w:eastAsia="Times New Roman" w:hAnsi="Times New Roman"/>
                <w:sz w:val="16"/>
                <w:szCs w:val="16"/>
                <w:color w:val="auto"/>
              </w:rPr>
              <w:t>Expiration Date 4/3/2019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43"/>
              <w:spacing w:after="0"/>
              <w:rPr>
                <w:sz w:val="20"/>
                <w:szCs w:val="20"/>
                <w:color w:val="auto"/>
              </w:rPr>
            </w:pPr>
            <w:r>
              <w:rPr>
                <w:rFonts w:ascii="Times New Roman" w:cs="Times New Roman" w:eastAsia="Times New Roman" w:hAnsi="Times New Roman"/>
                <w:sz w:val="16"/>
                <w:szCs w:val="16"/>
                <w:color w:val="auto"/>
              </w:rPr>
              <w:t>11,539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12,363</w:t>
            </w:r>
          </w:p>
        </w:tc>
      </w:tr>
      <w:tr>
        <w:trPr>
          <w:trHeight w:val="192"/>
        </w:trPr>
        <w:tc>
          <w:tcPr>
            <w:tcW w:w="2840" w:type="dxa"/>
            <w:vAlign w:val="bottom"/>
            <w:gridSpan w:val="1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warrants, $0.91 Strike Price,</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6"/>
        </w:trPr>
        <w:tc>
          <w:tcPr>
            <w:tcW w:w="20" w:type="dxa"/>
            <w:vAlign w:val="bottom"/>
            <w:shd w:val="clear" w:color="auto" w:fill="CCEEFF"/>
          </w:tcPr>
          <w:p>
            <w:pPr>
              <w:spacing w:after="0"/>
              <w:rPr>
                <w:sz w:val="18"/>
                <w:szCs w:val="18"/>
                <w:color w:val="auto"/>
              </w:rPr>
            </w:pPr>
          </w:p>
        </w:tc>
        <w:tc>
          <w:tcPr>
            <w:tcW w:w="2820" w:type="dxa"/>
            <w:vAlign w:val="bottom"/>
            <w:gridSpan w:val="1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Expiration Date 3/02/2020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4,372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8,493</w:t>
            </w:r>
          </w:p>
        </w:tc>
      </w:tr>
      <w:tr>
        <w:trPr>
          <w:trHeight w:val="189"/>
        </w:trPr>
        <w:tc>
          <w:tcPr>
            <w:tcW w:w="2840" w:type="dxa"/>
            <w:vAlign w:val="bottom"/>
            <w:gridSpan w:val="14"/>
          </w:tcPr>
          <w:p>
            <w:pPr>
              <w:ind w:left="20"/>
              <w:spacing w:after="0"/>
              <w:rPr>
                <w:sz w:val="20"/>
                <w:szCs w:val="20"/>
                <w:color w:val="auto"/>
              </w:rPr>
            </w:pPr>
            <w:r>
              <w:rPr>
                <w:rFonts w:ascii="Times New Roman" w:cs="Times New Roman" w:eastAsia="Times New Roman" w:hAnsi="Times New Roman"/>
                <w:sz w:val="16"/>
                <w:szCs w:val="16"/>
                <w:color w:val="auto"/>
              </w:rPr>
              <w:t>Common warrants, $0.91 Strike Price,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2820" w:type="dxa"/>
            <w:vAlign w:val="bottom"/>
            <w:gridSpan w:val="13"/>
          </w:tcPr>
          <w:p>
            <w:pPr>
              <w:ind w:left="180"/>
              <w:spacing w:after="0"/>
              <w:rPr>
                <w:sz w:val="20"/>
                <w:szCs w:val="20"/>
                <w:color w:val="auto"/>
              </w:rPr>
            </w:pPr>
            <w:r>
              <w:rPr>
                <w:rFonts w:ascii="Times New Roman" w:cs="Times New Roman" w:eastAsia="Times New Roman" w:hAnsi="Times New Roman"/>
                <w:sz w:val="16"/>
                <w:szCs w:val="16"/>
                <w:color w:val="auto"/>
              </w:rPr>
              <w:t>Expiration Date 5/16/2019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43"/>
              <w:spacing w:after="0"/>
              <w:rPr>
                <w:sz w:val="20"/>
                <w:szCs w:val="20"/>
                <w:color w:val="auto"/>
              </w:rPr>
            </w:pPr>
            <w:r>
              <w:rPr>
                <w:rFonts w:ascii="Times New Roman" w:cs="Times New Roman" w:eastAsia="Times New Roman" w:hAnsi="Times New Roman"/>
                <w:sz w:val="16"/>
                <w:szCs w:val="16"/>
                <w:color w:val="auto"/>
              </w:rPr>
              <w:t>3,846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5,769</w:t>
            </w:r>
          </w:p>
        </w:tc>
      </w:tr>
      <w:tr>
        <w:trPr>
          <w:trHeight w:val="192"/>
        </w:trPr>
        <w:tc>
          <w:tcPr>
            <w:tcW w:w="2840" w:type="dxa"/>
            <w:vAlign w:val="bottom"/>
            <w:gridSpan w:val="1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warrants, $0.91 Strike Price,</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6"/>
        </w:trPr>
        <w:tc>
          <w:tcPr>
            <w:tcW w:w="20" w:type="dxa"/>
            <w:vAlign w:val="bottom"/>
            <w:shd w:val="clear" w:color="auto" w:fill="CCEEFF"/>
          </w:tcPr>
          <w:p>
            <w:pPr>
              <w:spacing w:after="0"/>
              <w:rPr>
                <w:sz w:val="18"/>
                <w:szCs w:val="18"/>
                <w:color w:val="auto"/>
              </w:rPr>
            </w:pPr>
          </w:p>
        </w:tc>
        <w:tc>
          <w:tcPr>
            <w:tcW w:w="2820" w:type="dxa"/>
            <w:vAlign w:val="bottom"/>
            <w:gridSpan w:val="1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Expiration Date 3/22/2020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5,585</w:t>
            </w:r>
          </w:p>
        </w:tc>
      </w:tr>
      <w:tr>
        <w:trPr>
          <w:trHeight w:val="189"/>
        </w:trPr>
        <w:tc>
          <w:tcPr>
            <w:tcW w:w="2840" w:type="dxa"/>
            <w:vAlign w:val="bottom"/>
            <w:gridSpan w:val="14"/>
          </w:tcPr>
          <w:p>
            <w:pPr>
              <w:ind w:left="20"/>
              <w:spacing w:after="0"/>
              <w:rPr>
                <w:sz w:val="20"/>
                <w:szCs w:val="20"/>
                <w:color w:val="auto"/>
              </w:rPr>
            </w:pPr>
            <w:r>
              <w:rPr>
                <w:rFonts w:ascii="Times New Roman" w:cs="Times New Roman" w:eastAsia="Times New Roman" w:hAnsi="Times New Roman"/>
                <w:sz w:val="16"/>
                <w:szCs w:val="16"/>
                <w:color w:val="auto"/>
              </w:rPr>
              <w:t>Common warrants, $0.91 Strike Price,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2820" w:type="dxa"/>
            <w:vAlign w:val="bottom"/>
            <w:gridSpan w:val="13"/>
          </w:tcPr>
          <w:p>
            <w:pPr>
              <w:ind w:left="180"/>
              <w:spacing w:after="0"/>
              <w:rPr>
                <w:sz w:val="20"/>
                <w:szCs w:val="20"/>
                <w:color w:val="auto"/>
              </w:rPr>
            </w:pPr>
            <w:r>
              <w:rPr>
                <w:rFonts w:ascii="Times New Roman" w:cs="Times New Roman" w:eastAsia="Times New Roman" w:hAnsi="Times New Roman"/>
                <w:sz w:val="16"/>
                <w:szCs w:val="16"/>
                <w:color w:val="auto"/>
              </w:rPr>
              <w:t>Expiration Date 10/10/2018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43"/>
              <w:spacing w:after="0"/>
              <w:rPr>
                <w:sz w:val="20"/>
                <w:szCs w:val="20"/>
                <w:color w:val="auto"/>
              </w:rPr>
            </w:pPr>
            <w:r>
              <w:rPr>
                <w:rFonts w:ascii="Times New Roman" w:cs="Times New Roman" w:eastAsia="Times New Roman" w:hAnsi="Times New Roman"/>
                <w:sz w:val="16"/>
                <w:szCs w:val="16"/>
                <w:color w:val="auto"/>
              </w:rPr>
              <w:t>1,649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2,473</w:t>
            </w:r>
          </w:p>
        </w:tc>
      </w:tr>
      <w:tr>
        <w:trPr>
          <w:trHeight w:val="192"/>
        </w:trPr>
        <w:tc>
          <w:tcPr>
            <w:tcW w:w="2840" w:type="dxa"/>
            <w:vAlign w:val="bottom"/>
            <w:gridSpan w:val="1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warrants, $0.91 Strike Price,</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6"/>
        </w:trPr>
        <w:tc>
          <w:tcPr>
            <w:tcW w:w="20" w:type="dxa"/>
            <w:vAlign w:val="bottom"/>
            <w:shd w:val="clear" w:color="auto" w:fill="CCEEFF"/>
          </w:tcPr>
          <w:p>
            <w:pPr>
              <w:spacing w:after="0"/>
              <w:rPr>
                <w:sz w:val="18"/>
                <w:szCs w:val="18"/>
                <w:color w:val="auto"/>
              </w:rPr>
            </w:pPr>
          </w:p>
        </w:tc>
        <w:tc>
          <w:tcPr>
            <w:tcW w:w="2820" w:type="dxa"/>
            <w:vAlign w:val="bottom"/>
            <w:gridSpan w:val="1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Expiration Date 12/11/2018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2,473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w:t>
            </w:r>
          </w:p>
        </w:tc>
      </w:tr>
      <w:tr>
        <w:trPr>
          <w:trHeight w:val="162"/>
        </w:trPr>
        <w:tc>
          <w:tcPr>
            <w:tcW w:w="2840" w:type="dxa"/>
            <w:vAlign w:val="bottom"/>
            <w:gridSpan w:val="14"/>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Global Education Learning (Holdings)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2660" w:type="dxa"/>
            <w:vAlign w:val="bottom"/>
            <w:tcBorders>
              <w:top w:val="single" w:sz="8" w:color="auto"/>
            </w:tcBorders>
            <w:gridSpan w:val="12"/>
          </w:tcPr>
          <w:p>
            <w:pPr>
              <w:ind w:left="180"/>
              <w:spacing w:after="0" w:line="183" w:lineRule="exact"/>
              <w:rPr>
                <w:sz w:val="20"/>
                <w:szCs w:val="20"/>
                <w:color w:val="auto"/>
              </w:rPr>
            </w:pPr>
            <w:r>
              <w:rPr>
                <w:rFonts w:ascii="Times New Roman" w:cs="Times New Roman" w:eastAsia="Times New Roman" w:hAnsi="Times New Roman"/>
                <w:sz w:val="16"/>
                <w:szCs w:val="16"/>
                <w:b w:val="1"/>
                <w:bCs w:val="1"/>
                <w:color w:val="auto"/>
              </w:rPr>
              <w:t>Ltd.**</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3"/>
        </w:trPr>
        <w:tc>
          <w:tcPr>
            <w:tcW w:w="2840" w:type="dxa"/>
            <w:vAlign w:val="bottom"/>
            <w:gridSpan w:val="1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3,995,221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3,995,221</w:t>
            </w:r>
          </w:p>
        </w:tc>
      </w:tr>
      <w:tr>
        <w:trPr>
          <w:trHeight w:val="162"/>
        </w:trPr>
        <w:tc>
          <w:tcPr>
            <w:tcW w:w="2840" w:type="dxa"/>
            <w:vAlign w:val="bottom"/>
            <w:gridSpan w:val="14"/>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Learnist Inc. (f/k/a Grockit, Inc.)</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3"/>
        </w:trPr>
        <w:tc>
          <w:tcPr>
            <w:tcW w:w="2840" w:type="dxa"/>
            <w:vAlign w:val="bottom"/>
            <w:gridSpan w:val="1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2,319,014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27,283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2,346,297</w:t>
            </w:r>
          </w:p>
        </w:tc>
      </w:tr>
      <w:tr>
        <w:trPr>
          <w:trHeight w:val="203"/>
        </w:trPr>
        <w:tc>
          <w:tcPr>
            <w:tcW w:w="2840" w:type="dxa"/>
            <w:vAlign w:val="bottom"/>
            <w:gridSpan w:val="14"/>
          </w:tcPr>
          <w:p>
            <w:pPr>
              <w:ind w:left="20"/>
              <w:spacing w:after="0"/>
              <w:rPr>
                <w:sz w:val="20"/>
                <w:szCs w:val="20"/>
                <w:color w:val="auto"/>
              </w:rPr>
            </w:pPr>
            <w:r>
              <w:rPr>
                <w:rFonts w:ascii="Times New Roman" w:cs="Times New Roman" w:eastAsia="Times New Roman" w:hAnsi="Times New Roman"/>
                <w:sz w:val="16"/>
                <w:szCs w:val="16"/>
                <w:color w:val="auto"/>
              </w:rPr>
              <w:t>Preferred shares, Series 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1,610,296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1,610,296</w:t>
            </w:r>
          </w:p>
        </w:tc>
      </w:tr>
      <w:tr>
        <w:trPr>
          <w:trHeight w:val="203"/>
        </w:trPr>
        <w:tc>
          <w:tcPr>
            <w:tcW w:w="2840" w:type="dxa"/>
            <w:vAlign w:val="bottom"/>
            <w:gridSpan w:val="1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F</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1,450,000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1,441,309</w:t>
            </w:r>
          </w:p>
        </w:tc>
      </w:tr>
      <w:tr>
        <w:trPr>
          <w:trHeight w:val="162"/>
        </w:trPr>
        <w:tc>
          <w:tcPr>
            <w:tcW w:w="2840" w:type="dxa"/>
            <w:vAlign w:val="bottom"/>
            <w:gridSpan w:val="14"/>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Maven Research, Inc.</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3"/>
        </w:trPr>
        <w:tc>
          <w:tcPr>
            <w:tcW w:w="2840" w:type="dxa"/>
            <w:vAlign w:val="bottom"/>
            <w:gridSpan w:val="1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C</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1,999,998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1,999,998</w:t>
            </w:r>
          </w:p>
        </w:tc>
      </w:tr>
      <w:tr>
        <w:trPr>
          <w:trHeight w:val="210"/>
        </w:trPr>
        <w:tc>
          <w:tcPr>
            <w:tcW w:w="2840" w:type="dxa"/>
            <w:vAlign w:val="bottom"/>
            <w:gridSpan w:val="14"/>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249,691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249,505</w:t>
            </w:r>
          </w:p>
        </w:tc>
      </w:tr>
    </w:tbl>
    <w:p>
      <w:pPr>
        <w:spacing w:after="0" w:line="200" w:lineRule="exact"/>
        <w:rPr>
          <w:sz w:val="20"/>
          <w:szCs w:val="20"/>
          <w:color w:val="auto"/>
        </w:rPr>
      </w:pPr>
    </w:p>
    <w:p>
      <w:pPr>
        <w:spacing w:after="0" w:line="34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57" w:name="page58"/>
    <w:bookmarkEnd w:id="57"/>
    <w:p>
      <w:pPr>
        <w:ind w:left="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Schedule of Investments in and Advances to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21398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Amount of</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Interest, Fees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or Dividends</w:t>
            </w:r>
          </w:p>
        </w:tc>
        <w:tc>
          <w:tcPr>
            <w:tcW w:w="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Fair Value at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Realized and</w:t>
            </w:r>
          </w:p>
        </w:tc>
        <w:tc>
          <w:tcPr>
            <w:tcW w:w="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Fair Value at</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Credited in</w:t>
            </w:r>
          </w:p>
        </w:tc>
        <w:tc>
          <w:tcPr>
            <w:tcW w:w="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w w:val="94"/>
              </w:rPr>
              <w:t>March 31,</w:t>
            </w:r>
          </w:p>
        </w:tc>
      </w:tr>
      <w:tr>
        <w:trPr>
          <w:trHeight w:val="165"/>
        </w:trPr>
        <w:tc>
          <w:tcPr>
            <w:tcW w:w="290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Company/Type of Investment*</w:t>
            </w:r>
          </w:p>
        </w:tc>
        <w:tc>
          <w:tcPr>
            <w:tcW w:w="10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8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Gains/Losses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w w:val="92"/>
              </w:rPr>
              <w:t>2015</w:t>
            </w:r>
          </w:p>
        </w:tc>
      </w:tr>
      <w:tr>
        <w:trPr>
          <w:trHeight w:val="156"/>
        </w:trPr>
        <w:tc>
          <w:tcPr>
            <w:tcW w:w="2900" w:type="dxa"/>
            <w:vAlign w:val="bottom"/>
            <w:tcBorders>
              <w:top w:val="single" w:sz="8" w:color="auto"/>
              <w:right w:val="single" w:sz="8" w:color="CCEEFF"/>
            </w:tcBorders>
            <w:gridSpan w:val="9"/>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Ozy Media, Inc.</w:t>
            </w:r>
          </w:p>
        </w:tc>
        <w:tc>
          <w:tcPr>
            <w:tcW w:w="1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right w:val="single" w:sz="8" w:color="CCEEFF"/>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203"/>
        </w:trPr>
        <w:tc>
          <w:tcPr>
            <w:tcW w:w="290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4,999,999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18,587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5,018,586</w:t>
            </w:r>
          </w:p>
        </w:tc>
      </w:tr>
      <w:tr>
        <w:trPr>
          <w:trHeight w:val="203"/>
        </w:trPr>
        <w:tc>
          <w:tcPr>
            <w:tcW w:w="2900" w:type="dxa"/>
            <w:vAlign w:val="bottom"/>
            <w:tcBorders>
              <w:right w:val="single" w:sz="8" w:color="CCEEFF"/>
            </w:tcBorders>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4,165,091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13,090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4,178,181</w:t>
            </w:r>
          </w:p>
        </w:tc>
      </w:tr>
      <w:tr>
        <w:trPr>
          <w:trHeight w:val="203"/>
        </w:trPr>
        <w:tc>
          <w:tcPr>
            <w:tcW w:w="290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Preferred shares, Series Seed</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127,000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1,700,000</w:t>
            </w:r>
          </w:p>
        </w:tc>
      </w:tr>
      <w:tr>
        <w:trPr>
          <w:trHeight w:val="162"/>
        </w:trPr>
        <w:tc>
          <w:tcPr>
            <w:tcW w:w="2900" w:type="dxa"/>
            <w:vAlign w:val="bottom"/>
            <w:tcBorders>
              <w:right w:val="single" w:sz="8" w:color="CCEEFF"/>
            </w:tcBorders>
            <w:gridSpan w:val="9"/>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PayNearMe, Inc.</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203"/>
        </w:trPr>
        <w:tc>
          <w:tcPr>
            <w:tcW w:w="290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Preferred shares, Series E</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9,982,064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3,999,998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13,974,887</w:t>
            </w:r>
          </w:p>
        </w:tc>
      </w:tr>
      <w:tr>
        <w:trPr>
          <w:trHeight w:val="162"/>
        </w:trPr>
        <w:tc>
          <w:tcPr>
            <w:tcW w:w="2900" w:type="dxa"/>
            <w:vAlign w:val="bottom"/>
            <w:tcBorders>
              <w:right w:val="single" w:sz="8" w:color="CCEEFF"/>
            </w:tcBorders>
            <w:gridSpan w:val="9"/>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The rSmart Group, Inc.</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203"/>
        </w:trPr>
        <w:tc>
          <w:tcPr>
            <w:tcW w:w="290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192,586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2,782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196,768</w:t>
            </w:r>
          </w:p>
        </w:tc>
      </w:tr>
      <w:tr>
        <w:trPr>
          <w:trHeight w:val="203"/>
        </w:trPr>
        <w:tc>
          <w:tcPr>
            <w:tcW w:w="2900" w:type="dxa"/>
            <w:vAlign w:val="bottom"/>
            <w:tcBorders>
              <w:right w:val="single" w:sz="8" w:color="CCEEFF"/>
            </w:tcBorders>
            <w:gridSpan w:val="9"/>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Strategic Data Command, LLC</w:t>
            </w:r>
            <w:r>
              <w:rPr>
                <w:rFonts w:ascii="Times New Roman" w:cs="Times New Roman" w:eastAsia="Times New Roman" w:hAnsi="Times New Roman"/>
                <w:sz w:val="23"/>
                <w:szCs w:val="23"/>
                <w:b w:val="1"/>
                <w:bCs w:val="1"/>
                <w:color w:val="auto"/>
                <w:vertAlign w:val="superscript"/>
              </w:rPr>
              <w:t>(3)</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203"/>
        </w:trPr>
        <w:tc>
          <w:tcPr>
            <w:tcW w:w="290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w:t>
            </w:r>
          </w:p>
        </w:tc>
      </w:tr>
      <w:tr>
        <w:trPr>
          <w:trHeight w:val="162"/>
        </w:trPr>
        <w:tc>
          <w:tcPr>
            <w:tcW w:w="2900" w:type="dxa"/>
            <w:vAlign w:val="bottom"/>
            <w:tcBorders>
              <w:right w:val="single" w:sz="8" w:color="CCEEFF"/>
            </w:tcBorders>
            <w:gridSpan w:val="9"/>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Totus Solutions, Inc.</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89"/>
        </w:trPr>
        <w:tc>
          <w:tcPr>
            <w:tcW w:w="290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Convertible Promissory Note 6%,</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2880" w:type="dxa"/>
            <w:vAlign w:val="bottom"/>
            <w:gridSpan w:val="8"/>
          </w:tcPr>
          <w:p>
            <w:pPr>
              <w:ind w:left="180"/>
              <w:spacing w:after="0"/>
              <w:rPr>
                <w:sz w:val="20"/>
                <w:szCs w:val="20"/>
                <w:color w:val="auto"/>
              </w:rPr>
            </w:pPr>
            <w:r>
              <w:rPr>
                <w:rFonts w:ascii="Times New Roman" w:cs="Times New Roman" w:eastAsia="Times New Roman" w:hAnsi="Times New Roman"/>
                <w:sz w:val="16"/>
                <w:szCs w:val="16"/>
                <w:color w:val="auto"/>
              </w:rPr>
              <w:t>Expiration Date, 4/01/2016***</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79,550</w:t>
            </w:r>
          </w:p>
        </w:tc>
      </w:tr>
      <w:tr>
        <w:trPr>
          <w:trHeight w:val="206"/>
        </w:trPr>
        <w:tc>
          <w:tcPr>
            <w:tcW w:w="2900" w:type="dxa"/>
            <w:vAlign w:val="bottom"/>
            <w:tcBorders>
              <w:right w:val="single" w:sz="8" w:color="CCEEFF"/>
            </w:tcBorders>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(53,858)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75,044</w:t>
            </w:r>
          </w:p>
        </w:tc>
      </w:tr>
      <w:tr>
        <w:trPr>
          <w:trHeight w:val="203"/>
        </w:trPr>
        <w:tc>
          <w:tcPr>
            <w:tcW w:w="290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900" w:type="dxa"/>
            <w:vAlign w:val="bottom"/>
            <w:tcBorders>
              <w:right w:val="single" w:sz="8" w:color="CCEEFF"/>
            </w:tcBorders>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r>
      <w:tr>
        <w:trPr>
          <w:trHeight w:val="156"/>
        </w:trPr>
        <w:tc>
          <w:tcPr>
            <w:tcW w:w="2900" w:type="dxa"/>
            <w:vAlign w:val="bottom"/>
            <w:gridSpan w:val="9"/>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Total Affiliate Investments</w:t>
            </w: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51,231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w w:val="99"/>
              </w:rPr>
              <w:t>70,172,313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u w:val="single" w:color="auto"/>
                <w:color w:val="auto"/>
              </w:rPr>
              <w:t>$</w:t>
            </w: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w w:val="99"/>
              </w:rPr>
              <w:t>75,411,267</w:t>
            </w: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-334010</wp:posOffset>
            </wp:positionV>
            <wp:extent cx="5213985" cy="146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32" w:lineRule="exact"/>
        <w:rPr>
          <w:sz w:val="20"/>
          <w:szCs w:val="20"/>
          <w:color w:val="auto"/>
        </w:rPr>
      </w:pPr>
    </w:p>
    <w:p>
      <w:pPr>
        <w:ind w:left="300" w:right="539" w:hanging="272"/>
        <w:spacing w:after="0" w:line="282" w:lineRule="auto"/>
        <w:tabs>
          <w:tab w:leader="none" w:pos="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portfolio investments are non-control/non-affiliated and non-income producing, unless identified. Equity investments are subject to lock-up restrictions upon their initial public offering.</w:t>
      </w:r>
    </w:p>
    <w:p>
      <w:pPr>
        <w:spacing w:after="0" w:line="54" w:lineRule="exact"/>
        <w:rPr>
          <w:sz w:val="20"/>
          <w:szCs w:val="20"/>
          <w:color w:val="auto"/>
        </w:rPr>
      </w:pPr>
    </w:p>
    <w:p>
      <w:pPr>
        <w:ind w:left="300" w:right="519" w:hanging="272"/>
        <w:spacing w:after="0" w:line="282" w:lineRule="auto"/>
        <w:tabs>
          <w:tab w:leader="none" w:pos="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assets that GSV Capital Corp. believes do not represent “qualifying assets” under Section 55(a) of the Investment Company Act of 1940, as amended.</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is income producing.</w:t>
      </w:r>
    </w:p>
    <w:p>
      <w:pPr>
        <w:spacing w:after="0" w:line="117" w:lineRule="exact"/>
        <w:rPr>
          <w:sz w:val="20"/>
          <w:szCs w:val="20"/>
          <w:color w:val="auto"/>
        </w:rPr>
      </w:pPr>
    </w:p>
    <w:p>
      <w:pPr>
        <w:ind w:left="300" w:hanging="272"/>
        <w:spacing w:after="0"/>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GSV Capital Corp.’s investment in StormWind, LLC is held through its wholly-owned subsidiary GSVC SW Holdings, Inc.</w:t>
      </w:r>
    </w:p>
    <w:p>
      <w:pPr>
        <w:spacing w:after="0" w:line="117" w:lineRule="exact"/>
        <w:rPr>
          <w:rFonts w:ascii="Times New Roman" w:cs="Times New Roman" w:eastAsia="Times New Roman" w:hAnsi="Times New Roman"/>
          <w:sz w:val="18"/>
          <w:szCs w:val="18"/>
          <w:color w:val="auto"/>
        </w:rPr>
      </w:pPr>
    </w:p>
    <w:p>
      <w:pPr>
        <w:ind w:left="300" w:right="519" w:hanging="272"/>
        <w:spacing w:after="0" w:line="282" w:lineRule="auto"/>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GSV Capital Corp.’s investment in Whittle Schools, LLC is held through its wholly-owned subsidiary GSVC WS Holdings, Inc. Whittle Schools, LLC is an investment whose economics are derived from the value of Avenues Global Holdings LLC.</w:t>
      </w:r>
    </w:p>
    <w:p>
      <w:pPr>
        <w:spacing w:after="0" w:line="53" w:lineRule="exact"/>
        <w:rPr>
          <w:rFonts w:ascii="Times New Roman" w:cs="Times New Roman" w:eastAsia="Times New Roman" w:hAnsi="Times New Roman"/>
          <w:sz w:val="18"/>
          <w:szCs w:val="18"/>
          <w:color w:val="auto"/>
        </w:rPr>
      </w:pPr>
    </w:p>
    <w:p>
      <w:pPr>
        <w:ind w:left="300" w:right="539" w:hanging="272"/>
        <w:spacing w:after="0" w:line="282" w:lineRule="auto"/>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GSV Capital Corp.’s investment in Strategic Data Command, LLC is held through its wholly-owned subsidiary GSVC SVDS Holdings, Inc.</w:t>
      </w:r>
    </w:p>
    <w:p>
      <w:pPr>
        <w:spacing w:after="0" w:line="53" w:lineRule="exact"/>
        <w:rPr>
          <w:rFonts w:ascii="Times New Roman" w:cs="Times New Roman" w:eastAsia="Times New Roman" w:hAnsi="Times New Roman"/>
          <w:sz w:val="18"/>
          <w:szCs w:val="18"/>
          <w:color w:val="auto"/>
        </w:rPr>
      </w:pPr>
    </w:p>
    <w:p>
      <w:pPr>
        <w:jc w:val="both"/>
        <w:ind w:left="300" w:right="519" w:hanging="272"/>
        <w:spacing w:after="0" w:line="261" w:lineRule="auto"/>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22, 2013, Cricket Media (f/k/a ePals Inc.), priced its initial public offering, selling 40,267,333 shares at a price of CAD $0.075 per share. At March 31, 2015, GSV Capital Corp. valued Cricket Media (f/k/a ePals Inc.), based on its March 31, 2015 closing price. GSV Capital Corp.’s Chief Executive Officer, Michael Moe, is a Board member of Cricket Media (f/k/a ePals Inc.), which subjects GSV Capital Corp. to insider trading restrictions under Canadian securities law.</w:t>
      </w:r>
    </w:p>
    <w:p>
      <w:pPr>
        <w:spacing w:after="0" w:line="71" w:lineRule="exact"/>
        <w:rPr>
          <w:rFonts w:ascii="Times New Roman" w:cs="Times New Roman" w:eastAsia="Times New Roman" w:hAnsi="Times New Roman"/>
          <w:sz w:val="18"/>
          <w:szCs w:val="18"/>
          <w:color w:val="auto"/>
        </w:rPr>
      </w:pPr>
    </w:p>
    <w:p>
      <w:pPr>
        <w:jc w:val="both"/>
        <w:ind w:left="300" w:right="539" w:hanging="272"/>
        <w:spacing w:after="0" w:line="266" w:lineRule="auto"/>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will accrue daily on the unpaid principal balance of the note. Accrued interest is not payable until the earlier of a) the closing of a subsequent equity offering by CUX, Inc., or b) the maturity of the note (November 26, 2018). Interest will compound annually beginning on November 26, 2015.</w:t>
      </w:r>
    </w:p>
    <w:p>
      <w:pPr>
        <w:spacing w:after="0" w:line="200" w:lineRule="exact"/>
        <w:rPr>
          <w:sz w:val="20"/>
          <w:szCs w:val="20"/>
          <w:color w:val="auto"/>
        </w:rPr>
      </w:pPr>
    </w:p>
    <w:p>
      <w:pPr>
        <w:spacing w:after="0" w:line="3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58" w:name="page59"/>
    <w:bookmarkEnd w:id="58"/>
    <w:p>
      <w:pPr>
        <w:ind w:left="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Schedule 12-14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Schedule of Investments in and Advances to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21398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Amount of</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Interest, Fees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or Dividends</w:t>
            </w:r>
          </w:p>
        </w:tc>
        <w:tc>
          <w:tcPr>
            <w:tcW w:w="8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Fair Value at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Realized and</w:t>
            </w:r>
          </w:p>
        </w:tc>
        <w:tc>
          <w:tcPr>
            <w:tcW w:w="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Fair Value at</w:t>
            </w: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Credited in</w:t>
            </w:r>
          </w:p>
        </w:tc>
        <w:tc>
          <w:tcPr>
            <w:tcW w:w="8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Unrealized</w:t>
            </w:r>
          </w:p>
        </w:tc>
        <w:tc>
          <w:tcPr>
            <w:tcW w:w="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65"/>
        </w:trPr>
        <w:tc>
          <w:tcPr>
            <w:tcW w:w="2840" w:type="dxa"/>
            <w:vAlign w:val="bottom"/>
            <w:tcBorders>
              <w:bottom w:val="single" w:sz="8" w:color="auto"/>
            </w:tcBorders>
            <w:gridSpan w:val="13"/>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Company/Type of Investment*</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w w:val="95"/>
              </w:rPr>
              <w:t>Purchases</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Sales</w:t>
            </w:r>
          </w:p>
        </w:tc>
        <w:tc>
          <w:tcPr>
            <w:tcW w:w="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Gains/Losses</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2014</w:t>
            </w:r>
          </w:p>
        </w:tc>
      </w:tr>
      <w:tr>
        <w:trPr>
          <w:trHeight w:val="156"/>
        </w:trPr>
        <w:tc>
          <w:tcPr>
            <w:tcW w:w="2840" w:type="dxa"/>
            <w:vAlign w:val="bottom"/>
            <w:gridSpan w:val="13"/>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Control Investments</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62"/>
        </w:trPr>
        <w:tc>
          <w:tcPr>
            <w:tcW w:w="2840" w:type="dxa"/>
            <w:vAlign w:val="bottom"/>
            <w:gridSpan w:val="1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AlwaysOn, Inc.</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3"/>
        </w:trPr>
        <w:tc>
          <w:tcPr>
            <w:tcW w:w="2840" w:type="dxa"/>
            <w:vAlign w:val="bottom"/>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A-1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251,240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(359,988)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491,252</w:t>
            </w:r>
          </w:p>
        </w:tc>
      </w:tr>
      <w:tr>
        <w:trPr>
          <w:trHeight w:val="203"/>
        </w:trPr>
        <w:tc>
          <w:tcPr>
            <w:tcW w:w="284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203,011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3"/>
              <w:spacing w:after="0"/>
              <w:rPr>
                <w:sz w:val="20"/>
                <w:szCs w:val="20"/>
                <w:color w:val="auto"/>
              </w:rPr>
            </w:pPr>
            <w:r>
              <w:rPr>
                <w:rFonts w:ascii="Times New Roman" w:cs="Times New Roman" w:eastAsia="Times New Roman" w:hAnsi="Times New Roman"/>
                <w:sz w:val="16"/>
                <w:szCs w:val="16"/>
                <w:color w:val="auto"/>
              </w:rPr>
              <w:t>426,298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629,309</w:t>
            </w:r>
          </w:p>
        </w:tc>
      </w:tr>
      <w:tr>
        <w:trPr>
          <w:trHeight w:val="189"/>
        </w:trPr>
        <w:tc>
          <w:tcPr>
            <w:tcW w:w="2840" w:type="dxa"/>
            <w:vAlign w:val="bottom"/>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warrants Series A-1, $0.19 strike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r>
      <w:tr>
        <w:trPr>
          <w:trHeight w:val="216"/>
        </w:trPr>
        <w:tc>
          <w:tcPr>
            <w:tcW w:w="20" w:type="dxa"/>
            <w:vAlign w:val="bottom"/>
            <w:shd w:val="clear" w:color="auto" w:fill="CCEEFF"/>
          </w:tcPr>
          <w:p>
            <w:pPr>
              <w:spacing w:after="0"/>
              <w:rPr>
                <w:sz w:val="18"/>
                <w:szCs w:val="18"/>
                <w:color w:val="auto"/>
              </w:rPr>
            </w:pPr>
          </w:p>
        </w:tc>
        <w:tc>
          <w:tcPr>
            <w:tcW w:w="2820" w:type="dxa"/>
            <w:vAlign w:val="bottom"/>
            <w:gridSpan w:val="1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price, expire 12/31/2014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284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Preferred warrants Series A, $1.00 strike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2820" w:type="dxa"/>
            <w:vAlign w:val="bottom"/>
            <w:gridSpan w:val="12"/>
          </w:tcPr>
          <w:p>
            <w:pPr>
              <w:ind w:left="180"/>
              <w:spacing w:after="0"/>
              <w:rPr>
                <w:sz w:val="20"/>
                <w:szCs w:val="20"/>
                <w:color w:val="auto"/>
              </w:rPr>
            </w:pPr>
            <w:r>
              <w:rPr>
                <w:rFonts w:ascii="Times New Roman" w:cs="Times New Roman" w:eastAsia="Times New Roman" w:hAnsi="Times New Roman"/>
                <w:sz w:val="16"/>
                <w:szCs w:val="16"/>
                <w:color w:val="auto"/>
              </w:rPr>
              <w:t>price, expire 1/9/2017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2840" w:type="dxa"/>
            <w:vAlign w:val="bottom"/>
            <w:gridSpan w:val="13"/>
            <w:shd w:val="clear" w:color="auto" w:fill="CCEEFF"/>
          </w:tcPr>
          <w:p>
            <w:pPr>
              <w:ind w:left="20"/>
              <w:spacing w:after="0" w:line="205" w:lineRule="exact"/>
              <w:rPr>
                <w:sz w:val="20"/>
                <w:szCs w:val="20"/>
                <w:color w:val="auto"/>
              </w:rPr>
            </w:pPr>
            <w:r>
              <w:rPr>
                <w:rFonts w:ascii="Times New Roman" w:cs="Times New Roman" w:eastAsia="Times New Roman" w:hAnsi="Times New Roman"/>
                <w:sz w:val="14"/>
                <w:szCs w:val="14"/>
                <w:b w:val="1"/>
                <w:bCs w:val="1"/>
                <w:color w:val="auto"/>
              </w:rPr>
              <w:t>StormWind, LLC</w:t>
            </w:r>
            <w:r>
              <w:rPr>
                <w:rFonts w:ascii="Times New Roman" w:cs="Times New Roman" w:eastAsia="Times New Roman" w:hAnsi="Times New Roman"/>
                <w:sz w:val="23"/>
                <w:szCs w:val="23"/>
                <w:b w:val="1"/>
                <w:bCs w:val="1"/>
                <w:color w:val="auto"/>
                <w:vertAlign w:val="superscript"/>
              </w:rPr>
              <w:t>(1)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203"/>
        </w:trPr>
        <w:tc>
          <w:tcPr>
            <w:tcW w:w="284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Preferred shares, Series C</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4,000,787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3"/>
              <w:spacing w:after="0"/>
              <w:rPr>
                <w:sz w:val="20"/>
                <w:szCs w:val="20"/>
                <w:color w:val="auto"/>
              </w:rPr>
            </w:pPr>
            <w:r>
              <w:rPr>
                <w:rFonts w:ascii="Times New Roman" w:cs="Times New Roman" w:eastAsia="Times New Roman" w:hAnsi="Times New Roman"/>
                <w:sz w:val="16"/>
                <w:szCs w:val="16"/>
                <w:color w:val="auto"/>
              </w:rPr>
              <w:t>338,043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4,338,830</w:t>
            </w:r>
          </w:p>
        </w:tc>
      </w:tr>
      <w:tr>
        <w:trPr>
          <w:trHeight w:val="203"/>
        </w:trPr>
        <w:tc>
          <w:tcPr>
            <w:tcW w:w="2840" w:type="dxa"/>
            <w:vAlign w:val="bottom"/>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4,205,142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142,466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4,347,608</w:t>
            </w:r>
          </w:p>
        </w:tc>
      </w:tr>
      <w:tr>
        <w:trPr>
          <w:trHeight w:val="203"/>
        </w:trPr>
        <w:tc>
          <w:tcPr>
            <w:tcW w:w="284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3"/>
              <w:spacing w:after="0"/>
              <w:rPr>
                <w:sz w:val="20"/>
                <w:szCs w:val="20"/>
                <w:color w:val="auto"/>
              </w:rPr>
            </w:pPr>
            <w:r>
              <w:rPr>
                <w:rFonts w:ascii="Times New Roman" w:cs="Times New Roman" w:eastAsia="Times New Roman" w:hAnsi="Times New Roman"/>
                <w:sz w:val="16"/>
                <w:szCs w:val="16"/>
                <w:color w:val="auto"/>
              </w:rPr>
              <w:t>281,592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391,592</w:t>
            </w:r>
          </w:p>
        </w:tc>
      </w:tr>
      <w:tr>
        <w:trPr>
          <w:trHeight w:val="189"/>
        </w:trPr>
        <w:tc>
          <w:tcPr>
            <w:tcW w:w="2840" w:type="dxa"/>
            <w:vAlign w:val="bottom"/>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Unit Warrants $1.76 Strike Price,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r>
      <w:tr>
        <w:trPr>
          <w:trHeight w:val="216"/>
        </w:trPr>
        <w:tc>
          <w:tcPr>
            <w:tcW w:w="20" w:type="dxa"/>
            <w:vAlign w:val="bottom"/>
            <w:shd w:val="clear" w:color="auto" w:fill="CCEEFF"/>
          </w:tcPr>
          <w:p>
            <w:pPr>
              <w:spacing w:after="0"/>
              <w:rPr>
                <w:sz w:val="18"/>
                <w:szCs w:val="18"/>
                <w:color w:val="auto"/>
              </w:rPr>
            </w:pPr>
          </w:p>
        </w:tc>
        <w:tc>
          <w:tcPr>
            <w:tcW w:w="2820" w:type="dxa"/>
            <w:vAlign w:val="bottom"/>
            <w:gridSpan w:val="1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Expiration Date 1/6/15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62"/>
        </w:trPr>
        <w:tc>
          <w:tcPr>
            <w:tcW w:w="2840" w:type="dxa"/>
            <w:vAlign w:val="bottom"/>
            <w:gridSpan w:val="1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NestGSV, Inc. (d/b/a GSV Labs, Inc.)</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3"/>
        </w:trPr>
        <w:tc>
          <w:tcPr>
            <w:tcW w:w="2840" w:type="dxa"/>
            <w:vAlign w:val="bottom"/>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1,188,137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(748,137)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440,000</w:t>
            </w:r>
          </w:p>
        </w:tc>
      </w:tr>
      <w:tr>
        <w:trPr>
          <w:trHeight w:val="203"/>
        </w:trPr>
        <w:tc>
          <w:tcPr>
            <w:tcW w:w="284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594,068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(328,088)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265,980</w:t>
            </w:r>
          </w:p>
        </w:tc>
      </w:tr>
      <w:tr>
        <w:trPr>
          <w:trHeight w:val="203"/>
        </w:trPr>
        <w:tc>
          <w:tcPr>
            <w:tcW w:w="2840" w:type="dxa"/>
            <w:vAlign w:val="bottom"/>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C</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2,005,730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(501,898)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1,503,832</w:t>
            </w:r>
          </w:p>
        </w:tc>
      </w:tr>
      <w:tr>
        <w:trPr>
          <w:trHeight w:val="203"/>
        </w:trPr>
        <w:tc>
          <w:tcPr>
            <w:tcW w:w="284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Preferred shares, Series 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1,404,499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3"/>
              <w:spacing w:after="0"/>
              <w:rPr>
                <w:sz w:val="20"/>
                <w:szCs w:val="20"/>
                <w:color w:val="auto"/>
              </w:rPr>
            </w:pPr>
            <w:r>
              <w:rPr>
                <w:rFonts w:ascii="Times New Roman" w:cs="Times New Roman" w:eastAsia="Times New Roman" w:hAnsi="Times New Roman"/>
                <w:sz w:val="16"/>
                <w:szCs w:val="16"/>
                <w:color w:val="auto"/>
              </w:rPr>
              <w:t>56,058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1,460,557</w:t>
            </w:r>
          </w:p>
        </w:tc>
      </w:tr>
      <w:tr>
        <w:trPr>
          <w:trHeight w:val="203"/>
        </w:trPr>
        <w:tc>
          <w:tcPr>
            <w:tcW w:w="2840" w:type="dxa"/>
            <w:vAlign w:val="bottom"/>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03"/>
        </w:trPr>
        <w:tc>
          <w:tcPr>
            <w:tcW w:w="284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Convertible Promissory Note***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10,233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80" w:type="dxa"/>
            <w:vAlign w:val="bottom"/>
          </w:tcPr>
          <w:p>
            <w:pPr>
              <w:spacing w:after="0"/>
              <w:rPr>
                <w:sz w:val="17"/>
                <w:szCs w:val="17"/>
                <w:color w:val="auto"/>
              </w:rPr>
            </w:pP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2840" w:type="dxa"/>
            <w:vAlign w:val="bottom"/>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warrants, Series C – $1.33 Strike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r>
      <w:tr>
        <w:trPr>
          <w:trHeight w:val="203"/>
        </w:trPr>
        <w:tc>
          <w:tcPr>
            <w:tcW w:w="20" w:type="dxa"/>
            <w:vAlign w:val="bottom"/>
            <w:shd w:val="clear" w:color="auto" w:fill="CCEEFF"/>
          </w:tcPr>
          <w:p>
            <w:pPr>
              <w:spacing w:after="0"/>
              <w:rPr>
                <w:sz w:val="17"/>
                <w:szCs w:val="17"/>
                <w:color w:val="auto"/>
              </w:rPr>
            </w:pPr>
          </w:p>
        </w:tc>
        <w:tc>
          <w:tcPr>
            <w:tcW w:w="2820" w:type="dxa"/>
            <w:vAlign w:val="bottom"/>
            <w:gridSpan w:val="1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Price, Expiration</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r>
      <w:tr>
        <w:trPr>
          <w:trHeight w:val="216"/>
        </w:trPr>
        <w:tc>
          <w:tcPr>
            <w:tcW w:w="20" w:type="dxa"/>
            <w:vAlign w:val="bottom"/>
            <w:shd w:val="clear" w:color="auto" w:fill="CCEEFF"/>
          </w:tcPr>
          <w:p>
            <w:pPr>
              <w:spacing w:after="0"/>
              <w:rPr>
                <w:sz w:val="18"/>
                <w:szCs w:val="18"/>
                <w:color w:val="auto"/>
              </w:rPr>
            </w:pPr>
          </w:p>
        </w:tc>
        <w:tc>
          <w:tcPr>
            <w:tcW w:w="2820" w:type="dxa"/>
            <w:vAlign w:val="bottom"/>
            <w:gridSpan w:val="1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Date 4/9/2019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24,375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24,375</w:t>
            </w:r>
          </w:p>
        </w:tc>
      </w:tr>
      <w:tr>
        <w:trPr>
          <w:trHeight w:val="189"/>
        </w:trPr>
        <w:tc>
          <w:tcPr>
            <w:tcW w:w="284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Preferred Warrant Series D – $1.33 Strike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2820" w:type="dxa"/>
            <w:vAlign w:val="bottom"/>
            <w:gridSpan w:val="12"/>
          </w:tcPr>
          <w:p>
            <w:pPr>
              <w:ind w:left="180"/>
              <w:spacing w:after="0"/>
              <w:rPr>
                <w:sz w:val="20"/>
                <w:szCs w:val="20"/>
                <w:color w:val="auto"/>
              </w:rPr>
            </w:pPr>
            <w:r>
              <w:rPr>
                <w:rFonts w:ascii="Times New Roman" w:cs="Times New Roman" w:eastAsia="Times New Roman" w:hAnsi="Times New Roman"/>
                <w:sz w:val="16"/>
                <w:szCs w:val="16"/>
                <w:color w:val="auto"/>
              </w:rPr>
              <w:t>Price, Expiration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820" w:type="dxa"/>
            <w:vAlign w:val="bottom"/>
            <w:gridSpan w:val="12"/>
          </w:tcPr>
          <w:p>
            <w:pPr>
              <w:ind w:left="180"/>
              <w:spacing w:after="0"/>
              <w:rPr>
                <w:sz w:val="20"/>
                <w:szCs w:val="20"/>
                <w:color w:val="auto"/>
              </w:rPr>
            </w:pPr>
            <w:r>
              <w:rPr>
                <w:rFonts w:ascii="Times New Roman" w:cs="Times New Roman" w:eastAsia="Times New Roman" w:hAnsi="Times New Roman"/>
                <w:sz w:val="16"/>
                <w:szCs w:val="16"/>
                <w:color w:val="auto"/>
              </w:rPr>
              <w:t>Date 10/6/2019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3"/>
              <w:spacing w:after="0"/>
              <w:rPr>
                <w:sz w:val="20"/>
                <w:szCs w:val="20"/>
                <w:color w:val="auto"/>
              </w:rPr>
            </w:pPr>
            <w:r>
              <w:rPr>
                <w:rFonts w:ascii="Times New Roman" w:cs="Times New Roman" w:eastAsia="Times New Roman" w:hAnsi="Times New Roman"/>
                <w:sz w:val="16"/>
                <w:szCs w:val="16"/>
                <w:color w:val="auto"/>
              </w:rPr>
              <w:t>65,000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65,000</w:t>
            </w:r>
          </w:p>
        </w:tc>
      </w:tr>
      <w:tr>
        <w:trPr>
          <w:trHeight w:val="165"/>
        </w:trPr>
        <w:tc>
          <w:tcPr>
            <w:tcW w:w="2840" w:type="dxa"/>
            <w:vAlign w:val="bottom"/>
            <w:gridSpan w:val="13"/>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GSV Sustainability Partners</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203"/>
        </w:trPr>
        <w:tc>
          <w:tcPr>
            <w:tcW w:w="284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Preferred shares, Class A</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4,851,256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4,850,000</w:t>
            </w:r>
          </w:p>
        </w:tc>
      </w:tr>
      <w:tr>
        <w:trPr>
          <w:trHeight w:val="203"/>
        </w:trPr>
        <w:tc>
          <w:tcPr>
            <w:tcW w:w="2840" w:type="dxa"/>
            <w:vAlign w:val="bottom"/>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r>
      <w:tr>
        <w:trPr>
          <w:trHeight w:val="156"/>
        </w:trPr>
        <w:tc>
          <w:tcPr>
            <w:tcW w:w="2840" w:type="dxa"/>
            <w:vAlign w:val="bottom"/>
            <w:gridSpan w:val="13"/>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Total Control Investments</w:t>
            </w:r>
          </w:p>
        </w:tc>
        <w:tc>
          <w:tcPr>
            <w:tcW w:w="1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6"/>
                <w:szCs w:val="16"/>
                <w:b w:val="1"/>
                <w:bCs w:val="1"/>
                <w:color w:val="auto"/>
              </w:rPr>
              <w:t>10,233</w:t>
            </w:r>
          </w:p>
        </w:tc>
        <w:tc>
          <w:tcPr>
            <w:tcW w:w="1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w w:val="99"/>
              </w:rPr>
              <w:t>6,790,358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u w:val="single" w:color="auto"/>
                <w:color w:val="auto"/>
              </w:rPr>
              <w:t>$</w:t>
            </w: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w w:val="99"/>
              </w:rPr>
              <w:t>18,819,335</w:t>
            </w: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56"/>
        </w:trPr>
        <w:tc>
          <w:tcPr>
            <w:tcW w:w="2840" w:type="dxa"/>
            <w:vAlign w:val="bottom"/>
            <w:gridSpan w:val="13"/>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Affiliate Investments</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203"/>
        </w:trPr>
        <w:tc>
          <w:tcPr>
            <w:tcW w:w="2840" w:type="dxa"/>
            <w:vAlign w:val="bottom"/>
            <w:gridSpan w:val="13"/>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Whittle Schools, LLC</w:t>
            </w:r>
            <w:r>
              <w:rPr>
                <w:rFonts w:ascii="Times New Roman" w:cs="Times New Roman" w:eastAsia="Times New Roman" w:hAnsi="Times New Roman"/>
                <w:sz w:val="23"/>
                <w:szCs w:val="23"/>
                <w:b w:val="1"/>
                <w:bCs w:val="1"/>
                <w:color w:val="auto"/>
                <w:vertAlign w:val="superscript"/>
              </w:rPr>
              <w:t>(2)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3"/>
        </w:trPr>
        <w:tc>
          <w:tcPr>
            <w:tcW w:w="2840" w:type="dxa"/>
            <w:vAlign w:val="bottom"/>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3,000,000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3,000,000</w:t>
            </w:r>
          </w:p>
        </w:tc>
      </w:tr>
      <w:tr>
        <w:trPr>
          <w:trHeight w:val="203"/>
        </w:trPr>
        <w:tc>
          <w:tcPr>
            <w:tcW w:w="284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1,500,000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(45,363)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1,500,000</w:t>
            </w:r>
          </w:p>
        </w:tc>
      </w:tr>
      <w:tr>
        <w:trPr>
          <w:trHeight w:val="162"/>
        </w:trPr>
        <w:tc>
          <w:tcPr>
            <w:tcW w:w="2840" w:type="dxa"/>
            <w:vAlign w:val="bottom"/>
            <w:gridSpan w:val="13"/>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Circle Media (f/k/a S3 Digital Corp.</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2460" w:type="dxa"/>
            <w:vAlign w:val="bottom"/>
            <w:tcBorders>
              <w:top w:val="single" w:sz="8" w:color="auto"/>
            </w:tcBorders>
            <w:gridSpan w:val="10"/>
            <w:shd w:val="clear" w:color="auto" w:fill="CCEEFF"/>
          </w:tcPr>
          <w:p>
            <w:pPr>
              <w:ind w:left="180"/>
              <w:spacing w:after="0" w:line="183" w:lineRule="exact"/>
              <w:rPr>
                <w:sz w:val="20"/>
                <w:szCs w:val="20"/>
                <w:color w:val="auto"/>
              </w:rPr>
            </w:pPr>
            <w:r>
              <w:rPr>
                <w:rFonts w:ascii="Times New Roman" w:cs="Times New Roman" w:eastAsia="Times New Roman" w:hAnsi="Times New Roman"/>
                <w:sz w:val="16"/>
                <w:szCs w:val="16"/>
                <w:b w:val="1"/>
                <w:bCs w:val="1"/>
                <w:color w:val="auto"/>
              </w:rPr>
              <w:t>(d/b/a S3i)</w:t>
            </w:r>
          </w:p>
        </w:tc>
        <w:tc>
          <w:tcPr>
            <w:tcW w:w="360" w:type="dxa"/>
            <w:vAlign w:val="bottom"/>
            <w:tcBorders>
              <w:top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right w:val="single" w:sz="8" w:color="CCEEFF"/>
            </w:tcBorders>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203"/>
        </w:trPr>
        <w:tc>
          <w:tcPr>
            <w:tcW w:w="284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1,168,847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507,001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3"/>
              <w:spacing w:after="0"/>
              <w:rPr>
                <w:sz w:val="20"/>
                <w:szCs w:val="20"/>
                <w:color w:val="auto"/>
              </w:rPr>
            </w:pPr>
            <w:r>
              <w:rPr>
                <w:rFonts w:ascii="Times New Roman" w:cs="Times New Roman" w:eastAsia="Times New Roman" w:hAnsi="Times New Roman"/>
                <w:sz w:val="16"/>
                <w:szCs w:val="16"/>
                <w:color w:val="auto"/>
              </w:rPr>
              <w:t>29,158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1,705,006</w:t>
            </w:r>
          </w:p>
        </w:tc>
      </w:tr>
      <w:tr>
        <w:trPr>
          <w:trHeight w:val="203"/>
        </w:trPr>
        <w:tc>
          <w:tcPr>
            <w:tcW w:w="2840" w:type="dxa"/>
            <w:vAlign w:val="bottom"/>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12%, 09/30/15***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31,423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15,243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288,114</w:t>
            </w:r>
          </w:p>
        </w:tc>
      </w:tr>
      <w:tr>
        <w:trPr>
          <w:trHeight w:val="189"/>
        </w:trPr>
        <w:tc>
          <w:tcPr>
            <w:tcW w:w="284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Preferred warrants, $1.17 Strike Price,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2820" w:type="dxa"/>
            <w:vAlign w:val="bottom"/>
            <w:gridSpan w:val="12"/>
          </w:tcPr>
          <w:p>
            <w:pPr>
              <w:ind w:left="180"/>
              <w:spacing w:after="0"/>
              <w:rPr>
                <w:sz w:val="20"/>
                <w:szCs w:val="20"/>
                <w:color w:val="auto"/>
              </w:rPr>
            </w:pPr>
            <w:r>
              <w:rPr>
                <w:rFonts w:ascii="Times New Roman" w:cs="Times New Roman" w:eastAsia="Times New Roman" w:hAnsi="Times New Roman"/>
                <w:sz w:val="16"/>
                <w:szCs w:val="16"/>
                <w:color w:val="auto"/>
              </w:rPr>
              <w:t>Expiration Date 08/29/2021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3"/>
              <w:spacing w:after="0"/>
              <w:rPr>
                <w:sz w:val="20"/>
                <w:szCs w:val="20"/>
                <w:color w:val="auto"/>
              </w:rPr>
            </w:pPr>
            <w:r>
              <w:rPr>
                <w:rFonts w:ascii="Times New Roman" w:cs="Times New Roman" w:eastAsia="Times New Roman" w:hAnsi="Times New Roman"/>
                <w:sz w:val="16"/>
                <w:szCs w:val="16"/>
                <w:color w:val="auto"/>
              </w:rPr>
              <w:t>58,019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58,019</w:t>
            </w:r>
          </w:p>
        </w:tc>
      </w:tr>
      <w:tr>
        <w:trPr>
          <w:trHeight w:val="192"/>
        </w:trPr>
        <w:tc>
          <w:tcPr>
            <w:tcW w:w="2840" w:type="dxa"/>
            <w:vAlign w:val="bottom"/>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warrants, $1.17 Strike Price,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r>
      <w:tr>
        <w:trPr>
          <w:trHeight w:val="216"/>
        </w:trPr>
        <w:tc>
          <w:tcPr>
            <w:tcW w:w="20" w:type="dxa"/>
            <w:vAlign w:val="bottom"/>
            <w:shd w:val="clear" w:color="auto" w:fill="CCEEFF"/>
          </w:tcPr>
          <w:p>
            <w:pPr>
              <w:spacing w:after="0"/>
              <w:rPr>
                <w:sz w:val="18"/>
                <w:szCs w:val="18"/>
                <w:color w:val="auto"/>
              </w:rPr>
            </w:pPr>
          </w:p>
        </w:tc>
        <w:tc>
          <w:tcPr>
            <w:tcW w:w="2820" w:type="dxa"/>
            <w:vAlign w:val="bottom"/>
            <w:gridSpan w:val="1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Expiration Date 09/30/2020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64,322</w:t>
            </w:r>
          </w:p>
        </w:tc>
      </w:tr>
      <w:tr>
        <w:trPr>
          <w:trHeight w:val="189"/>
        </w:trPr>
        <w:tc>
          <w:tcPr>
            <w:tcW w:w="284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Preferred warrants, $1.16 Strike Price,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2820" w:type="dxa"/>
            <w:vAlign w:val="bottom"/>
            <w:gridSpan w:val="12"/>
          </w:tcPr>
          <w:p>
            <w:pPr>
              <w:ind w:left="180"/>
              <w:spacing w:after="0"/>
              <w:rPr>
                <w:sz w:val="20"/>
                <w:szCs w:val="20"/>
                <w:color w:val="auto"/>
              </w:rPr>
            </w:pPr>
            <w:r>
              <w:rPr>
                <w:rFonts w:ascii="Times New Roman" w:cs="Times New Roman" w:eastAsia="Times New Roman" w:hAnsi="Times New Roman"/>
                <w:sz w:val="16"/>
                <w:szCs w:val="16"/>
                <w:color w:val="auto"/>
              </w:rPr>
              <w:t>Expiration Date 6/26/2021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3"/>
              <w:spacing w:after="0"/>
              <w:rPr>
                <w:sz w:val="20"/>
                <w:szCs w:val="20"/>
                <w:color w:val="auto"/>
              </w:rPr>
            </w:pPr>
            <w:r>
              <w:rPr>
                <w:rFonts w:ascii="Times New Roman" w:cs="Times New Roman" w:eastAsia="Times New Roman" w:hAnsi="Times New Roman"/>
                <w:sz w:val="16"/>
                <w:szCs w:val="16"/>
                <w:color w:val="auto"/>
              </w:rPr>
              <w:t>12,736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12,736</w:t>
            </w:r>
          </w:p>
        </w:tc>
      </w:tr>
      <w:tr>
        <w:trPr>
          <w:trHeight w:val="192"/>
        </w:trPr>
        <w:tc>
          <w:tcPr>
            <w:tcW w:w="2840" w:type="dxa"/>
            <w:vAlign w:val="bottom"/>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warrants, $1.00 Strike Price,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r>
      <w:tr>
        <w:trPr>
          <w:trHeight w:val="216"/>
        </w:trPr>
        <w:tc>
          <w:tcPr>
            <w:tcW w:w="20" w:type="dxa"/>
            <w:vAlign w:val="bottom"/>
            <w:shd w:val="clear" w:color="auto" w:fill="CCEEFF"/>
          </w:tcPr>
          <w:p>
            <w:pPr>
              <w:spacing w:after="0"/>
              <w:rPr>
                <w:sz w:val="18"/>
                <w:szCs w:val="18"/>
                <w:color w:val="auto"/>
              </w:rPr>
            </w:pPr>
          </w:p>
        </w:tc>
        <w:tc>
          <w:tcPr>
            <w:tcW w:w="2820" w:type="dxa"/>
            <w:vAlign w:val="bottom"/>
            <w:gridSpan w:val="1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Expiration Date 11/21/2017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15,000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-2228850</wp:posOffset>
            </wp:positionV>
            <wp:extent cx="5213985" cy="1460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59" w:name="page60"/>
    <w:bookmarkEnd w:id="59"/>
    <w:p>
      <w:pPr>
        <w:ind w:left="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Schedule of Investments in and Advances to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21398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Amount of</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Interest, Fees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or Dividends</w:t>
            </w:r>
          </w:p>
        </w:tc>
        <w:tc>
          <w:tcPr>
            <w:tcW w:w="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Fair Value at</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Realized and</w:t>
            </w:r>
          </w:p>
        </w:tc>
        <w:tc>
          <w:tcPr>
            <w:tcW w:w="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Fair Value at</w:t>
            </w: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Credited in</w:t>
            </w:r>
          </w:p>
        </w:tc>
        <w:tc>
          <w:tcPr>
            <w:tcW w:w="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65"/>
        </w:trPr>
        <w:tc>
          <w:tcPr>
            <w:tcW w:w="2840" w:type="dxa"/>
            <w:vAlign w:val="bottom"/>
            <w:gridSpan w:val="13"/>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Company/Type of Investment*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Income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60" w:type="dxa"/>
            <w:vAlign w:val="bottom"/>
          </w:tcPr>
          <w:p>
            <w:pPr>
              <w:spacing w:after="0"/>
              <w:rPr>
                <w:sz w:val="14"/>
                <w:szCs w:val="14"/>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Sales</w:t>
            </w:r>
          </w:p>
        </w:tc>
        <w:tc>
          <w:tcPr>
            <w:tcW w:w="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Gains/Losses</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2014</w:t>
            </w:r>
          </w:p>
        </w:tc>
      </w:tr>
      <w:tr>
        <w:trPr>
          <w:trHeight w:val="156"/>
        </w:trPr>
        <w:tc>
          <w:tcPr>
            <w:tcW w:w="2840" w:type="dxa"/>
            <w:vAlign w:val="bottom"/>
            <w:tcBorders>
              <w:top w:val="single" w:sz="8" w:color="auto"/>
            </w:tcBorders>
            <w:gridSpan w:val="13"/>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CUX, Inc. (d/b/a CorpU)</w:t>
            </w:r>
          </w:p>
        </w:tc>
        <w:tc>
          <w:tcPr>
            <w:tcW w:w="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84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Convertible preferred shares, Series C</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$2,006,077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5"/>
              <w:spacing w:after="0"/>
              <w:rPr>
                <w:sz w:val="20"/>
                <w:szCs w:val="20"/>
                <w:color w:val="auto"/>
              </w:rPr>
            </w:pPr>
            <w:r>
              <w:rPr>
                <w:rFonts w:ascii="Times New Roman" w:cs="Times New Roman" w:eastAsia="Times New Roman" w:hAnsi="Times New Roman"/>
                <w:sz w:val="16"/>
                <w:szCs w:val="16"/>
                <w:color w:val="auto"/>
              </w:rPr>
              <w:t>$  286,505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$ 2,292,582</w:t>
            </w:r>
          </w:p>
        </w:tc>
      </w:tr>
      <w:tr>
        <w:trPr>
          <w:trHeight w:val="189"/>
        </w:trPr>
        <w:tc>
          <w:tcPr>
            <w:tcW w:w="2840" w:type="dxa"/>
            <w:vAlign w:val="bottom"/>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Subordinated Convertible</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4"/>
        </w:trPr>
        <w:tc>
          <w:tcPr>
            <w:tcW w:w="20" w:type="dxa"/>
            <w:vAlign w:val="bottom"/>
            <w:shd w:val="clear" w:color="auto" w:fill="CCEEFF"/>
          </w:tcPr>
          <w:p>
            <w:pPr>
              <w:spacing w:after="0"/>
              <w:rPr>
                <w:sz w:val="17"/>
                <w:szCs w:val="17"/>
                <w:color w:val="auto"/>
              </w:rPr>
            </w:pPr>
          </w:p>
        </w:tc>
        <w:tc>
          <w:tcPr>
            <w:tcW w:w="2820" w:type="dxa"/>
            <w:vAlign w:val="bottom"/>
            <w:gridSpan w:val="1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Promissory Note 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56"/>
        </w:trPr>
        <w:tc>
          <w:tcPr>
            <w:tcW w:w="20" w:type="dxa"/>
            <w:vAlign w:val="bottom"/>
            <w:shd w:val="clear" w:color="auto" w:fill="CCEEFF"/>
          </w:tcPr>
          <w:p>
            <w:pPr>
              <w:spacing w:after="0"/>
              <w:rPr>
                <w:sz w:val="22"/>
                <w:szCs w:val="22"/>
                <w:color w:val="auto"/>
              </w:rPr>
            </w:pPr>
          </w:p>
        </w:tc>
        <w:tc>
          <w:tcPr>
            <w:tcW w:w="2820" w:type="dxa"/>
            <w:vAlign w:val="bottom"/>
            <w:gridSpan w:val="12"/>
            <w:shd w:val="clear" w:color="auto" w:fill="CCEEFF"/>
          </w:tcPr>
          <w:p>
            <w:pPr>
              <w:ind w:left="180"/>
              <w:spacing w:after="0" w:line="255" w:lineRule="exact"/>
              <w:rPr>
                <w:sz w:val="20"/>
                <w:szCs w:val="20"/>
                <w:color w:val="auto"/>
              </w:rPr>
            </w:pPr>
            <w:r>
              <w:rPr>
                <w:rFonts w:ascii="Times New Roman" w:cs="Times New Roman" w:eastAsia="Times New Roman" w:hAnsi="Times New Roman"/>
                <w:sz w:val="16"/>
                <w:szCs w:val="16"/>
                <w:color w:val="auto"/>
              </w:rPr>
              <w:t>Due 11/26/2018***</w:t>
            </w:r>
            <w:r>
              <w:rPr>
                <w:rFonts w:ascii="Times New Roman" w:cs="Times New Roman" w:eastAsia="Times New Roman" w:hAnsi="Times New Roman"/>
                <w:sz w:val="27"/>
                <w:szCs w:val="27"/>
                <w:color w:val="auto"/>
                <w:vertAlign w:val="superscript"/>
              </w:rPr>
              <w:t>(6)</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7,890</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7,671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1,007,671</w:t>
            </w:r>
          </w:p>
        </w:tc>
      </w:tr>
      <w:tr>
        <w:trPr>
          <w:trHeight w:val="203"/>
        </w:trPr>
        <w:tc>
          <w:tcPr>
            <w:tcW w:w="284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Convertible preferred shares, Series 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697,041</w:t>
            </w: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5"/>
              <w:spacing w:after="0"/>
              <w:rPr>
                <w:sz w:val="20"/>
                <w:szCs w:val="20"/>
                <w:color w:val="auto"/>
              </w:rPr>
            </w:pPr>
            <w:r>
              <w:rPr>
                <w:rFonts w:ascii="Times New Roman" w:cs="Times New Roman" w:eastAsia="Times New Roman" w:hAnsi="Times New Roman"/>
                <w:sz w:val="16"/>
                <w:szCs w:val="16"/>
                <w:color w:val="auto"/>
              </w:rPr>
              <w:t>19,025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716,066</w:t>
            </w:r>
          </w:p>
        </w:tc>
      </w:tr>
      <w:tr>
        <w:trPr>
          <w:trHeight w:val="189"/>
        </w:trPr>
        <w:tc>
          <w:tcPr>
            <w:tcW w:w="2840" w:type="dxa"/>
            <w:vAlign w:val="bottom"/>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warrants, $4.59 Strike Price,</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6"/>
        </w:trPr>
        <w:tc>
          <w:tcPr>
            <w:tcW w:w="20" w:type="dxa"/>
            <w:vAlign w:val="bottom"/>
            <w:shd w:val="clear" w:color="auto" w:fill="CCEEFF"/>
          </w:tcPr>
          <w:p>
            <w:pPr>
              <w:spacing w:after="0"/>
              <w:rPr>
                <w:sz w:val="18"/>
                <w:szCs w:val="18"/>
                <w:color w:val="auto"/>
              </w:rPr>
            </w:pPr>
          </w:p>
        </w:tc>
        <w:tc>
          <w:tcPr>
            <w:tcW w:w="2820" w:type="dxa"/>
            <w:vAlign w:val="bottom"/>
            <w:gridSpan w:val="1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Expiration Date 02/25/2018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12,508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12,508</w:t>
            </w:r>
          </w:p>
        </w:tc>
      </w:tr>
      <w:tr>
        <w:trPr>
          <w:trHeight w:val="203"/>
        </w:trPr>
        <w:tc>
          <w:tcPr>
            <w:tcW w:w="2840" w:type="dxa"/>
            <w:vAlign w:val="bottom"/>
            <w:gridSpan w:val="13"/>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Cricket Media (f/k/a ePals Inc.)**</w:t>
            </w:r>
            <w:r>
              <w:rPr>
                <w:rFonts w:ascii="Times New Roman" w:cs="Times New Roman" w:eastAsia="Times New Roman" w:hAnsi="Times New Roman"/>
                <w:sz w:val="23"/>
                <w:szCs w:val="23"/>
                <w:b w:val="1"/>
                <w:bCs w:val="1"/>
                <w:color w:val="auto"/>
                <w:vertAlign w:val="superscript"/>
              </w:rPr>
              <w:t>(4)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3"/>
        </w:trPr>
        <w:tc>
          <w:tcPr>
            <w:tcW w:w="2840" w:type="dxa"/>
            <w:vAlign w:val="bottom"/>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1,700,000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(1,373,073)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331,126</w:t>
            </w:r>
          </w:p>
        </w:tc>
      </w:tr>
      <w:tr>
        <w:trPr>
          <w:trHeight w:val="162"/>
        </w:trPr>
        <w:tc>
          <w:tcPr>
            <w:tcW w:w="2840" w:type="dxa"/>
            <w:vAlign w:val="bottom"/>
            <w:gridSpan w:val="1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Curious.com Inc.</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3"/>
        </w:trPr>
        <w:tc>
          <w:tcPr>
            <w:tcW w:w="2840" w:type="dxa"/>
            <w:vAlign w:val="bottom"/>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10,000,003</w:t>
            </w: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9,996,311</w:t>
            </w:r>
          </w:p>
        </w:tc>
      </w:tr>
      <w:tr>
        <w:trPr>
          <w:trHeight w:val="162"/>
        </w:trPr>
        <w:tc>
          <w:tcPr>
            <w:tcW w:w="2840" w:type="dxa"/>
            <w:vAlign w:val="bottom"/>
            <w:gridSpan w:val="1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Dailybreak, Inc.</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3"/>
        </w:trPr>
        <w:tc>
          <w:tcPr>
            <w:tcW w:w="2840" w:type="dxa"/>
            <w:vAlign w:val="bottom"/>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A-1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1,211,393</w:t>
            </w: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(1,211,393)</w:t>
            </w: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84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Preferred shares, Series A-2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426,254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(426,254)</w:t>
            </w:r>
          </w:p>
        </w:tc>
        <w:tc>
          <w:tcPr>
            <w:tcW w:w="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62"/>
        </w:trPr>
        <w:tc>
          <w:tcPr>
            <w:tcW w:w="2840" w:type="dxa"/>
            <w:vAlign w:val="bottom"/>
            <w:gridSpan w:val="13"/>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Declara, Inc.</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84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9,999,999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5"/>
              <w:spacing w:after="0"/>
              <w:rPr>
                <w:sz w:val="20"/>
                <w:szCs w:val="20"/>
                <w:color w:val="auto"/>
              </w:rPr>
            </w:pPr>
            <w:r>
              <w:rPr>
                <w:rFonts w:ascii="Times New Roman" w:cs="Times New Roman" w:eastAsia="Times New Roman" w:hAnsi="Times New Roman"/>
                <w:sz w:val="16"/>
                <w:szCs w:val="16"/>
                <w:color w:val="auto"/>
              </w:rPr>
              <w:t>19,826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10,019,825</w:t>
            </w:r>
          </w:p>
        </w:tc>
      </w:tr>
      <w:tr>
        <w:trPr>
          <w:trHeight w:val="162"/>
        </w:trPr>
        <w:tc>
          <w:tcPr>
            <w:tcW w:w="2840" w:type="dxa"/>
            <w:vAlign w:val="bottom"/>
            <w:gridSpan w:val="13"/>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EdSurge, Inc.</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84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500,801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5"/>
              <w:spacing w:after="0"/>
              <w:rPr>
                <w:sz w:val="20"/>
                <w:szCs w:val="20"/>
                <w:color w:val="auto"/>
              </w:rPr>
            </w:pPr>
            <w:r>
              <w:rPr>
                <w:rFonts w:ascii="Times New Roman" w:cs="Times New Roman" w:eastAsia="Times New Roman" w:hAnsi="Times New Roman"/>
                <w:sz w:val="16"/>
                <w:szCs w:val="16"/>
                <w:color w:val="auto"/>
              </w:rPr>
              <w:t>4,527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505,328</w:t>
            </w:r>
          </w:p>
        </w:tc>
      </w:tr>
      <w:tr>
        <w:trPr>
          <w:trHeight w:val="162"/>
        </w:trPr>
        <w:tc>
          <w:tcPr>
            <w:tcW w:w="2840" w:type="dxa"/>
            <w:vAlign w:val="bottom"/>
            <w:gridSpan w:val="13"/>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Fullbridge, Inc.</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84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Preferred shares, Series C</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3,114,120</w:t>
            </w: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(1,489,119)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1,625,001</w:t>
            </w:r>
          </w:p>
        </w:tc>
      </w:tr>
      <w:tr>
        <w:trPr>
          <w:trHeight w:val="203"/>
        </w:trPr>
        <w:tc>
          <w:tcPr>
            <w:tcW w:w="2840" w:type="dxa"/>
            <w:vAlign w:val="bottom"/>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D</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2,956,022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155,692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3,111,714</w:t>
            </w:r>
          </w:p>
        </w:tc>
      </w:tr>
      <w:tr>
        <w:trPr>
          <w:trHeight w:val="189"/>
        </w:trPr>
        <w:tc>
          <w:tcPr>
            <w:tcW w:w="284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Common warrants, $0.91 Strike Price,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2820" w:type="dxa"/>
            <w:vAlign w:val="bottom"/>
            <w:gridSpan w:val="12"/>
          </w:tcPr>
          <w:p>
            <w:pPr>
              <w:ind w:left="180"/>
              <w:spacing w:after="0"/>
              <w:rPr>
                <w:sz w:val="20"/>
                <w:szCs w:val="20"/>
                <w:color w:val="auto"/>
              </w:rPr>
            </w:pPr>
            <w:r>
              <w:rPr>
                <w:rFonts w:ascii="Times New Roman" w:cs="Times New Roman" w:eastAsia="Times New Roman" w:hAnsi="Times New Roman"/>
                <w:sz w:val="16"/>
                <w:szCs w:val="16"/>
                <w:color w:val="auto"/>
              </w:rPr>
              <w:t>Expiration Date 3/22/2020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126,362</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(124,500)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1,862</w:t>
            </w:r>
          </w:p>
        </w:tc>
      </w:tr>
      <w:tr>
        <w:trPr>
          <w:trHeight w:val="192"/>
        </w:trPr>
        <w:tc>
          <w:tcPr>
            <w:tcW w:w="2840" w:type="dxa"/>
            <w:vAlign w:val="bottom"/>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warrants, $0.91 Strike Price,</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6"/>
        </w:trPr>
        <w:tc>
          <w:tcPr>
            <w:tcW w:w="20" w:type="dxa"/>
            <w:vAlign w:val="bottom"/>
            <w:shd w:val="clear" w:color="auto" w:fill="CCEEFF"/>
          </w:tcPr>
          <w:p>
            <w:pPr>
              <w:spacing w:after="0"/>
              <w:rPr>
                <w:sz w:val="18"/>
                <w:szCs w:val="18"/>
                <w:color w:val="auto"/>
              </w:rPr>
            </w:pPr>
          </w:p>
        </w:tc>
        <w:tc>
          <w:tcPr>
            <w:tcW w:w="2820" w:type="dxa"/>
            <w:vAlign w:val="bottom"/>
            <w:gridSpan w:val="1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Expiration Date 12/11/2018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824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w:t>
            </w:r>
          </w:p>
        </w:tc>
      </w:tr>
      <w:tr>
        <w:trPr>
          <w:trHeight w:val="189"/>
        </w:trPr>
        <w:tc>
          <w:tcPr>
            <w:tcW w:w="284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Common warrants, $0.91 Strike Price,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2820" w:type="dxa"/>
            <w:vAlign w:val="bottom"/>
            <w:gridSpan w:val="12"/>
          </w:tcPr>
          <w:p>
            <w:pPr>
              <w:ind w:left="180"/>
              <w:spacing w:after="0"/>
              <w:rPr>
                <w:sz w:val="20"/>
                <w:szCs w:val="20"/>
                <w:color w:val="auto"/>
              </w:rPr>
            </w:pPr>
            <w:r>
              <w:rPr>
                <w:rFonts w:ascii="Times New Roman" w:cs="Times New Roman" w:eastAsia="Times New Roman" w:hAnsi="Times New Roman"/>
                <w:sz w:val="16"/>
                <w:szCs w:val="16"/>
                <w:color w:val="auto"/>
              </w:rPr>
              <w:t>Expiration Date 12/11/2018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50,970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(46,849)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4,121</w:t>
            </w:r>
          </w:p>
        </w:tc>
      </w:tr>
      <w:tr>
        <w:trPr>
          <w:trHeight w:val="192"/>
        </w:trPr>
        <w:tc>
          <w:tcPr>
            <w:tcW w:w="2840" w:type="dxa"/>
            <w:vAlign w:val="bottom"/>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warrants, $0.91 Strike Price,</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6"/>
        </w:trPr>
        <w:tc>
          <w:tcPr>
            <w:tcW w:w="20" w:type="dxa"/>
            <w:vAlign w:val="bottom"/>
            <w:shd w:val="clear" w:color="auto" w:fill="CCEEFF"/>
          </w:tcPr>
          <w:p>
            <w:pPr>
              <w:spacing w:after="0"/>
              <w:rPr>
                <w:sz w:val="18"/>
                <w:szCs w:val="18"/>
                <w:color w:val="auto"/>
              </w:rPr>
            </w:pPr>
          </w:p>
        </w:tc>
        <w:tc>
          <w:tcPr>
            <w:tcW w:w="2820" w:type="dxa"/>
            <w:vAlign w:val="bottom"/>
            <w:gridSpan w:val="1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Expiration Date 5/16/2019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1,923</w:t>
            </w:r>
          </w:p>
        </w:tc>
      </w:tr>
      <w:tr>
        <w:trPr>
          <w:trHeight w:val="189"/>
        </w:trPr>
        <w:tc>
          <w:tcPr>
            <w:tcW w:w="284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Common warrants, $0.91 Strike Price,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2820" w:type="dxa"/>
            <w:vAlign w:val="bottom"/>
            <w:gridSpan w:val="12"/>
          </w:tcPr>
          <w:p>
            <w:pPr>
              <w:ind w:left="180"/>
              <w:spacing w:after="0"/>
              <w:rPr>
                <w:sz w:val="20"/>
                <w:szCs w:val="20"/>
                <w:color w:val="auto"/>
              </w:rPr>
            </w:pPr>
            <w:r>
              <w:rPr>
                <w:rFonts w:ascii="Times New Roman" w:cs="Times New Roman" w:eastAsia="Times New Roman" w:hAnsi="Times New Roman"/>
                <w:sz w:val="16"/>
                <w:szCs w:val="16"/>
                <w:color w:val="auto"/>
              </w:rPr>
              <w:t>Expiration Date 3/22/2020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85,779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(78,636)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7,143</w:t>
            </w:r>
          </w:p>
        </w:tc>
      </w:tr>
      <w:tr>
        <w:trPr>
          <w:trHeight w:val="192"/>
        </w:trPr>
        <w:tc>
          <w:tcPr>
            <w:tcW w:w="2840" w:type="dxa"/>
            <w:vAlign w:val="bottom"/>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warrants, $0.91 Strike Price,</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6"/>
        </w:trPr>
        <w:tc>
          <w:tcPr>
            <w:tcW w:w="20" w:type="dxa"/>
            <w:vAlign w:val="bottom"/>
            <w:shd w:val="clear" w:color="auto" w:fill="CCEEFF"/>
          </w:tcPr>
          <w:p>
            <w:pPr>
              <w:spacing w:after="0"/>
              <w:rPr>
                <w:sz w:val="18"/>
                <w:szCs w:val="18"/>
                <w:color w:val="auto"/>
              </w:rPr>
            </w:pPr>
          </w:p>
        </w:tc>
        <w:tc>
          <w:tcPr>
            <w:tcW w:w="2820" w:type="dxa"/>
            <w:vAlign w:val="bottom"/>
            <w:gridSpan w:val="1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Expiration Date 10/09/2018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824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w:t>
            </w:r>
          </w:p>
        </w:tc>
      </w:tr>
      <w:tr>
        <w:trPr>
          <w:trHeight w:val="189"/>
        </w:trPr>
        <w:tc>
          <w:tcPr>
            <w:tcW w:w="284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Convertible Promissory Note, 10% Interest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2820" w:type="dxa"/>
            <w:vAlign w:val="bottom"/>
            <w:gridSpan w:val="12"/>
          </w:tcPr>
          <w:p>
            <w:pPr>
              <w:ind w:left="180"/>
              <w:spacing w:after="0"/>
              <w:rPr>
                <w:sz w:val="20"/>
                <w:szCs w:val="20"/>
                <w:color w:val="auto"/>
              </w:rPr>
            </w:pPr>
            <w:r>
              <w:rPr>
                <w:rFonts w:ascii="Times New Roman" w:cs="Times New Roman" w:eastAsia="Times New Roman" w:hAnsi="Times New Roman"/>
                <w:sz w:val="16"/>
                <w:szCs w:val="16"/>
                <w:color w:val="auto"/>
              </w:rPr>
              <w:t>rate, February 16, 2015***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80,620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1,813,904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1,813,904</w:t>
            </w:r>
          </w:p>
        </w:tc>
        <w:tc>
          <w:tcPr>
            <w:tcW w:w="60" w:type="dxa"/>
            <w:vAlign w:val="bottom"/>
          </w:tcPr>
          <w:p>
            <w:pPr>
              <w:spacing w:after="0"/>
              <w:rPr>
                <w:sz w:val="18"/>
                <w:szCs w:val="18"/>
                <w:color w:val="auto"/>
              </w:rPr>
            </w:pPr>
          </w:p>
        </w:tc>
        <w:tc>
          <w:tcPr>
            <w:tcW w:w="88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2840" w:type="dxa"/>
            <w:vAlign w:val="bottom"/>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10%, 3/31/14***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84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Term Loan, 10%, 3/31/14***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60" w:type="dxa"/>
            <w:vAlign w:val="bottom"/>
          </w:tcPr>
          <w:p>
            <w:pPr>
              <w:spacing w:after="0"/>
              <w:rPr>
                <w:sz w:val="17"/>
                <w:szCs w:val="17"/>
                <w:color w:val="auto"/>
              </w:rPr>
            </w:pPr>
          </w:p>
        </w:tc>
        <w:tc>
          <w:tcPr>
            <w:tcW w:w="88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62"/>
        </w:trPr>
        <w:tc>
          <w:tcPr>
            <w:tcW w:w="2840" w:type="dxa"/>
            <w:vAlign w:val="bottom"/>
            <w:gridSpan w:val="13"/>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Global Education Learning (Holdings)</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2660" w:type="dxa"/>
            <w:vAlign w:val="bottom"/>
            <w:tcBorders>
              <w:top w:val="single" w:sz="8" w:color="auto"/>
            </w:tcBorders>
            <w:gridSpan w:val="11"/>
            <w:shd w:val="clear" w:color="auto" w:fill="CCEEFF"/>
          </w:tcPr>
          <w:p>
            <w:pPr>
              <w:ind w:left="180"/>
              <w:spacing w:after="0" w:line="183" w:lineRule="exact"/>
              <w:rPr>
                <w:sz w:val="20"/>
                <w:szCs w:val="20"/>
                <w:color w:val="auto"/>
              </w:rPr>
            </w:pPr>
            <w:r>
              <w:rPr>
                <w:rFonts w:ascii="Times New Roman" w:cs="Times New Roman" w:eastAsia="Times New Roman" w:hAnsi="Times New Roman"/>
                <w:sz w:val="16"/>
                <w:szCs w:val="16"/>
                <w:b w:val="1"/>
                <w:bCs w:val="1"/>
                <w:color w:val="auto"/>
              </w:rPr>
              <w:t>Ltd.**</w:t>
            </w: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84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4,338,009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(342,886)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3,995,221</w:t>
            </w:r>
          </w:p>
        </w:tc>
      </w:tr>
      <w:tr>
        <w:trPr>
          <w:trHeight w:val="162"/>
        </w:trPr>
        <w:tc>
          <w:tcPr>
            <w:tcW w:w="2840" w:type="dxa"/>
            <w:vAlign w:val="bottom"/>
            <w:gridSpan w:val="13"/>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Learnist Inc. (f/k/a Grockit, Inc.)</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84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Preferred shares, Series 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2,073,472</w:t>
            </w: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5"/>
              <w:spacing w:after="0"/>
              <w:rPr>
                <w:sz w:val="20"/>
                <w:szCs w:val="20"/>
                <w:color w:val="auto"/>
              </w:rPr>
            </w:pPr>
            <w:r>
              <w:rPr>
                <w:rFonts w:ascii="Times New Roman" w:cs="Times New Roman" w:eastAsia="Times New Roman" w:hAnsi="Times New Roman"/>
                <w:sz w:val="16"/>
                <w:szCs w:val="16"/>
                <w:color w:val="auto"/>
              </w:rPr>
              <w:t>245,542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2,319,014</w:t>
            </w:r>
          </w:p>
        </w:tc>
      </w:tr>
      <w:tr>
        <w:trPr>
          <w:trHeight w:val="203"/>
        </w:trPr>
        <w:tc>
          <w:tcPr>
            <w:tcW w:w="2840" w:type="dxa"/>
            <w:vAlign w:val="bottom"/>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E</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1,499,999</w:t>
            </w: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110,297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1,610,296</w:t>
            </w:r>
          </w:p>
        </w:tc>
      </w:tr>
      <w:tr>
        <w:trPr>
          <w:trHeight w:val="210"/>
        </w:trPr>
        <w:tc>
          <w:tcPr>
            <w:tcW w:w="284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Preferred shares, Series F</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1,450,000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8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1,450,000</w:t>
            </w:r>
          </w:p>
        </w:tc>
      </w:tr>
    </w:tbl>
    <w:p>
      <w:pPr>
        <w:spacing w:after="0" w:line="200" w:lineRule="exact"/>
        <w:rPr>
          <w:sz w:val="20"/>
          <w:szCs w:val="20"/>
          <w:color w:val="auto"/>
        </w:rPr>
      </w:pPr>
    </w:p>
    <w:p>
      <w:pPr>
        <w:spacing w:after="0" w:line="34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60" w:name="page61"/>
    <w:bookmarkEnd w:id="60"/>
    <w:p>
      <w:pPr>
        <w:ind w:left="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Schedule of Investments in and Advances to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21398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Amount of</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Interest, Fees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or Dividends</w:t>
            </w:r>
          </w:p>
        </w:tc>
        <w:tc>
          <w:tcPr>
            <w:tcW w:w="60" w:type="dxa"/>
            <w:vAlign w:val="bottom"/>
          </w:tcPr>
          <w:p>
            <w:pPr>
              <w:spacing w:after="0"/>
              <w:rPr>
                <w:sz w:val="12"/>
                <w:szCs w:val="12"/>
                <w:color w:val="auto"/>
              </w:rPr>
            </w:pPr>
          </w:p>
        </w:tc>
        <w:tc>
          <w:tcPr>
            <w:tcW w:w="8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Fair Value at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Realized and</w:t>
            </w:r>
          </w:p>
        </w:tc>
        <w:tc>
          <w:tcPr>
            <w:tcW w:w="80" w:type="dxa"/>
            <w:vAlign w:val="bottom"/>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Fair Value at</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Credited in</w:t>
            </w:r>
          </w:p>
        </w:tc>
        <w:tc>
          <w:tcPr>
            <w:tcW w:w="60" w:type="dxa"/>
            <w:vAlign w:val="bottom"/>
          </w:tcPr>
          <w:p>
            <w:pPr>
              <w:spacing w:after="0"/>
              <w:rPr>
                <w:sz w:val="12"/>
                <w:szCs w:val="12"/>
                <w:color w:val="auto"/>
              </w:rPr>
            </w:pPr>
          </w:p>
        </w:tc>
        <w:tc>
          <w:tcPr>
            <w:tcW w:w="8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Unrealized</w:t>
            </w:r>
          </w:p>
        </w:tc>
        <w:tc>
          <w:tcPr>
            <w:tcW w:w="80" w:type="dxa"/>
            <w:vAlign w:val="bottom"/>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65"/>
        </w:trPr>
        <w:tc>
          <w:tcPr>
            <w:tcW w:w="2840" w:type="dxa"/>
            <w:vAlign w:val="bottom"/>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Company/Type of Investment*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Gains/Losses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2014</w:t>
            </w:r>
          </w:p>
        </w:tc>
        <w:tc>
          <w:tcPr>
            <w:tcW w:w="60" w:type="dxa"/>
            <w:vAlign w:val="bottom"/>
          </w:tcPr>
          <w:p>
            <w:pPr>
              <w:spacing w:after="0"/>
              <w:rPr>
                <w:sz w:val="14"/>
                <w:szCs w:val="14"/>
                <w:color w:val="auto"/>
              </w:rPr>
            </w:pPr>
          </w:p>
        </w:tc>
      </w:tr>
      <w:tr>
        <w:trPr>
          <w:trHeight w:val="156"/>
        </w:trPr>
        <w:tc>
          <w:tcPr>
            <w:tcW w:w="2840" w:type="dxa"/>
            <w:vAlign w:val="bottom"/>
            <w:tcBorders>
              <w:top w:val="single" w:sz="8" w:color="auto"/>
            </w:tcBorders>
            <w:gridSpan w:val="10"/>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Maven Research, Inc.</w:t>
            </w:r>
          </w:p>
        </w:tc>
        <w:tc>
          <w:tcPr>
            <w:tcW w:w="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84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auto"/>
              </w:rPr>
              <w:t>Preferred shares, Series C</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1,999,998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1,999,998</w:t>
            </w:r>
          </w:p>
        </w:tc>
      </w:tr>
      <w:tr>
        <w:trPr>
          <w:trHeight w:val="203"/>
        </w:trPr>
        <w:tc>
          <w:tcPr>
            <w:tcW w:w="284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249,505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249,691</w:t>
            </w:r>
          </w:p>
        </w:tc>
      </w:tr>
      <w:tr>
        <w:trPr>
          <w:trHeight w:val="162"/>
        </w:trPr>
        <w:tc>
          <w:tcPr>
            <w:tcW w:w="2840" w:type="dxa"/>
            <w:vAlign w:val="bottom"/>
            <w:gridSpan w:val="10"/>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Ozy Media, Inc.</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284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4,999,999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4,999,999</w:t>
            </w:r>
          </w:p>
        </w:tc>
      </w:tr>
      <w:tr>
        <w:trPr>
          <w:trHeight w:val="203"/>
        </w:trPr>
        <w:tc>
          <w:tcPr>
            <w:tcW w:w="284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3,000,000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1,164,891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4,165,091</w:t>
            </w:r>
          </w:p>
        </w:tc>
      </w:tr>
      <w:tr>
        <w:trPr>
          <w:trHeight w:val="203"/>
        </w:trPr>
        <w:tc>
          <w:tcPr>
            <w:tcW w:w="284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Seed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865,000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708,000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1,573,000</w:t>
            </w:r>
          </w:p>
        </w:tc>
      </w:tr>
      <w:tr>
        <w:trPr>
          <w:trHeight w:val="162"/>
        </w:trPr>
        <w:tc>
          <w:tcPr>
            <w:tcW w:w="2840" w:type="dxa"/>
            <w:vAlign w:val="bottom"/>
            <w:gridSpan w:val="10"/>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PayNearMe, Inc.</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284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7"/>
              </w:rPr>
              <w:t>10,000,000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9,982,064</w:t>
            </w:r>
          </w:p>
        </w:tc>
      </w:tr>
      <w:tr>
        <w:trPr>
          <w:trHeight w:val="162"/>
        </w:trPr>
        <w:tc>
          <w:tcPr>
            <w:tcW w:w="2840" w:type="dxa"/>
            <w:vAlign w:val="bottom"/>
            <w:gridSpan w:val="10"/>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The rSmart Group, Inc.</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284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857,302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(664,716)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192,586</w:t>
            </w:r>
          </w:p>
        </w:tc>
      </w:tr>
      <w:tr>
        <w:trPr>
          <w:trHeight w:val="203"/>
        </w:trPr>
        <w:tc>
          <w:tcPr>
            <w:tcW w:w="2840" w:type="dxa"/>
            <w:vAlign w:val="bottom"/>
            <w:gridSpan w:val="10"/>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Strategic Data Command, LLC</w:t>
            </w:r>
            <w:r>
              <w:rPr>
                <w:rFonts w:ascii="Times New Roman" w:cs="Times New Roman" w:eastAsia="Times New Roman" w:hAnsi="Times New Roman"/>
                <w:sz w:val="23"/>
                <w:szCs w:val="23"/>
                <w:b w:val="1"/>
                <w:bCs w:val="1"/>
                <w:color w:val="auto"/>
                <w:vertAlign w:val="superscript"/>
              </w:rPr>
              <w:t>(3)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284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1,046,830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(46,830)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1,000,000</w:t>
            </w:r>
          </w:p>
        </w:tc>
      </w:tr>
      <w:tr>
        <w:trPr>
          <w:trHeight w:val="203"/>
        </w:trPr>
        <w:tc>
          <w:tcPr>
            <w:tcW w:w="2840" w:type="dxa"/>
            <w:vAlign w:val="bottom"/>
            <w:gridSpan w:val="10"/>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Totus Solutions, Inc.</w:t>
            </w:r>
            <w:r>
              <w:rPr>
                <w:rFonts w:ascii="Times New Roman" w:cs="Times New Roman" w:eastAsia="Times New Roman" w:hAnsi="Times New Roman"/>
                <w:sz w:val="23"/>
                <w:szCs w:val="23"/>
                <w:b w:val="1"/>
                <w:bCs w:val="1"/>
                <w:color w:val="auto"/>
                <w:vertAlign w:val="superscript"/>
              </w:rPr>
              <w:t>(5)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284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1,001,001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(872,099)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128,902</w:t>
            </w:r>
          </w:p>
        </w:tc>
      </w:tr>
      <w:tr>
        <w:trPr>
          <w:trHeight w:val="189"/>
        </w:trPr>
        <w:tc>
          <w:tcPr>
            <w:tcW w:w="284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auto"/>
              </w:rPr>
              <w:t>Convertible Promissory Note 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2820" w:type="dxa"/>
            <w:vAlign w:val="bottom"/>
            <w:gridSpan w:val="9"/>
          </w:tcPr>
          <w:p>
            <w:pPr>
              <w:ind w:left="180"/>
              <w:spacing w:after="0"/>
              <w:rPr>
                <w:sz w:val="20"/>
                <w:szCs w:val="20"/>
                <w:color w:val="auto"/>
              </w:rPr>
            </w:pPr>
            <w:r>
              <w:rPr>
                <w:rFonts w:ascii="Times New Roman" w:cs="Times New Roman" w:eastAsia="Times New Roman" w:hAnsi="Times New Roman"/>
                <w:sz w:val="16"/>
                <w:szCs w:val="16"/>
                <w:color w:val="auto"/>
              </w:rPr>
              <w:t>Expiration Date, 4/01/2016***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78,425</w:t>
            </w:r>
          </w:p>
        </w:tc>
      </w:tr>
      <w:tr>
        <w:trPr>
          <w:trHeight w:val="206"/>
        </w:trPr>
        <w:tc>
          <w:tcPr>
            <w:tcW w:w="284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2,173,163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(2,174,003)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84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576,675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(576,875)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840" w:type="dxa"/>
            <w:vAlign w:val="bottom"/>
            <w:gridSpan w:val="10"/>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Total Affiliate Investments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shd w:val="clear" w:color="auto" w:fill="CCEEFF"/>
          </w:tcPr>
          <w:p>
            <w:pPr>
              <w:jc w:val="right"/>
              <w:ind w:right="60"/>
              <w:spacing w:after="0" w:line="155" w:lineRule="exact"/>
              <w:rPr>
                <w:sz w:val="20"/>
                <w:szCs w:val="20"/>
                <w:color w:val="auto"/>
              </w:rPr>
            </w:pPr>
            <w:r>
              <w:rPr>
                <w:rFonts w:ascii="Times New Roman" w:cs="Times New Roman" w:eastAsia="Times New Roman" w:hAnsi="Times New Roman"/>
                <w:sz w:val="16"/>
                <w:szCs w:val="16"/>
                <w:b w:val="1"/>
                <w:bCs w:val="1"/>
                <w:color w:val="auto"/>
              </w:rPr>
              <w:t>130,021</w:t>
            </w:r>
          </w:p>
        </w:tc>
        <w:tc>
          <w:tcPr>
            <w:tcW w:w="16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b w:val="1"/>
                <w:bCs w:val="1"/>
                <w:u w:val="single" w:color="auto"/>
                <w:color w:val="auto"/>
              </w:rPr>
              <w:t>$</w:t>
            </w:r>
          </w:p>
        </w:tc>
        <w:tc>
          <w:tcPr>
            <w:tcW w:w="760" w:type="dxa"/>
            <w:vAlign w:val="bottom"/>
            <w:gridSpan w:val="2"/>
            <w:shd w:val="clear" w:color="auto" w:fill="CCEEFF"/>
          </w:tcPr>
          <w:p>
            <w:pPr>
              <w:jc w:val="right"/>
              <w:ind w:right="40"/>
              <w:spacing w:after="0" w:line="155" w:lineRule="exact"/>
              <w:rPr>
                <w:sz w:val="20"/>
                <w:szCs w:val="20"/>
                <w:color w:val="auto"/>
              </w:rPr>
            </w:pPr>
            <w:r>
              <w:rPr>
                <w:rFonts w:ascii="Times New Roman" w:cs="Times New Roman" w:eastAsia="Times New Roman" w:hAnsi="Times New Roman"/>
                <w:sz w:val="16"/>
                <w:szCs w:val="16"/>
                <w:b w:val="1"/>
                <w:bCs w:val="1"/>
                <w:color w:val="auto"/>
                <w:w w:val="97"/>
              </w:rPr>
              <w:t>52,663,042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b w:val="1"/>
                <w:bCs w:val="1"/>
                <w:u w:val="single" w:color="auto"/>
                <w:color w:val="auto"/>
              </w:rPr>
              <w:t>$</w:t>
            </w:r>
          </w:p>
        </w:tc>
        <w:tc>
          <w:tcPr>
            <w:tcW w:w="780" w:type="dxa"/>
            <w:vAlign w:val="bottom"/>
            <w:gridSpan w:val="2"/>
            <w:shd w:val="clear" w:color="auto" w:fill="CCEEFF"/>
          </w:tcPr>
          <w:p>
            <w:pPr>
              <w:jc w:val="right"/>
              <w:ind w:right="40"/>
              <w:spacing w:after="0" w:line="155" w:lineRule="exact"/>
              <w:rPr>
                <w:sz w:val="20"/>
                <w:szCs w:val="20"/>
                <w:color w:val="auto"/>
              </w:rPr>
            </w:pPr>
            <w:r>
              <w:rPr>
                <w:rFonts w:ascii="Times New Roman" w:cs="Times New Roman" w:eastAsia="Times New Roman" w:hAnsi="Times New Roman"/>
                <w:sz w:val="16"/>
                <w:szCs w:val="16"/>
                <w:b w:val="1"/>
                <w:bCs w:val="1"/>
                <w:color w:val="auto"/>
                <w:w w:val="99"/>
              </w:rPr>
              <w:t>70,172,313</w:t>
            </w: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-196850</wp:posOffset>
            </wp:positionV>
            <wp:extent cx="521398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32" w:lineRule="exact"/>
        <w:rPr>
          <w:sz w:val="20"/>
          <w:szCs w:val="20"/>
          <w:color w:val="auto"/>
        </w:rPr>
      </w:pPr>
    </w:p>
    <w:p>
      <w:pPr>
        <w:ind w:left="300" w:right="539" w:hanging="272"/>
        <w:spacing w:after="0" w:line="282" w:lineRule="auto"/>
        <w:tabs>
          <w:tab w:leader="none" w:pos="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portfolio investments are non-control/non-affiliated and non-income producing, unless identified. Equity investments are subject to lock-up restrictions upon their initial public offering.</w:t>
      </w:r>
    </w:p>
    <w:p>
      <w:pPr>
        <w:spacing w:after="0" w:line="54" w:lineRule="exact"/>
        <w:rPr>
          <w:sz w:val="20"/>
          <w:szCs w:val="20"/>
          <w:color w:val="auto"/>
        </w:rPr>
      </w:pPr>
    </w:p>
    <w:p>
      <w:pPr>
        <w:ind w:left="300" w:right="519" w:hanging="272"/>
        <w:spacing w:after="0" w:line="282" w:lineRule="auto"/>
        <w:tabs>
          <w:tab w:leader="none" w:pos="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assets that GSV Capital Corp. believes do not represent “qualifying assets” under Section 55(a) of the Investment Company Act of 1940, as amended.</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is income producing.</w:t>
      </w:r>
    </w:p>
    <w:p>
      <w:pPr>
        <w:spacing w:after="0" w:line="117" w:lineRule="exact"/>
        <w:rPr>
          <w:sz w:val="20"/>
          <w:szCs w:val="20"/>
          <w:color w:val="auto"/>
        </w:rPr>
      </w:pPr>
    </w:p>
    <w:p>
      <w:pPr>
        <w:ind w:left="300" w:hanging="272"/>
        <w:spacing w:after="0"/>
        <w:tabs>
          <w:tab w:leader="none" w:pos="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GSV Capital Corp.’s investment in StormWind, LLC is held through its wholly-owned subsidiary GSVC SW Holdings, Inc.</w:t>
      </w:r>
    </w:p>
    <w:p>
      <w:pPr>
        <w:spacing w:after="0" w:line="117" w:lineRule="exact"/>
        <w:rPr>
          <w:rFonts w:ascii="Times New Roman" w:cs="Times New Roman" w:eastAsia="Times New Roman" w:hAnsi="Times New Roman"/>
          <w:sz w:val="18"/>
          <w:szCs w:val="18"/>
          <w:color w:val="auto"/>
        </w:rPr>
      </w:pPr>
    </w:p>
    <w:p>
      <w:pPr>
        <w:ind w:left="300" w:right="519" w:hanging="272"/>
        <w:spacing w:after="0" w:line="282" w:lineRule="auto"/>
        <w:tabs>
          <w:tab w:leader="none" w:pos="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GSV Capital Corp.’s investment in Whittle Schools, LLC is held through its wholly-owned subsidiary GSVC WS Holdings, Inc. Whittle Schools, LLC is an investment whose economics are derived from the value of Avenues Global Holdings LLC.</w:t>
      </w:r>
    </w:p>
    <w:p>
      <w:pPr>
        <w:spacing w:after="0" w:line="53" w:lineRule="exact"/>
        <w:rPr>
          <w:rFonts w:ascii="Times New Roman" w:cs="Times New Roman" w:eastAsia="Times New Roman" w:hAnsi="Times New Roman"/>
          <w:sz w:val="18"/>
          <w:szCs w:val="18"/>
          <w:color w:val="auto"/>
        </w:rPr>
      </w:pPr>
    </w:p>
    <w:p>
      <w:pPr>
        <w:ind w:left="300" w:right="539" w:hanging="272"/>
        <w:spacing w:after="0" w:line="282" w:lineRule="auto"/>
        <w:tabs>
          <w:tab w:leader="none" w:pos="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GSV Capital Corp.’s investment in Strategic Data Command, LLC is held through its wholly-owned subsidiary GSVC SVDS Holdings, Inc.</w:t>
      </w:r>
    </w:p>
    <w:p>
      <w:pPr>
        <w:spacing w:after="0" w:line="53" w:lineRule="exact"/>
        <w:rPr>
          <w:rFonts w:ascii="Times New Roman" w:cs="Times New Roman" w:eastAsia="Times New Roman" w:hAnsi="Times New Roman"/>
          <w:sz w:val="18"/>
          <w:szCs w:val="18"/>
          <w:color w:val="auto"/>
        </w:rPr>
      </w:pPr>
    </w:p>
    <w:p>
      <w:pPr>
        <w:jc w:val="both"/>
        <w:ind w:left="300" w:right="519" w:hanging="272"/>
        <w:spacing w:after="0" w:line="256" w:lineRule="auto"/>
        <w:tabs>
          <w:tab w:leader="none" w:pos="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22, 2013, Cricket Media (f/k/a ePals Inc.), priced its initial public offering, selling 40,267,333 shares at a price of CAD $0.075 per share. GSV Capital Corp.’s shares in Cricket Media (f/k/a ePals Inc.), are subject to a lock-up agreement which expired on February 23, 2014. At December 31, 2014, GSV Capital Corp. valued Cricket Media (f/k/a ePals Inc.), based on its December 31, 2014 closing price less 17.5%. GSV Capital Corp.’s Chief Executive Officer, Michael Moe is a Board member of Cricket Media (f/k/a ePals Inc.), which subjects GSV Capital Corp. to insider trading restrictions under Canadian securities law. As such, the Company has applied a 17.5% discount to reflect the aforementioned trading restrictions.</w:t>
      </w:r>
    </w:p>
    <w:p>
      <w:pPr>
        <w:spacing w:after="0" w:line="79" w:lineRule="exact"/>
        <w:rPr>
          <w:rFonts w:ascii="Times New Roman" w:cs="Times New Roman" w:eastAsia="Times New Roman" w:hAnsi="Times New Roman"/>
          <w:sz w:val="18"/>
          <w:szCs w:val="18"/>
          <w:color w:val="auto"/>
        </w:rPr>
      </w:pPr>
    </w:p>
    <w:p>
      <w:pPr>
        <w:ind w:left="300" w:hanging="272"/>
        <w:spacing w:after="0"/>
        <w:tabs>
          <w:tab w:leader="none" w:pos="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20, 2014, Totus Solutions, Inc., conducted a 10:1 stock split.</w:t>
      </w:r>
    </w:p>
    <w:p>
      <w:pPr>
        <w:spacing w:after="0" w:line="117" w:lineRule="exact"/>
        <w:rPr>
          <w:rFonts w:ascii="Times New Roman" w:cs="Times New Roman" w:eastAsia="Times New Roman" w:hAnsi="Times New Roman"/>
          <w:sz w:val="18"/>
          <w:szCs w:val="18"/>
          <w:color w:val="auto"/>
        </w:rPr>
      </w:pPr>
    </w:p>
    <w:p>
      <w:pPr>
        <w:jc w:val="both"/>
        <w:ind w:left="300" w:right="539" w:hanging="272"/>
        <w:spacing w:after="0" w:line="266" w:lineRule="auto"/>
        <w:tabs>
          <w:tab w:leader="none" w:pos="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will accrue daily on the unpaid principal balance of the note. Accrued interest is not payable until the earlier of a) the closing of a subsequent equity offering by CUX, Inc., or b) the maturity of the note (November 26, 2018). Interest will compound annually beginning on November 26, 2015.</w:t>
      </w:r>
    </w:p>
    <w:p>
      <w:pPr>
        <w:spacing w:after="0" w:line="200" w:lineRule="exact"/>
        <w:rPr>
          <w:sz w:val="20"/>
          <w:szCs w:val="20"/>
          <w:color w:val="auto"/>
        </w:rPr>
      </w:pPr>
    </w:p>
    <w:p>
      <w:pPr>
        <w:spacing w:after="0" w:line="3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107950</wp:posOffset>
            </wp:positionV>
            <wp:extent cx="6114415" cy="596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61" w:name="page62"/>
    <w:bookmarkEnd w:id="61"/>
    <w:p>
      <w:pPr>
        <w:ind w:left="14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80" w:right="519" w:firstLine="27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3175</wp:posOffset>
            </wp:positionV>
            <wp:extent cx="519684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6640" w:type="dxa"/>
            <w:vAlign w:val="bottom"/>
            <w:gridSpan w:val="3"/>
          </w:tcPr>
          <w:p>
            <w:pPr>
              <w:ind w:left="1360"/>
              <w:spacing w:after="0"/>
              <w:rPr>
                <w:sz w:val="20"/>
                <w:szCs w:val="20"/>
                <w:color w:val="auto"/>
              </w:rPr>
            </w:pPr>
            <w:r>
              <w:rPr>
                <w:rFonts w:ascii="Times New Roman" w:cs="Times New Roman" w:eastAsia="Times New Roman" w:hAnsi="Times New Roman"/>
                <w:sz w:val="18"/>
                <w:szCs w:val="18"/>
                <w:b w:val="1"/>
                <w:bCs w:val="1"/>
                <w:color w:val="auto"/>
              </w:rPr>
              <w:t>GSV CAPITAL CORP.</w:t>
            </w:r>
          </w:p>
        </w:tc>
      </w:tr>
      <w:tr>
        <w:trPr>
          <w:trHeight w:val="238"/>
        </w:trPr>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Date: May 11, 2015</w:t>
            </w:r>
          </w:p>
        </w:tc>
        <w:tc>
          <w:tcPr>
            <w:tcW w:w="6640" w:type="dxa"/>
            <w:vAlign w:val="bottom"/>
            <w:gridSpan w:val="3"/>
          </w:tcPr>
          <w:p>
            <w:pPr>
              <w:ind w:left="1360"/>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Michael T. Moe</w:t>
            </w:r>
          </w:p>
        </w:tc>
      </w:tr>
      <w:tr>
        <w:trPr>
          <w:trHeight w:val="191"/>
        </w:trPr>
        <w:tc>
          <w:tcPr>
            <w:tcW w:w="29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6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T. Moe</w:t>
            </w:r>
          </w:p>
        </w:tc>
        <w:tc>
          <w:tcPr>
            <w:tcW w:w="1260" w:type="dxa"/>
            <w:vAlign w:val="bottom"/>
          </w:tcPr>
          <w:p>
            <w:pPr>
              <w:spacing w:after="0"/>
              <w:rPr>
                <w:sz w:val="16"/>
                <w:szCs w:val="16"/>
                <w:color w:val="auto"/>
              </w:rPr>
            </w:pPr>
          </w:p>
        </w:tc>
      </w:tr>
      <w:tr>
        <w:trPr>
          <w:trHeight w:val="216"/>
        </w:trPr>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w:t>
            </w:r>
          </w:p>
        </w:tc>
      </w:tr>
      <w:tr>
        <w:trPr>
          <w:trHeight w:val="216"/>
        </w:trPr>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12"/>
        </w:trPr>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38"/>
        </w:trPr>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Date: May 11, 2015</w:t>
            </w:r>
          </w:p>
        </w:tc>
        <w:tc>
          <w:tcPr>
            <w:tcW w:w="6640" w:type="dxa"/>
            <w:vAlign w:val="bottom"/>
            <w:gridSpan w:val="3"/>
          </w:tcPr>
          <w:p>
            <w:pPr>
              <w:ind w:left="1360"/>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William F. Tanona</w:t>
            </w:r>
          </w:p>
        </w:tc>
      </w:tr>
      <w:tr>
        <w:trPr>
          <w:trHeight w:val="191"/>
        </w:trPr>
        <w:tc>
          <w:tcPr>
            <w:tcW w:w="29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6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William F. Tanona</w:t>
            </w:r>
          </w:p>
        </w:tc>
        <w:tc>
          <w:tcPr>
            <w:tcW w:w="1260" w:type="dxa"/>
            <w:vAlign w:val="bottom"/>
          </w:tcPr>
          <w:p>
            <w:pPr>
              <w:spacing w:after="0"/>
              <w:rPr>
                <w:sz w:val="16"/>
                <w:szCs w:val="16"/>
                <w:color w:val="auto"/>
              </w:rPr>
            </w:pPr>
          </w:p>
        </w:tc>
      </w:tr>
      <w:tr>
        <w:trPr>
          <w:trHeight w:val="216"/>
        </w:trPr>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Treasurer and Secretary</w:t>
            </w:r>
          </w:p>
        </w:tc>
      </w:tr>
      <w:tr>
        <w:trPr>
          <w:trHeight w:val="234"/>
        </w:trPr>
        <w:tc>
          <w:tcPr>
            <w:tcW w:w="29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70"/>
        </w:trPr>
        <w:tc>
          <w:tcPr>
            <w:tcW w:w="2960" w:type="dxa"/>
            <w:vAlign w:val="bottom"/>
          </w:tcPr>
          <w:p>
            <w:pPr>
              <w:spacing w:after="0"/>
              <w:rPr>
                <w:sz w:val="24"/>
                <w:szCs w:val="24"/>
                <w:color w:val="auto"/>
              </w:rPr>
            </w:pPr>
          </w:p>
        </w:tc>
        <w:tc>
          <w:tcPr>
            <w:tcW w:w="538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60</w:t>
            </w:r>
          </w:p>
        </w:tc>
        <w:tc>
          <w:tcPr>
            <w:tcW w:w="1260" w:type="dxa"/>
            <w:vAlign w:val="bottom"/>
          </w:tcPr>
          <w:p>
            <w:pPr>
              <w:spacing w:after="0"/>
              <w:rPr>
                <w:sz w:val="24"/>
                <w:szCs w:val="24"/>
                <w:color w:val="auto"/>
              </w:rPr>
            </w:pPr>
          </w:p>
        </w:tc>
      </w:tr>
      <w:tr>
        <w:trPr>
          <w:trHeight w:val="162"/>
        </w:trPr>
        <w:tc>
          <w:tcPr>
            <w:tcW w:w="296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366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2960" w:type="dxa"/>
            <w:vAlign w:val="bottom"/>
            <w:tcBorders>
              <w:bottom w:val="single" w:sz="8" w:color="EEEEEE"/>
            </w:tcBorders>
          </w:tcPr>
          <w:p>
            <w:pPr>
              <w:spacing w:after="0" w:line="20" w:lineRule="exact"/>
              <w:rPr>
                <w:sz w:val="1"/>
                <w:szCs w:val="1"/>
                <w:color w:val="auto"/>
              </w:rPr>
            </w:pPr>
          </w:p>
        </w:tc>
        <w:tc>
          <w:tcPr>
            <w:tcW w:w="1720" w:type="dxa"/>
            <w:vAlign w:val="bottom"/>
            <w:tcBorders>
              <w:bottom w:val="single" w:sz="8" w:color="EEEEEE"/>
            </w:tcBorders>
          </w:tcPr>
          <w:p>
            <w:pPr>
              <w:spacing w:after="0" w:line="20" w:lineRule="exact"/>
              <w:rPr>
                <w:sz w:val="1"/>
                <w:szCs w:val="1"/>
                <w:color w:val="auto"/>
              </w:rPr>
            </w:pPr>
          </w:p>
        </w:tc>
        <w:tc>
          <w:tcPr>
            <w:tcW w:w="366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0" w:right="1440" w:bottom="1440" w:gutter="0" w:footer="0" w:header="0"/>
        </w:sectPr>
      </w:pPr>
    </w:p>
    <w:bookmarkStart w:id="62" w:name="page63"/>
    <w:bookmarkEnd w:id="62"/>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Michael T. Moe, certify that:</w:t>
      </w:r>
    </w:p>
    <w:p>
      <w:pPr>
        <w:spacing w:after="0" w:line="117" w:lineRule="exact"/>
        <w:rPr>
          <w:sz w:val="20"/>
          <w:szCs w:val="20"/>
          <w:color w:val="auto"/>
        </w:rPr>
      </w:pPr>
    </w:p>
    <w:p>
      <w:pPr>
        <w:ind w:left="540" w:hanging="262"/>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GSV Capital Corp.;</w:t>
      </w:r>
    </w:p>
    <w:p>
      <w:pPr>
        <w:spacing w:after="0" w:line="117" w:lineRule="exact"/>
        <w:rPr>
          <w:rFonts w:ascii="Times New Roman" w:cs="Times New Roman" w:eastAsia="Times New Roman" w:hAnsi="Times New Roman"/>
          <w:sz w:val="18"/>
          <w:szCs w:val="18"/>
          <w:color w:val="auto"/>
        </w:rPr>
      </w:pPr>
    </w:p>
    <w:p>
      <w:pPr>
        <w:jc w:val="both"/>
        <w:ind w:left="540" w:right="519" w:hanging="262"/>
        <w:spacing w:after="0" w:line="266"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jc w:val="both"/>
        <w:ind w:left="540" w:right="519" w:hanging="262"/>
        <w:spacing w:after="0" w:line="266"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18"/>
          <w:szCs w:val="18"/>
          <w:color w:val="auto"/>
        </w:rPr>
      </w:pPr>
    </w:p>
    <w:p>
      <w:pPr>
        <w:jc w:val="both"/>
        <w:ind w:left="540" w:right="539" w:hanging="262"/>
        <w:spacing w:after="0" w:line="266"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820" w:right="519" w:hanging="272"/>
        <w:spacing w:after="0" w:line="261" w:lineRule="auto"/>
        <w:tabs>
          <w:tab w:leader="none" w:pos="8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820" w:right="539" w:hanging="272"/>
        <w:spacing w:after="0" w:line="266" w:lineRule="auto"/>
        <w:tabs>
          <w:tab w:leader="none" w:pos="8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820" w:right="519" w:hanging="272"/>
        <w:spacing w:after="0" w:line="266" w:lineRule="auto"/>
        <w:tabs>
          <w:tab w:leader="none" w:pos="8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8"/>
          <w:szCs w:val="18"/>
          <w:color w:val="auto"/>
        </w:rPr>
      </w:pPr>
    </w:p>
    <w:p>
      <w:pPr>
        <w:jc w:val="both"/>
        <w:ind w:left="820" w:right="519" w:hanging="272"/>
        <w:spacing w:after="0" w:line="261" w:lineRule="auto"/>
        <w:tabs>
          <w:tab w:leader="none" w:pos="8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540" w:right="519" w:hanging="262"/>
        <w:spacing w:after="0" w:line="266"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18"/>
          <w:szCs w:val="18"/>
          <w:color w:val="auto"/>
        </w:rPr>
      </w:pPr>
    </w:p>
    <w:p>
      <w:pPr>
        <w:jc w:val="both"/>
        <w:ind w:left="820" w:right="539" w:hanging="272"/>
        <w:spacing w:after="0" w:line="266" w:lineRule="auto"/>
        <w:tabs>
          <w:tab w:leader="none" w:pos="8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8"/>
          <w:szCs w:val="18"/>
          <w:color w:val="auto"/>
        </w:rPr>
      </w:pPr>
    </w:p>
    <w:p>
      <w:pPr>
        <w:ind w:left="820" w:right="539" w:hanging="272"/>
        <w:spacing w:after="0" w:line="282" w:lineRule="auto"/>
        <w:tabs>
          <w:tab w:leader="none" w:pos="8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this 11</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of May 2015.</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By:/s/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4445</wp:posOffset>
            </wp:positionV>
            <wp:extent cx="164655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8"/>
          <w:szCs w:val="18"/>
          <w:b w:val="1"/>
          <w:bCs w:val="1"/>
          <w:color w:val="auto"/>
        </w:rPr>
        <w:t>Michael T. Moe</w:t>
      </w:r>
    </w:p>
    <w:p>
      <w:pPr>
        <w:spacing w:after="0" w:line="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47" w:right="1440" w:bottom="1440" w:gutter="0" w:footer="0" w:header="0"/>
        </w:sectPr>
      </w:pPr>
    </w:p>
    <w:bookmarkStart w:id="63" w:name="page64"/>
    <w:bookmarkEnd w:id="63"/>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William F. Tanona, certify that:</w:t>
      </w:r>
    </w:p>
    <w:p>
      <w:pPr>
        <w:spacing w:after="0" w:line="117" w:lineRule="exact"/>
        <w:rPr>
          <w:sz w:val="20"/>
          <w:szCs w:val="20"/>
          <w:color w:val="auto"/>
        </w:rPr>
      </w:pPr>
    </w:p>
    <w:p>
      <w:pPr>
        <w:ind w:left="540" w:hanging="262"/>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GSV Capital Corp.;</w:t>
      </w:r>
    </w:p>
    <w:p>
      <w:pPr>
        <w:spacing w:after="0" w:line="117" w:lineRule="exact"/>
        <w:rPr>
          <w:rFonts w:ascii="Times New Roman" w:cs="Times New Roman" w:eastAsia="Times New Roman" w:hAnsi="Times New Roman"/>
          <w:sz w:val="18"/>
          <w:szCs w:val="18"/>
          <w:color w:val="auto"/>
        </w:rPr>
      </w:pPr>
    </w:p>
    <w:p>
      <w:pPr>
        <w:jc w:val="both"/>
        <w:ind w:left="540" w:right="519" w:hanging="262"/>
        <w:spacing w:after="0" w:line="266"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jc w:val="both"/>
        <w:ind w:left="540" w:right="519" w:hanging="262"/>
        <w:spacing w:after="0" w:line="266"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18"/>
          <w:szCs w:val="18"/>
          <w:color w:val="auto"/>
        </w:rPr>
      </w:pPr>
    </w:p>
    <w:p>
      <w:pPr>
        <w:jc w:val="both"/>
        <w:ind w:left="540" w:right="539" w:hanging="262"/>
        <w:spacing w:after="0" w:line="266"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820" w:right="519" w:hanging="272"/>
        <w:spacing w:after="0" w:line="261" w:lineRule="auto"/>
        <w:tabs>
          <w:tab w:leader="none" w:pos="8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820" w:right="539" w:hanging="272"/>
        <w:spacing w:after="0" w:line="266" w:lineRule="auto"/>
        <w:tabs>
          <w:tab w:leader="none" w:pos="8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820" w:right="519" w:hanging="272"/>
        <w:spacing w:after="0" w:line="266" w:lineRule="auto"/>
        <w:tabs>
          <w:tab w:leader="none" w:pos="8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8"/>
          <w:szCs w:val="18"/>
          <w:color w:val="auto"/>
        </w:rPr>
      </w:pPr>
    </w:p>
    <w:p>
      <w:pPr>
        <w:jc w:val="both"/>
        <w:ind w:left="820" w:right="519" w:hanging="272"/>
        <w:spacing w:after="0" w:line="261" w:lineRule="auto"/>
        <w:tabs>
          <w:tab w:leader="none" w:pos="8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540" w:right="519" w:hanging="262"/>
        <w:spacing w:after="0" w:line="266"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18"/>
          <w:szCs w:val="18"/>
          <w:color w:val="auto"/>
        </w:rPr>
      </w:pPr>
    </w:p>
    <w:p>
      <w:pPr>
        <w:jc w:val="both"/>
        <w:ind w:left="820" w:right="539" w:hanging="272"/>
        <w:spacing w:after="0" w:line="266" w:lineRule="auto"/>
        <w:tabs>
          <w:tab w:leader="none" w:pos="8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8"/>
          <w:szCs w:val="18"/>
          <w:color w:val="auto"/>
        </w:rPr>
      </w:pPr>
    </w:p>
    <w:p>
      <w:pPr>
        <w:ind w:left="820" w:right="539" w:hanging="272"/>
        <w:spacing w:after="0" w:line="282" w:lineRule="auto"/>
        <w:tabs>
          <w:tab w:leader="none" w:pos="8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this 11</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of May 2015.</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By:/s/ William F.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4445</wp:posOffset>
            </wp:positionV>
            <wp:extent cx="164655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8"/>
          <w:szCs w:val="18"/>
          <w:b w:val="1"/>
          <w:bCs w:val="1"/>
          <w:color w:val="auto"/>
        </w:rPr>
        <w:t>William F. Tanona</w:t>
      </w:r>
    </w:p>
    <w:p>
      <w:pPr>
        <w:spacing w:after="0" w:line="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47" w:right="1440" w:bottom="1440" w:gutter="0" w:footer="0" w:header="0"/>
        </w:sectPr>
      </w:pPr>
    </w:p>
    <w:bookmarkStart w:id="64" w:name="page65"/>
    <w:bookmarkEnd w:id="64"/>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99" w:lineRule="exact"/>
        <w:rPr>
          <w:sz w:val="20"/>
          <w:szCs w:val="20"/>
          <w:color w:val="auto"/>
        </w:rPr>
      </w:pPr>
    </w:p>
    <w:p>
      <w:pPr>
        <w:jc w:val="both"/>
        <w:ind w:right="539" w:firstLine="27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period ended March 31, 2015 (the “Report”) of GSV Capital Corp. (the “Registrant”), as filed with the Securities and Exchange Commission on the date hereof, I, Michael T. Moe, the Chief Executive Officer of the Registrant, hereby certify, to the best of my knowledge, that:</w:t>
      </w:r>
    </w:p>
    <w:p>
      <w:pPr>
        <w:spacing w:after="0" w:line="68" w:lineRule="exact"/>
        <w:rPr>
          <w:sz w:val="20"/>
          <w:szCs w:val="20"/>
          <w:color w:val="auto"/>
        </w:rPr>
      </w:pPr>
    </w:p>
    <w:p>
      <w:pPr>
        <w:ind w:left="500" w:right="539" w:hanging="262"/>
        <w:spacing w:after="0" w:line="282"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500" w:right="519" w:hanging="262"/>
        <w:spacing w:after="0" w:line="282"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5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17145</wp:posOffset>
            </wp:positionV>
            <wp:extent cx="397891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Name: Michael T. Moe</w:t>
      </w:r>
    </w:p>
    <w:p>
      <w:pPr>
        <w:spacing w:after="0" w:line="3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May 11,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47" w:right="1440" w:bottom="1440" w:gutter="0" w:footer="0" w:header="0"/>
        </w:sectPr>
      </w:pPr>
    </w:p>
    <w:bookmarkStart w:id="65" w:name="page66"/>
    <w:bookmarkEnd w:id="65"/>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99" w:lineRule="exact"/>
        <w:rPr>
          <w:sz w:val="20"/>
          <w:szCs w:val="20"/>
          <w:color w:val="auto"/>
        </w:rPr>
      </w:pPr>
    </w:p>
    <w:p>
      <w:pPr>
        <w:jc w:val="both"/>
        <w:ind w:right="519" w:firstLine="27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period ended March 31, 2015 (the “Report”) of GSV Capital Corp. (the “Registrant”), as filed with the Securities and Exchange Commission on the date hereof, I, William Tanona, the Chief Financial Officer of the Registrant, hereby certify, to the best of my knowledge, that:</w:t>
      </w:r>
    </w:p>
    <w:p>
      <w:pPr>
        <w:spacing w:after="0" w:line="68" w:lineRule="exact"/>
        <w:rPr>
          <w:sz w:val="20"/>
          <w:szCs w:val="20"/>
          <w:color w:val="auto"/>
        </w:rPr>
      </w:pPr>
    </w:p>
    <w:p>
      <w:pPr>
        <w:ind w:left="500" w:right="539" w:hanging="262"/>
        <w:spacing w:after="0" w:line="282"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500" w:right="519" w:hanging="262"/>
        <w:spacing w:after="0" w:line="282"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5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 William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17145</wp:posOffset>
            </wp:positionV>
            <wp:extent cx="397891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Name: William Tanona</w:t>
      </w:r>
    </w:p>
    <w:p>
      <w:pPr>
        <w:spacing w:after="0" w:line="3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May 11,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sectPr>
      <w:pgSz w:w="11900" w:h="16838" w:orient="portrait"/>
      <w:cols w:equalWidth="0" w:num="1">
        <w:col w:w="10039"/>
      </w:cols>
      <w:pgMar w:left="420" w:top="3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x"/>
      <w:numFmt w:val="bullet"/>
      <w:start w:val="1"/>
    </w:lvl>
  </w:abstractNum>
  <w:abstractNum w:abstractNumId="1">
    <w:nsid w:val="431BD7B7"/>
    <w:multiLevelType w:val="hybridMultilevel"/>
    <w:lvl w:ilvl="0">
      <w:lvlJc w:val="left"/>
      <w:lvlText w:val="o"/>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4"/>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8"/>
    </w:lvl>
  </w:abstractNum>
  <w:abstractNum w:abstractNumId="10">
    <w:nsid w:val="2443A858"/>
    <w:multiLevelType w:val="hybridMultilevel"/>
    <w:lvl w:ilvl="0">
      <w:lvlJc w:val="left"/>
      <w:lvlText w:val="(%1)"/>
      <w:numFmt w:val="decimal"/>
      <w:start w:val="12"/>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lowerLetter"/>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lowerLetter"/>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2019-12-29T18:01:31Z</dcterms:created>
  <dcterms:modified xsi:type="dcterms:W3CDTF">2019-12-29T18:01:31Z</dcterms:modified>
</cp:coreProperties>
</file>