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2"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462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8"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167" w:lineRule="exact"/>
        <w:rPr>
          <w:sz w:val="24"/>
          <w:szCs w:val="24"/>
          <w:color w:val="auto"/>
        </w:rPr>
      </w:pPr>
    </w:p>
    <w:p>
      <w:pPr>
        <w:ind w:left="4080" w:right="2800" w:hanging="4072"/>
        <w:spacing w:after="0" w:line="394" w:lineRule="auto"/>
        <w:tabs>
          <w:tab w:leader="none" w:pos="19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spacing w:after="0" w:line="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SuRo Capital Corp.</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4000" w:type="dxa"/>
            <w:vAlign w:val="bottom"/>
          </w:tcPr>
          <w:p>
            <w:pPr>
              <w:jc w:val="center"/>
              <w:ind w:left="1483"/>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Pr>
          <w:p>
            <w:pPr>
              <w:jc w:val="right"/>
              <w:ind w:right="2364"/>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188"/>
        </w:trPr>
        <w:tc>
          <w:tcPr>
            <w:tcW w:w="4000" w:type="dxa"/>
            <w:vAlign w:val="bottom"/>
          </w:tcPr>
          <w:p>
            <w:pPr>
              <w:jc w:val="center"/>
              <w:ind w:left="1483"/>
              <w:spacing w:after="0"/>
              <w:rPr>
                <w:sz w:val="20"/>
                <w:szCs w:val="20"/>
                <w:color w:val="auto"/>
              </w:rPr>
            </w:pPr>
            <w:r>
              <w:rPr>
                <w:rFonts w:ascii="Times New Roman" w:cs="Times New Roman" w:eastAsia="Times New Roman" w:hAnsi="Times New Roman"/>
                <w:sz w:val="14"/>
                <w:szCs w:val="14"/>
                <w:color w:val="auto"/>
              </w:rPr>
              <w:t>(State of incorporation)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Pr>
          <w:p>
            <w:pPr>
              <w:jc w:val="center"/>
              <w:ind w:right="158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7220" w:type="dxa"/>
            <w:vAlign w:val="bottom"/>
            <w:gridSpan w:val="6"/>
          </w:tcPr>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One Sansome Street, Suite 730, San Francisco, CA</w:t>
            </w:r>
          </w:p>
        </w:tc>
        <w:tc>
          <w:tcPr>
            <w:tcW w:w="3980" w:type="dxa"/>
            <w:vAlign w:val="bottom"/>
          </w:tcPr>
          <w:p>
            <w:pPr>
              <w:jc w:val="right"/>
              <w:ind w:right="2544"/>
              <w:spacing w:after="0"/>
              <w:rPr>
                <w:sz w:val="20"/>
                <w:szCs w:val="20"/>
                <w:color w:val="auto"/>
              </w:rPr>
            </w:pPr>
            <w:r>
              <w:rPr>
                <w:rFonts w:ascii="Times New Roman" w:cs="Times New Roman" w:eastAsia="Times New Roman" w:hAnsi="Times New Roman"/>
                <w:sz w:val="16"/>
                <w:szCs w:val="16"/>
                <w:b w:val="1"/>
                <w:bCs w:val="1"/>
                <w:color w:val="auto"/>
              </w:rPr>
              <w:t>94104</w:t>
            </w:r>
          </w:p>
        </w:tc>
      </w:tr>
      <w:tr>
        <w:trPr>
          <w:trHeight w:val="188"/>
        </w:trPr>
        <w:tc>
          <w:tcPr>
            <w:tcW w:w="4000" w:type="dxa"/>
            <w:vAlign w:val="bottom"/>
          </w:tcPr>
          <w:p>
            <w:pPr>
              <w:jc w:val="center"/>
              <w:ind w:left="14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Pr>
          <w:p>
            <w:pPr>
              <w:jc w:val="center"/>
              <w:ind w:right="1584"/>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4000" w:type="dxa"/>
            <w:vAlign w:val="bottom"/>
          </w:tcPr>
          <w:p>
            <w:pPr>
              <w:spacing w:after="0"/>
              <w:rPr>
                <w:sz w:val="23"/>
                <w:szCs w:val="23"/>
                <w:color w:val="auto"/>
              </w:rPr>
            </w:pPr>
          </w:p>
        </w:tc>
        <w:tc>
          <w:tcPr>
            <w:tcW w:w="2720" w:type="dxa"/>
            <w:vAlign w:val="bottom"/>
            <w:gridSpan w:val="3"/>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w w:val="99"/>
              </w:rPr>
              <w:t>(650) 235-4769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980" w:type="dxa"/>
            <w:vAlign w:val="bottom"/>
          </w:tcPr>
          <w:p>
            <w:pPr>
              <w:spacing w:after="0"/>
              <w:rPr>
                <w:sz w:val="23"/>
                <w:szCs w:val="23"/>
                <w:color w:val="auto"/>
              </w:rPr>
            </w:pPr>
          </w:p>
        </w:tc>
      </w:tr>
      <w:tr>
        <w:trPr>
          <w:trHeight w:val="188"/>
        </w:trPr>
        <w:tc>
          <w:tcPr>
            <w:tcW w:w="4000" w:type="dxa"/>
            <w:vAlign w:val="bottom"/>
          </w:tcPr>
          <w:p>
            <w:pPr>
              <w:spacing w:after="0"/>
              <w:rPr>
                <w:sz w:val="16"/>
                <w:szCs w:val="16"/>
                <w:color w:val="auto"/>
              </w:rPr>
            </w:pPr>
          </w:p>
        </w:tc>
        <w:tc>
          <w:tcPr>
            <w:tcW w:w="32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6"/>
                <w:szCs w:val="16"/>
                <w:color w:val="auto"/>
              </w:rPr>
            </w:pPr>
          </w:p>
        </w:tc>
      </w:tr>
      <w:tr>
        <w:trPr>
          <w:trHeight w:val="557"/>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85"/>
        </w:trPr>
        <w:tc>
          <w:tcPr>
            <w:tcW w:w="400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8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9"/>
        </w:trPr>
        <w:tc>
          <w:tcPr>
            <w:tcW w:w="400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SSSS</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304"/>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329" w:lineRule="exact"/>
        <w:rPr>
          <w:sz w:val="24"/>
          <w:szCs w:val="24"/>
          <w:color w:val="auto"/>
        </w:rPr>
      </w:pPr>
    </w:p>
    <w:p>
      <w:pPr>
        <w:ind w:right="40" w:firstLine="36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right="40" w:firstLine="36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firstLine="36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9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Arial" w:cs="Arial" w:eastAsia="Arial" w:hAnsi="Arial"/>
          <w:sz w:val="16"/>
          <w:szCs w:val="16"/>
          <w:color w:val="auto"/>
        </w:rPr>
        <w:t>x</w:t>
      </w:r>
    </w:p>
    <w:p>
      <w:pPr>
        <w:spacing w:after="0" w:line="35" w:lineRule="exact"/>
        <w:rPr>
          <w:sz w:val="24"/>
          <w:szCs w:val="24"/>
          <w:color w:val="auto"/>
        </w:rPr>
      </w:pPr>
    </w:p>
    <w:p>
      <w:pPr>
        <w:sectPr>
          <w:pgSz w:w="11900" w:h="16838" w:orient="portrait"/>
          <w:cols w:equalWidth="0" w:num="2">
            <w:col w:w="7040" w:space="720"/>
            <w:col w:w="3480"/>
          </w:cols>
          <w:pgMar w:left="320" w:top="225" w:right="339" w:bottom="1440" w:gutter="0" w:footer="0" w:header="0"/>
          <w:type w:val="continuous"/>
        </w:sectPr>
      </w:pPr>
    </w:p>
    <w:p>
      <w:pPr>
        <w:ind w:left="360"/>
        <w:spacing w:after="0"/>
        <w:tabs>
          <w:tab w:leader="none" w:pos="1920" w:val="left"/>
        </w:tabs>
        <w:rPr>
          <w:sz w:val="20"/>
          <w:szCs w:val="20"/>
          <w:color w:val="auto"/>
        </w:rPr>
      </w:pPr>
      <w:r>
        <w:rPr>
          <w:rFonts w:ascii="Times New Roman" w:cs="Times New Roman" w:eastAsia="Times New Roman" w:hAnsi="Times New Roman"/>
          <w:sz w:val="16"/>
          <w:szCs w:val="16"/>
          <w:color w:val="auto"/>
        </w:rPr>
        <w:t>Non-accelerated filer</w:t>
        <w:tab/>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ectPr>
          <w:pgSz w:w="11900" w:h="16838" w:orient="portrait"/>
          <w:cols w:equalWidth="0" w:num="2">
            <w:col w:w="7040" w:space="720"/>
            <w:col w:w="3480"/>
          </w:cols>
          <w:pgMar w:left="320" w:top="225"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Emerging growth company</w:t>
      </w:r>
    </w:p>
    <w:p>
      <w:pPr>
        <w:sectPr>
          <w:pgSz w:w="11900" w:h="16838" w:orient="portrait"/>
          <w:cols w:equalWidth="0" w:num="1">
            <w:col w:w="11240"/>
          </w:cols>
          <w:pgMar w:left="320" w:top="225" w:right="339" w:bottom="1440" w:gutter="0" w:footer="0" w:header="0"/>
          <w:type w:val="continuous"/>
        </w:sectPr>
      </w:pPr>
    </w:p>
    <w:p>
      <w:pPr>
        <w:spacing w:after="0" w:line="100" w:lineRule="exact"/>
        <w:rPr>
          <w:sz w:val="24"/>
          <w:szCs w:val="24"/>
          <w:color w:val="auto"/>
        </w:rPr>
      </w:pPr>
    </w:p>
    <w:p>
      <w:pPr>
        <w:ind w:right="220" w:firstLine="364"/>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6" w:lineRule="exact"/>
        <w:rPr>
          <w:sz w:val="24"/>
          <w:szCs w:val="24"/>
          <w:color w:val="auto"/>
        </w:rPr>
      </w:pPr>
    </w:p>
    <w:p>
      <w:pPr>
        <w:ind w:left="340"/>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7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issuer had 19,914,023 shares of common stock, $0.01 par value per share, outstanding as of November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77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Financial Statements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Assets and Liabilities as of September 30, 2020 (Unaudited) and December 31, 2019</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9380" w:type="dxa"/>
            <w:vAlign w:val="bottom"/>
            <w:gridSpan w:val="4"/>
          </w:tcPr>
          <w:p>
            <w:pPr>
              <w:spacing w:after="0" w:line="189"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Statements of Operations for the Three and Nine Months Ended September 30, 2020 and 2019</w:t>
              </w:r>
            </w:hyperlink>
          </w:p>
        </w:tc>
        <w:tc>
          <w:tcPr>
            <w:tcW w:w="6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6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(Unaudited)</w:t>
              </w:r>
            </w:hyperlink>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9380" w:type="dxa"/>
            <w:vAlign w:val="bottom"/>
            <w:gridSpan w:val="4"/>
            <w:shd w:val="clear" w:color="auto" w:fill="CCEEFF"/>
          </w:tcPr>
          <w:p>
            <w:pPr>
              <w:spacing w:after="0" w:line="189"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Changes in Net Assets for the Nine Months Ended September 30, 2020 and 2019</w:t>
              </w:r>
            </w:hyperlink>
          </w:p>
        </w:tc>
        <w:tc>
          <w:tcPr>
            <w:tcW w:w="680" w:type="dxa"/>
            <w:vAlign w:val="bottom"/>
            <w:vMerge w:val="restart"/>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8"/>
              </w:rPr>
            </w:pPr>
            <w:hyperlink w:anchor="page4">
              <w:r>
                <w:rPr>
                  <w:rFonts w:ascii="Times New Roman" w:cs="Times New Roman" w:eastAsia="Times New Roman" w:hAnsi="Times New Roman"/>
                  <w:sz w:val="18"/>
                  <w:szCs w:val="18"/>
                  <w:color w:val="0000FF"/>
                  <w:w w:val="98"/>
                </w:rPr>
                <w:t>(Unaudited)</w:t>
              </w:r>
            </w:hyperlink>
          </w:p>
        </w:tc>
        <w:tc>
          <w:tcPr>
            <w:tcW w:w="784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Cash Flows for the Nine Months Ended September 30, 2020 and 2019 (Unaudited)</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Schedule of Investments as of September 30, 2020 (Unaudited)</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Condensed Consolidated Schedule of Investments as of December 31, 2019</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Notes to Condensed Consolidated Financial Statements as of September 30, 2020 (Unaudited)</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13</w:t>
              </w:r>
            </w:hyperlink>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Item 2.</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Item 3.</w:t>
              </w:r>
            </w:hyperlink>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Quantitative and Qualitative Disclosures About Market Risk</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69</w:t>
              </w:r>
            </w:hyperlink>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Item 4.</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Controls and Procedures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69</w:t>
              </w:r>
            </w:hyperlink>
          </w:p>
        </w:tc>
        <w:tc>
          <w:tcPr>
            <w:tcW w:w="0" w:type="dxa"/>
            <w:vAlign w:val="bottom"/>
          </w:tcPr>
          <w:p>
            <w:pPr>
              <w:spacing w:after="0"/>
              <w:rPr>
                <w:sz w:val="1"/>
                <w:szCs w:val="1"/>
                <w:color w:val="auto"/>
              </w:rPr>
            </w:pPr>
          </w:p>
        </w:tc>
      </w:tr>
      <w:tr>
        <w:trPr>
          <w:trHeight w:val="243"/>
        </w:trPr>
        <w:tc>
          <w:tcPr>
            <w:tcW w:w="10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Item 1.</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Legal Proceedings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70</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Item 1A.</w:t>
              </w:r>
            </w:hyperlink>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Risk Factors</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70</w:t>
              </w:r>
            </w:hyperlink>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Item 2.</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Unregistered Sales of Equity Securities and Use of Proceeds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Item 3.</w:t>
              </w:r>
            </w:hyperlink>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Defaults Upon Senior Securities</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73</w:t>
              </w:r>
            </w:hyperlink>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4.</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Mine Safety Disclosures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73</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5.</w:t>
              </w:r>
            </w:hyperlink>
          </w:p>
        </w:tc>
        <w:tc>
          <w:tcPr>
            <w:tcW w:w="93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Other Information</w:t>
              </w:r>
            </w:hyperlink>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73</w:t>
              </w:r>
            </w:hyperlink>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Item 6.</w:t>
              </w:r>
            </w:hyperlink>
          </w:p>
        </w:tc>
        <w:tc>
          <w:tcPr>
            <w:tcW w:w="9380" w:type="dxa"/>
            <w:vAlign w:val="bottom"/>
            <w:gridSpan w:val="4"/>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Exhibits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Signatures</w:t>
              </w:r>
            </w:hyperlink>
          </w:p>
        </w:tc>
        <w:tc>
          <w:tcPr>
            <w:tcW w:w="880" w:type="dxa"/>
            <w:vAlign w:val="bottom"/>
            <w:shd w:val="clear" w:color="auto" w:fill="CCEEFF"/>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75</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-1464945</wp:posOffset>
            </wp:positionV>
            <wp:extent cx="66605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-3299460</wp:posOffset>
            </wp:positionV>
            <wp:extent cx="666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 (cost of $99,438,709 and $90,567,041, respectively)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186,045,176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152,866,112</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 (cost of $52,857,243 and $52,857,243, respectively)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28,440,826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37,944,268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 (cost of $7,161,412 and $7,161,412,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775,198</w:t>
            </w:r>
          </w:p>
        </w:tc>
        <w:tc>
          <w:tcPr>
            <w:tcW w:w="0" w:type="dxa"/>
            <w:vAlign w:val="bottom"/>
          </w:tcPr>
          <w:p>
            <w:pPr>
              <w:spacing w:after="0"/>
              <w:rPr>
                <w:sz w:val="1"/>
                <w:szCs w:val="1"/>
                <w:color w:val="auto"/>
              </w:rPr>
            </w:pPr>
          </w:p>
        </w:tc>
      </w:tr>
      <w:tr>
        <w:trPr>
          <w:trHeight w:val="207"/>
        </w:trPr>
        <w:tc>
          <w:tcPr>
            <w:tcW w:w="7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Portfolio Investments</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215,446,200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191,585,578</w:t>
            </w:r>
          </w:p>
        </w:tc>
        <w:tc>
          <w:tcPr>
            <w:tcW w:w="0" w:type="dxa"/>
            <w:vAlign w:val="bottom"/>
          </w:tcPr>
          <w:p>
            <w:pPr>
              <w:spacing w:after="0"/>
              <w:rPr>
                <w:sz w:val="1"/>
                <w:szCs w:val="1"/>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U.S. Treasury bills (cost of $149,999,917 and $49,996,667, respectively)</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(cost of $309,457,281 and $200,582,363, respectively)</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365,446,200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241,585,578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60,595,499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44,861,263</w:t>
            </w: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receivable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1,161,669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1,755,933</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432,133,158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288,564,089</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1,143,923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 to executive officers</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1,369,873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5,074,591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2,107,709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134,249,917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44,746,660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7720" w:type="dxa"/>
            <w:vAlign w:val="bottom"/>
            <w:tcBorders>
              <w:bottom w:val="single" w:sz="8" w:color="CCEEFF"/>
            </w:tcBorders>
            <w:shd w:val="clear" w:color="auto" w:fill="CCEEFF"/>
          </w:tcPr>
          <w:p>
            <w:pPr>
              <w:ind w:left="20"/>
              <w:spacing w:after="0" w:line="232" w:lineRule="exact"/>
              <w:rPr>
                <w:sz w:val="20"/>
                <w:szCs w:val="20"/>
                <w:color w:val="auto"/>
              </w:rPr>
            </w:pPr>
            <w:r>
              <w:rPr>
                <w:rFonts w:ascii="Times New Roman" w:cs="Times New Roman" w:eastAsia="Times New Roman" w:hAnsi="Times New Roman"/>
                <w:sz w:val="16"/>
                <w:szCs w:val="16"/>
                <w:color w:val="auto"/>
              </w:rPr>
              <w:t>4.75% Convertible Senior Notes due March 28, 2023</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37,305,608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38,803,635</w:t>
            </w:r>
          </w:p>
        </w:tc>
        <w:tc>
          <w:tcPr>
            <w:tcW w:w="0" w:type="dxa"/>
            <w:vAlign w:val="bottom"/>
          </w:tcPr>
          <w:p>
            <w:pPr>
              <w:spacing w:after="0"/>
              <w:rPr>
                <w:sz w:val="1"/>
                <w:szCs w:val="1"/>
                <w:color w:val="auto"/>
              </w:rPr>
            </w:pPr>
          </w:p>
        </w:tc>
      </w:tr>
      <w:tr>
        <w:trPr>
          <w:trHeight w:val="208"/>
        </w:trPr>
        <w:tc>
          <w:tcPr>
            <w:tcW w:w="7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179,420,389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88,646,800</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252,712,769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199,917,289</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20,284,811 and 17,564,244 issued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202,848</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175,642</w:t>
            </w:r>
          </w:p>
        </w:tc>
        <w:tc>
          <w:tcPr>
            <w:tcW w:w="0" w:type="dxa"/>
            <w:vAlign w:val="bottom"/>
          </w:tcPr>
          <w:p>
            <w:pPr>
              <w:spacing w:after="0"/>
              <w:rPr>
                <w:sz w:val="1"/>
                <w:szCs w:val="1"/>
                <w:color w:val="auto"/>
              </w:rPr>
            </w:pPr>
          </w:p>
        </w:tc>
      </w:tr>
      <w:tr>
        <w:trPr>
          <w:trHeight w:val="213"/>
        </w:trPr>
        <w:tc>
          <w:tcPr>
            <w:tcW w:w="7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outstanding, respectively)</w:t>
            </w:r>
          </w:p>
        </w:tc>
        <w:tc>
          <w:tcPr>
            <w:tcW w:w="18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225,047,913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178,550,374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(35,939,194)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(25,679,362)</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net realized gain on investments, net of distributions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5,867,417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55,988,921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41,003,218</w:t>
            </w:r>
          </w:p>
        </w:tc>
        <w:tc>
          <w:tcPr>
            <w:tcW w:w="0" w:type="dxa"/>
            <w:vAlign w:val="bottom"/>
          </w:tcPr>
          <w:p>
            <w:pPr>
              <w:spacing w:after="0"/>
              <w:rPr>
                <w:sz w:val="1"/>
                <w:szCs w:val="1"/>
                <w:color w:val="auto"/>
              </w:rPr>
            </w:pPr>
          </w:p>
        </w:tc>
      </w:tr>
      <w:tr>
        <w:trPr>
          <w:trHeight w:val="212"/>
        </w:trPr>
        <w:tc>
          <w:tcPr>
            <w:tcW w:w="77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252,712,769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199,917,289</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-1859915</wp:posOffset>
            </wp:positionV>
            <wp:extent cx="490347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3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490347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3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4903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3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 w:lineRule="exact"/>
        <w:rPr>
          <w:sz w:val="20"/>
          <w:szCs w:val="20"/>
          <w:color w:val="auto"/>
        </w:rPr>
      </w:pPr>
    </w:p>
    <w:p>
      <w:pPr>
        <w:ind w:left="340" w:hanging="332"/>
        <w:spacing w:after="0" w:line="241" w:lineRule="auto"/>
        <w:tabs>
          <w:tab w:leader="none" w:pos="37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4"/>
          <w:szCs w:val="14"/>
          <w:i w:val="1"/>
          <w:iCs w:val="1"/>
          <w:color w:val="auto"/>
        </w:rPr>
        <w:t>Operating Leases and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Deposits</w:t>
      </w:r>
      <w:r>
        <w:rPr>
          <w:rFonts w:ascii="Times New Roman" w:cs="Times New Roman" w:eastAsia="Times New Roman" w:hAnsi="Times New Roman"/>
          <w:sz w:val="14"/>
          <w:szCs w:val="14"/>
          <w:color w:val="auto"/>
        </w:rPr>
        <w:t>" for more detail.</w:t>
      </w:r>
    </w:p>
    <w:p>
      <w:pPr>
        <w:ind w:left="340" w:hanging="332"/>
        <w:spacing w:after="0" w:line="258" w:lineRule="auto"/>
        <w:tabs>
          <w:tab w:leader="none" w:pos="33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and December 31, 2019, the 4.75% Convertible Senior Notes due March 28, 2023 had a face value of $38,220,000 and $40,000,000, respectively. Refer to “Note 10—Debt Capital Activities” for a reconciliation of the carrying value to the face value.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635,187</w:t>
            </w:r>
          </w:p>
        </w:tc>
        <w:tc>
          <w:tcPr>
            <w:tcW w:w="0" w:type="dxa"/>
            <w:vAlign w:val="bottom"/>
          </w:tcPr>
          <w:p>
            <w:pPr>
              <w:spacing w:after="0"/>
              <w:rPr>
                <w:sz w:val="1"/>
                <w:szCs w:val="1"/>
                <w:color w:val="auto"/>
              </w:rPr>
            </w:pPr>
          </w:p>
        </w:tc>
      </w:tr>
      <w:tr>
        <w:trPr>
          <w:trHeight w:val="213"/>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income/(reversal of interest income accrual)</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201,304</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58,937</w:t>
            </w:r>
          </w:p>
        </w:tc>
        <w:tc>
          <w:tcPr>
            <w:tcW w:w="0" w:type="dxa"/>
            <w:vAlign w:val="bottom"/>
          </w:tcPr>
          <w:p>
            <w:pPr>
              <w:spacing w:after="0"/>
              <w:rPr>
                <w:sz w:val="1"/>
                <w:szCs w:val="1"/>
                <w:color w:val="auto"/>
              </w:rPr>
            </w:pPr>
          </w:p>
        </w:tc>
      </w:tr>
      <w:tr>
        <w:trPr>
          <w:trHeight w:val="213"/>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Investment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408,107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901,384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1,095,428</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Management fees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848,723</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Reversal of incentive fee accrual</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(4,660,472)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Costs incurred under Administration Agreement</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306,084</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Compensation expense</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4,960,679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3,702,517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Directors’ fees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272,120</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2,532,183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4,179,093</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1,795,885</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1,504,545</w:t>
            </w:r>
          </w:p>
        </w:tc>
        <w:tc>
          <w:tcPr>
            <w:tcW w:w="0" w:type="dxa"/>
            <w:vAlign w:val="bottom"/>
          </w:tcPr>
          <w:p>
            <w:pPr>
              <w:spacing w:after="0"/>
              <w:rPr>
                <w:sz w:val="1"/>
                <w:szCs w:val="1"/>
                <w:color w:val="auto"/>
              </w:rPr>
            </w:pPr>
          </w:p>
        </w:tc>
      </w:tr>
      <w:tr>
        <w:trPr>
          <w:trHeight w:val="207"/>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2,995,998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5,082,430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11,161,216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7,983,161</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(4,702,204)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(10,259,832)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(6,887,733)</w:t>
            </w: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Gains/(Losses) on Investments: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9,332,643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23,632,332</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(12,334,831)</w:t>
            </w:r>
          </w:p>
        </w:tc>
        <w:tc>
          <w:tcPr>
            <w:tcW w:w="0" w:type="dxa"/>
            <w:vAlign w:val="bottom"/>
          </w:tcPr>
          <w:p>
            <w:pPr>
              <w:spacing w:after="0"/>
              <w:rPr>
                <w:sz w:val="1"/>
                <w:szCs w:val="1"/>
                <w:color w:val="auto"/>
              </w:rPr>
            </w:pPr>
          </w:p>
        </w:tc>
      </w:tr>
      <w:tr>
        <w:trPr>
          <w:trHeight w:val="212"/>
        </w:trPr>
        <w:tc>
          <w:tcPr>
            <w:tcW w:w="5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Realized Gain on Investments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2,378,390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9,332,643</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11,297,501</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17,027,314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(7,998,030)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24,304,146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2,279,117</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(9,503,443)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19,067,052</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4,924,309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(4,896,043)</w:t>
            </w:r>
          </w:p>
        </w:tc>
        <w:tc>
          <w:tcPr>
            <w:tcW w:w="0" w:type="dxa"/>
            <w:vAlign w:val="bottom"/>
          </w:tcPr>
          <w:p>
            <w:pPr>
              <w:spacing w:after="0"/>
              <w:rPr>
                <w:sz w:val="1"/>
                <w:szCs w:val="1"/>
                <w:color w:val="auto"/>
              </w:rPr>
            </w:pPr>
          </w:p>
        </w:tc>
      </w:tr>
      <w:tr>
        <w:trPr>
          <w:trHeight w:val="211"/>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16,129,442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14,985,703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16,450,126</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885,566</w:t>
            </w:r>
          </w:p>
        </w:tc>
        <w:tc>
          <w:tcPr>
            <w:tcW w:w="0" w:type="dxa"/>
            <w:vAlign w:val="bottom"/>
          </w:tcPr>
          <w:p>
            <w:pPr>
              <w:spacing w:after="0"/>
              <w:rPr>
                <w:sz w:val="1"/>
                <w:szCs w:val="1"/>
                <w:color w:val="auto"/>
              </w:rPr>
            </w:pPr>
          </w:p>
        </w:tc>
      </w:tr>
      <w:tr>
        <w:trPr>
          <w:trHeight w:val="212"/>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15,919,941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5,261,452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14,058,514</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21,745,460</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40" w:type="dxa"/>
            <w:vAlign w:val="bottom"/>
            <w:tcBorders>
              <w:bottom w:val="single" w:sz="8" w:color="CCEEFF"/>
            </w:tcBorders>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17,795,538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19,472,785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17,208,723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19,650,651</w:t>
            </w:r>
          </w:p>
        </w:tc>
        <w:tc>
          <w:tcPr>
            <w:tcW w:w="0" w:type="dxa"/>
            <w:vAlign w:val="bottom"/>
          </w:tcPr>
          <w:p>
            <w:pPr>
              <w:spacing w:after="0"/>
              <w:rPr>
                <w:sz w:val="1"/>
                <w:szCs w:val="1"/>
                <w:color w:val="auto"/>
              </w:rPr>
            </w:pPr>
          </w:p>
        </w:tc>
      </w:tr>
      <w:tr>
        <w:trPr>
          <w:trHeight w:val="279"/>
        </w:trPr>
        <w:tc>
          <w:tcPr>
            <w:tcW w:w="5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21,598,403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23,204,129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21,087,926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-4462780</wp:posOffset>
            </wp:positionV>
            <wp:extent cx="35744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74415" cy="1454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____________________________________________________________________________________________________________________________</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references a related-party transaction. Refer to “Note 3—Related-Party Arrangements” for more detail.</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6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2020, this balance includes $1,962,431 of accelerated recognition of compensation cost related to the cancellation of unvested options on April 28, 2020. Refer to "Note 11— Stock-Based Compensation" for more detail.</w:t>
      </w:r>
    </w:p>
    <w:p>
      <w:pPr>
        <w:jc w:val="both"/>
        <w:ind w:left="340" w:right="20" w:hanging="332"/>
        <w:spacing w:after="0" w:line="249" w:lineRule="auto"/>
        <w:tabs>
          <w:tab w:leader="none" w:pos="3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2020 and the three and nine months ended September 30, 2019, 0 potentially dilutive common shares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7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199,917,289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195,378,159</w:t>
            </w:r>
          </w:p>
        </w:tc>
      </w:tr>
      <w:tr>
        <w:trPr>
          <w:trHeight w:val="94"/>
        </w:trPr>
        <w:tc>
          <w:tcPr>
            <w:tcW w:w="7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income/(loss)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(3,004,553)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619,702</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(4,065,693)</w:t>
            </w: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(27,665,934)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20,699,751</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taxes on unrealized appreciation of investments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(94,147)</w:t>
            </w:r>
          </w:p>
        </w:tc>
      </w:tr>
      <w:tr>
        <w:trPr>
          <w:trHeight w:val="207"/>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(23,692,247)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17,159,613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(3,709,244)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(3,709,244)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(27,401,491)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17,159,613</w:t>
            </w: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172,515,798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212,537,772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loss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(4,667,388)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(2,805,231)</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13,590,233</w:t>
            </w: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(12,440,320)</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979,713</w:t>
            </w:r>
          </w:p>
        </w:tc>
      </w:tr>
      <w:tr>
        <w:trPr>
          <w:trHeight w:val="207"/>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21,830,820</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(675,605)</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1,962,431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(3,616,608)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(737,119)</w:t>
            </w:r>
          </w:p>
        </w:tc>
      </w:tr>
      <w:tr>
        <w:trPr>
          <w:trHeight w:val="210"/>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Decrease in Net Assets Resulting from Capital Transactions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(1,654,177)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(737,119)</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20,176,643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(1,412,724)</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June 30</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192,692,441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211,125,048</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77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investment loss</w:t>
            </w: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(4,702,204)</w:t>
            </w: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2,378,390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1,772,961</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16,129,442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8,190,695</w:t>
            </w:r>
          </w:p>
        </w:tc>
      </w:tr>
      <w:tr>
        <w:trPr>
          <w:trHeight w:val="207"/>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15,919,941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5,261,452</w:t>
            </w:r>
          </w:p>
        </w:tc>
      </w:tr>
      <w:tr>
        <w:trPr>
          <w:trHeight w:val="21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7"/>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Dividends declared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(7,587,779)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Distributions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(7,587,779)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49,882,319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Conversion of 4.75% Convertible Senior Notes due March 28, 2023</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1,805,847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1,449,121</w:t>
            </w:r>
          </w:p>
        </w:tc>
      </w:tr>
      <w:tr>
        <w:trPr>
          <w:trHeight w:val="207"/>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(3,886,591)</w:t>
            </w:r>
          </w:p>
        </w:tc>
      </w:tr>
      <w:tr>
        <w:trPr>
          <w:trHeight w:val="212"/>
        </w:trPr>
        <w:tc>
          <w:tcPr>
            <w:tcW w:w="7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51,688,166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(2,437,470)</w:t>
            </w: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60,020,328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2,823,982</w:t>
            </w: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September 30</w:t>
            </w: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252,712,769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213,949,030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Share Activity</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19,762,647</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 restricted stock plan</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Shares repurchased</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(1,284,565)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(721,128)</w:t>
            </w: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20,284,811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19,041,519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492887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88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-3848100</wp:posOffset>
            </wp:positionV>
            <wp:extent cx="492887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88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-5459730</wp:posOffset>
            </wp:positionV>
            <wp:extent cx="492887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8870" cy="154305"/>
                    </a:xfrm>
                    <a:prstGeom prst="rect">
                      <a:avLst/>
                    </a:prstGeom>
                    <a:noFill/>
                  </pic:spPr>
                </pic:pic>
              </a:graphicData>
            </a:graphic>
          </wp:anchor>
        </w:drawing>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118" w:right="379" w:bottom="1440" w:gutter="0" w:footer="0" w:header="0"/>
          <w:type w:val="continuous"/>
        </w:sectPr>
      </w:pPr>
    </w:p>
    <w:bookmarkStart w:id="5" w:name="page6"/>
    <w:bookmarkEnd w:id="5"/>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77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14,058,514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21,745,460</w:t>
            </w:r>
          </w:p>
        </w:tc>
      </w:tr>
      <w:tr>
        <w:trPr>
          <w:trHeight w:val="165"/>
        </w:trPr>
        <w:tc>
          <w:tcPr>
            <w:tcW w:w="7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 by/(used in)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(9,332,643)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(11,297,501)</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(14,985,703)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(16,450,126)</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deferred tax liability</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(885,566)</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276,084</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fixed income security premiums and discounts</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Write-off of deferred offering costs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267,541</w:t>
            </w:r>
          </w:p>
        </w:tc>
      </w:tr>
      <w:tr>
        <w:trPr>
          <w:trHeight w:val="216"/>
        </w:trPr>
        <w:tc>
          <w:tcPr>
            <w:tcW w:w="77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1,962,431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1,449,121</w:t>
            </w: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Paid-in-kind interest</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(383,980)</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Forfeited interest on 4.75% Convertible Senior Notes due 2023</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26,221</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Portfolio investments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(15,397,511)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(25,309,145)</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Treasury bills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(249,933,583)</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Portfolio investments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15,779,482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52,322,735</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Treasury bills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300,000,000</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(2,124,641)</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130,322</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408,437</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Receivable from unsettled trades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(4,094,909)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89,503,257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(44,737,654)</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1,651,365</w:t>
            </w:r>
          </w:p>
        </w:tc>
      </w:tr>
      <w:tr>
        <w:trPr>
          <w:trHeight w:val="21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Payable to executive officers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Accrued incentive fees</w:t>
            </w:r>
            <w:r>
              <w:rPr>
                <w:rFonts w:ascii="Times New Roman" w:cs="Times New Roman" w:eastAsia="Times New Roman" w:hAnsi="Times New Roman"/>
                <w:sz w:val="21"/>
                <w:szCs w:val="21"/>
                <w:color w:val="auto"/>
                <w:vertAlign w:val="superscript"/>
              </w:rPr>
              <w:t>(2)</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(4,660,472)</w:t>
            </w:r>
          </w:p>
        </w:tc>
      </w:tr>
      <w:tr>
        <w:trPr>
          <w:trHeight w:val="216"/>
        </w:trPr>
        <w:tc>
          <w:tcPr>
            <w:tcW w:w="7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Accrued management fees</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(415,056)</w:t>
            </w:r>
          </w:p>
        </w:tc>
      </w:tr>
      <w:tr>
        <w:trPr>
          <w:trHeight w:val="213"/>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(475,000)</w:t>
            </w:r>
          </w:p>
        </w:tc>
      </w:tr>
      <w:tr>
        <w:trPr>
          <w:trHeight w:val="21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(21,916,478)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21,595,331</w:t>
            </w:r>
          </w:p>
        </w:tc>
      </w:tr>
      <w:tr>
        <w:trPr>
          <w:trHeight w:val="21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49,882,319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(7,325,852)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(4,623,710)</w:t>
            </w:r>
          </w:p>
        </w:tc>
      </w:tr>
      <w:tr>
        <w:trPr>
          <w:trHeight w:val="23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(4,620,898)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offering costs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fractional shares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37,650,714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(4,623,710)</w:t>
            </w:r>
          </w:p>
        </w:tc>
      </w:tr>
      <w:tr>
        <w:trPr>
          <w:trHeight w:val="20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Increase in Cash Balance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15,734,236</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16,971,621</w:t>
            </w:r>
          </w:p>
        </w:tc>
      </w:tr>
      <w:tr>
        <w:trPr>
          <w:trHeight w:val="219"/>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Balances at Beginning of Year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44,861,263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28,184,163</w:t>
            </w:r>
          </w:p>
        </w:tc>
      </w:tr>
      <w:tr>
        <w:trPr>
          <w:trHeight w:val="20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Balances at End of Period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60,595,499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45,155,784</w:t>
            </w:r>
          </w:p>
        </w:tc>
      </w:tr>
      <w:tr>
        <w:trPr>
          <w:trHeight w:val="23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1,870,453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2,007,872</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4.75% Convertible Senior Notes due 2023</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48863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632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-1710055</wp:posOffset>
            </wp:positionV>
            <wp:extent cx="488632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8632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-2275840</wp:posOffset>
            </wp:positionV>
            <wp:extent cx="48863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86325" cy="14605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ind w:left="340" w:right="80" w:hanging="332"/>
        <w:spacing w:after="0" w:line="238" w:lineRule="auto"/>
        <w:tabs>
          <w:tab w:leader="none" w:pos="28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nine months ended September 30, 2020, this balance includes $1,962,431 of accelerated recognition of compensation cost related to the cancellation of unvested options on April 28, 2020. Refer to "Note 11— Stock-Based Compensation" for more detail.</w:t>
      </w:r>
    </w:p>
    <w:p>
      <w:pPr>
        <w:ind w:left="280" w:hanging="272"/>
        <w:spacing w:after="0"/>
        <w:tabs>
          <w:tab w:leader="none" w:pos="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balance references a related-party transaction. Refer to “Note 3—Related-Party Arrangements” for more detail.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320"/>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September 30, 2020</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3"/>
                <w:szCs w:val="13"/>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9"/>
        </w:trPr>
        <w:tc>
          <w:tcPr>
            <w:tcW w:w="354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3"/>
        </w:trPr>
        <w:tc>
          <w:tcPr>
            <w:tcW w:w="3540" w:type="dxa"/>
            <w:vAlign w:val="bottom"/>
            <w:tcBorders>
              <w:top w:val="single" w:sz="8" w:color="auto"/>
            </w:tcBorders>
            <w:gridSpan w:val="1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Coursera, Inc.</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F 8%</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166,962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2,840,017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2,812,510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gridSpan w:val="16"/>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6/9/2013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2,961,399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14,519,519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49,885,383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19.74 %</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1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17,359,536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52,697,893</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20.85 %</w:t>
            </w:r>
          </w:p>
        </w:tc>
        <w:tc>
          <w:tcPr>
            <w:tcW w:w="0" w:type="dxa"/>
            <w:vAlign w:val="bottom"/>
          </w:tcPr>
          <w:p>
            <w:pPr>
              <w:spacing w:after="0"/>
              <w:rPr>
                <w:sz w:val="1"/>
                <w:szCs w:val="1"/>
                <w:color w:val="auto"/>
              </w:rPr>
            </w:pPr>
          </w:p>
        </w:tc>
      </w:tr>
      <w:tr>
        <w:trPr>
          <w:trHeight w:val="142"/>
        </w:trPr>
        <w:tc>
          <w:tcPr>
            <w:tcW w:w="3540" w:type="dxa"/>
            <w:vAlign w:val="bottom"/>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Palantir Technologies, Inc.</w:t>
            </w: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Palo Alto,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Common shares, Class A</w:t>
            </w:r>
            <w:r>
              <w:rPr>
                <w:rFonts w:ascii="Times New Roman" w:cs="Times New Roman" w:eastAsia="Times New Roman" w:hAnsi="Times New Roman"/>
                <w:sz w:val="18"/>
                <w:szCs w:val="18"/>
                <w:color w:val="auto"/>
                <w:vertAlign w:val="superscript"/>
              </w:rPr>
              <w:t>(3)(13)</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Data Analysis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5/7/2012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5,373,690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15,101,477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46,662,051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18.46 %</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2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31,818,831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12.59 %</w:t>
            </w:r>
          </w:p>
        </w:tc>
        <w:tc>
          <w:tcPr>
            <w:tcW w:w="0" w:type="dxa"/>
            <w:vAlign w:val="bottom"/>
          </w:tcPr>
          <w:p>
            <w:pPr>
              <w:spacing w:after="0"/>
              <w:rPr>
                <w:sz w:val="1"/>
                <w:szCs w:val="1"/>
                <w:color w:val="auto"/>
              </w:rPr>
            </w:pPr>
          </w:p>
        </w:tc>
      </w:tr>
      <w:tr>
        <w:trPr>
          <w:trHeight w:val="148"/>
        </w:trPr>
        <w:tc>
          <w:tcPr>
            <w:tcW w:w="35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Nextdoor.com, Inc.</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Social Networking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10,002,666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10,603,177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0" w:type="dxa"/>
            <w:vAlign w:val="bottom"/>
          </w:tcPr>
          <w:p>
            <w:pPr>
              <w:spacing w:after="0"/>
              <w:rPr>
                <w:sz w:val="1"/>
                <w:szCs w:val="1"/>
                <w:color w:val="auto"/>
              </w:rPr>
            </w:pPr>
          </w:p>
        </w:tc>
      </w:tr>
      <w:tr>
        <w:trPr>
          <w:trHeight w:val="142"/>
        </w:trPr>
        <w:tc>
          <w:tcPr>
            <w:tcW w:w="3540" w:type="dxa"/>
            <w:vAlign w:val="bottom"/>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SharesPost, Inc.</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rPr>
              <w:t>San Francisco,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7/19/2011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8,258,137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0" w:type="dxa"/>
            <w:vAlign w:val="bottom"/>
          </w:tcPr>
          <w:p>
            <w:pPr>
              <w:spacing w:after="0"/>
              <w:rPr>
                <w:sz w:val="1"/>
                <w:szCs w:val="1"/>
                <w:color w:val="auto"/>
              </w:rPr>
            </w:pPr>
          </w:p>
        </w:tc>
      </w:tr>
      <w:tr>
        <w:trPr>
          <w:trHeight w:val="182"/>
        </w:trPr>
        <w:tc>
          <w:tcPr>
            <w:tcW w:w="3540" w:type="dxa"/>
            <w:vAlign w:val="bottom"/>
            <w:tcBorders>
              <w:top w:val="single" w:sz="8" w:color="CCEEFF"/>
              <w:bottom w:val="single" w:sz="8" w:color="CCEEFF"/>
            </w:tcBorders>
            <w:gridSpan w:val="16"/>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Borders>
              <w:top w:val="single" w:sz="8" w:color="CCEEFF"/>
              <w:bottom w:val="single" w:sz="8" w:color="CCEEFF"/>
            </w:tcBorders>
          </w:tcPr>
          <w:p>
            <w:pPr>
              <w:spacing w:after="0"/>
              <w:rPr>
                <w:sz w:val="15"/>
                <w:szCs w:val="15"/>
                <w:color w:val="auto"/>
              </w:rPr>
            </w:pPr>
          </w:p>
        </w:tc>
        <w:tc>
          <w:tcPr>
            <w:tcW w:w="196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123,987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1,188,410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0.47 %</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1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2,383,703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9,446,547</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0" w:type="dxa"/>
            <w:vAlign w:val="bottom"/>
          </w:tcPr>
          <w:p>
            <w:pPr>
              <w:spacing w:after="0"/>
              <w:rPr>
                <w:sz w:val="1"/>
                <w:szCs w:val="1"/>
                <w:color w:val="auto"/>
              </w:rPr>
            </w:pPr>
          </w:p>
        </w:tc>
      </w:tr>
      <w:tr>
        <w:trPr>
          <w:trHeight w:val="142"/>
        </w:trPr>
        <w:tc>
          <w:tcPr>
            <w:tcW w:w="3540" w:type="dxa"/>
            <w:vAlign w:val="bottom"/>
            <w:gridSpan w:val="1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Palantir Lending Trust SPV I **</w:t>
            </w:r>
            <w:r>
              <w:rPr>
                <w:rFonts w:ascii="Times New Roman" w:cs="Times New Roman" w:eastAsia="Times New Roman" w:hAnsi="Times New Roman"/>
                <w:sz w:val="16"/>
                <w:szCs w:val="16"/>
                <w:color w:val="auto"/>
                <w:vertAlign w:val="superscript"/>
              </w:rPr>
              <w:t>(10)</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Palo Alto,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Loan 15%, Due 6/19/2022***</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Data Analysis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6/19/2020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6,900,601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0" w:type="dxa"/>
            <w:vAlign w:val="bottom"/>
          </w:tcPr>
          <w:p>
            <w:pPr>
              <w:spacing w:after="0"/>
              <w:rPr>
                <w:sz w:val="1"/>
                <w:szCs w:val="1"/>
                <w:color w:val="auto"/>
              </w:rPr>
            </w:pPr>
          </w:p>
        </w:tc>
      </w:tr>
      <w:tr>
        <w:trPr>
          <w:trHeight w:val="182"/>
        </w:trPr>
        <w:tc>
          <w:tcPr>
            <w:tcW w:w="3540" w:type="dxa"/>
            <w:vAlign w:val="bottom"/>
            <w:tcBorders>
              <w:top w:val="single" w:sz="8" w:color="CCEEFF"/>
            </w:tcBorders>
            <w:gridSpan w:val="16"/>
          </w:tcPr>
          <w:p>
            <w:pPr>
              <w:spacing w:after="0"/>
              <w:rPr>
                <w:sz w:val="20"/>
                <w:szCs w:val="20"/>
                <w:color w:val="auto"/>
              </w:rPr>
            </w:pPr>
            <w:r>
              <w:rPr>
                <w:rFonts w:ascii="Times New Roman" w:cs="Times New Roman" w:eastAsia="Times New Roman" w:hAnsi="Times New Roman"/>
                <w:sz w:val="14"/>
                <w:szCs w:val="14"/>
                <w:color w:val="auto"/>
              </w:rPr>
              <w:t>Equity Participation in Underlying Collateral</w:t>
            </w: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6/19/2020</w:t>
            </w:r>
          </w:p>
        </w:tc>
        <w:tc>
          <w:tcPr>
            <w:tcW w:w="10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1,684,657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0.67 %</w:t>
            </w: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bottom w:val="single" w:sz="8" w:color="CCEEFF"/>
            </w:tcBorders>
            <w:gridSpan w:val="1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6,900,601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8,584,657</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0" w:type="dxa"/>
            <w:vAlign w:val="bottom"/>
          </w:tcPr>
          <w:p>
            <w:pPr>
              <w:spacing w:after="0"/>
              <w:rPr>
                <w:sz w:val="1"/>
                <w:szCs w:val="1"/>
                <w:color w:val="auto"/>
              </w:rPr>
            </w:pPr>
          </w:p>
        </w:tc>
      </w:tr>
      <w:tr>
        <w:trPr>
          <w:trHeight w:val="142"/>
        </w:trPr>
        <w:tc>
          <w:tcPr>
            <w:tcW w:w="3540" w:type="dxa"/>
            <w:vAlign w:val="bottom"/>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Menlo Park,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Commerce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1,681,520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4,000,280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gridSpan w:val="16"/>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879,198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1,939,143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1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5,002,720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5,939,143</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142"/>
        </w:trPr>
        <w:tc>
          <w:tcPr>
            <w:tcW w:w="3540" w:type="dxa"/>
            <w:vAlign w:val="bottom"/>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New York, NY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Subscription Fashion Rental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6/17/2020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5,153,945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4,891,051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0" w:type="dxa"/>
            <w:vAlign w:val="bottom"/>
          </w:tcPr>
          <w:p>
            <w:pPr>
              <w:spacing w:after="0"/>
              <w:rPr>
                <w:sz w:val="1"/>
                <w:szCs w:val="1"/>
                <w:color w:val="auto"/>
              </w:rPr>
            </w:pPr>
          </w:p>
        </w:tc>
      </w:tr>
      <w:tr>
        <w:trPr>
          <w:trHeight w:val="148"/>
        </w:trPr>
        <w:tc>
          <w:tcPr>
            <w:tcW w:w="35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Junior Preferred shares, Series 1-D</w:t>
            </w:r>
            <w:r>
              <w:rPr>
                <w:rFonts w:ascii="Times New Roman" w:cs="Times New Roman" w:eastAsia="Times New Roman" w:hAnsi="Times New Roman"/>
                <w:sz w:val="18"/>
                <w:szCs w:val="18"/>
                <w:color w:val="auto"/>
                <w:vertAlign w:val="superscript"/>
              </w:rPr>
              <w:t>(11)</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Micromobility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41,237,113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10,007,322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3,485,014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189"/>
        </w:trPr>
        <w:tc>
          <w:tcPr>
            <w:tcW w:w="35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Junior Preferred Convertible Note 4% Due 5/11/2027***</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0" w:type="dxa"/>
            <w:vAlign w:val="bottom"/>
          </w:tcPr>
          <w:p>
            <w:pPr>
              <w:spacing w:after="0"/>
              <w:rPr>
                <w:sz w:val="1"/>
                <w:szCs w:val="1"/>
                <w:color w:val="auto"/>
              </w:rPr>
            </w:pPr>
          </w:p>
        </w:tc>
      </w:tr>
      <w:tr>
        <w:trPr>
          <w:trHeight w:val="149"/>
        </w:trPr>
        <w:tc>
          <w:tcPr>
            <w:tcW w:w="3540" w:type="dxa"/>
            <w:vAlign w:val="bottom"/>
            <w:gridSpan w:val="16"/>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2,032,967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8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5/11/2027</w:t>
            </w:r>
            <w:r>
              <w:rPr>
                <w:rFonts w:ascii="Times New Roman" w:cs="Times New Roman" w:eastAsia="Times New Roman" w:hAnsi="Times New Roman"/>
                <w:sz w:val="18"/>
                <w:szCs w:val="18"/>
                <w:color w:val="auto"/>
                <w:vertAlign w:val="superscript"/>
              </w:rPr>
              <w:t>(11)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gridSpan w:val="16"/>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10,513,661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3,991,353</w:t>
            </w: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63"/>
        </w:trPr>
        <w:tc>
          <w:tcPr>
            <w:tcW w:w="3540" w:type="dxa"/>
            <w:vAlign w:val="bottom"/>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rPr>
              <w:t>Chicago, IL</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tcBorders>
              <w:top w:val="single" w:sz="8" w:color="auto"/>
            </w:tcBorders>
            <w:gridSpan w:val="15"/>
          </w:tcPr>
          <w:p>
            <w:pPr>
              <w:spacing w:after="0" w:line="189"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8"/>
                <w:szCs w:val="18"/>
                <w:color w:val="auto"/>
                <w:vertAlign w:val="superscript"/>
              </w:rPr>
              <w:t>(8)</w:t>
            </w:r>
          </w:p>
        </w:tc>
        <w:tc>
          <w:tcPr>
            <w:tcW w:w="7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7,500,000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3,883,296</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89"/>
        </w:trPr>
        <w:tc>
          <w:tcPr>
            <w:tcW w:w="354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Marina Del Rey, CA</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000" w:type="dxa"/>
            <w:vAlign w:val="bottom"/>
            <w:tcBorders>
              <w:top w:val="single" w:sz="8" w:color="CCEEFF"/>
            </w:tcBorders>
            <w:gridSpan w:val="7"/>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Financial Services</w:t>
            </w: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8/11/2015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3,288,548</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203"/>
        </w:trPr>
        <w:tc>
          <w:tcPr>
            <w:tcW w:w="3540" w:type="dxa"/>
            <w:vAlign w:val="bottom"/>
            <w:gridSpan w:val="16"/>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Preferred shares, Series C-3 </w:t>
            </w:r>
            <w:r>
              <w:rPr>
                <w:rFonts w:ascii="Times New Roman" w:cs="Times New Roman" w:eastAsia="Times New Roman" w:hAnsi="Times New Roman"/>
                <w:sz w:val="18"/>
                <w:szCs w:val="18"/>
                <w:color w:val="auto"/>
                <w:vertAlign w:val="superscript"/>
              </w:rPr>
              <w:t>(12)</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169,600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gridSpan w:val="16"/>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3,458,148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0" w:type="dxa"/>
            <w:vAlign w:val="bottom"/>
          </w:tcPr>
          <w:p>
            <w:pPr>
              <w:spacing w:after="0"/>
              <w:rPr>
                <w:sz w:val="1"/>
                <w:szCs w:val="1"/>
                <w:color w:val="auto"/>
              </w:rPr>
            </w:pPr>
          </w:p>
        </w:tc>
      </w:tr>
      <w:tr>
        <w:trPr>
          <w:trHeight w:val="149"/>
        </w:trPr>
        <w:tc>
          <w:tcPr>
            <w:tcW w:w="3540" w:type="dxa"/>
            <w:vAlign w:val="bottom"/>
            <w:gridSpan w:val="16"/>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Clever, Inc.</w:t>
            </w:r>
          </w:p>
        </w:tc>
        <w:tc>
          <w:tcPr>
            <w:tcW w:w="1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2,000,601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2,000,001</w:t>
            </w: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0" w:type="dxa"/>
            <w:vAlign w:val="bottom"/>
          </w:tcPr>
          <w:p>
            <w:pPr>
              <w:spacing w:after="0" w:line="20" w:lineRule="exact"/>
              <w:rPr>
                <w:sz w:val="1"/>
                <w:szCs w:val="1"/>
                <w:color w:val="auto"/>
              </w:rPr>
            </w:pPr>
          </w:p>
        </w:tc>
      </w:tr>
      <w:tr>
        <w:trPr>
          <w:trHeight w:val="182"/>
        </w:trPr>
        <w:tc>
          <w:tcPr>
            <w:tcW w:w="35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Education Software</w:t>
            </w: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12/5/2014</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1,799,047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 Place for Rover Inc. (f/k/a DogVacay,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Seattle, WA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80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Peer-to-Peer Pet Services</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11/3/2014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707,991</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1,277,667</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auto"/>
            </w:tcBorders>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560" w:type="dxa"/>
            <w:vAlign w:val="bottom"/>
            <w:tcBorders>
              <w:bottom w:val="single" w:sz="8" w:color="CCEEFF"/>
            </w:tcBorders>
            <w:gridSpan w:val="4"/>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Computer Software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534,162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791,361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0" w:type="dxa"/>
            <w:vAlign w:val="bottom"/>
          </w:tcPr>
          <w:p>
            <w:pPr>
              <w:spacing w:after="0"/>
              <w:rPr>
                <w:sz w:val="1"/>
                <w:szCs w:val="1"/>
                <w:color w:val="auto"/>
              </w:rPr>
            </w:pPr>
          </w:p>
        </w:tc>
      </w:tr>
      <w:tr>
        <w:trPr>
          <w:trHeight w:val="169"/>
        </w:trPr>
        <w:tc>
          <w:tcPr>
            <w:tcW w:w="354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Fullbridge,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Cambridge, MA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580" w:type="dxa"/>
            <w:vAlign w:val="bottom"/>
            <w:tcBorders>
              <w:top w:val="single" w:sz="8" w:color="CCEEFF"/>
            </w:tcBorders>
            <w:gridSpan w:val="13"/>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Business Education</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5/13/2012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517,917</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2,270,458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354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-2442210</wp:posOffset>
            </wp:positionV>
            <wp:extent cx="356616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-3205480</wp:posOffset>
            </wp:positionV>
            <wp:extent cx="4251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1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-3719830</wp:posOffset>
            </wp:positionV>
            <wp:extent cx="4251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1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-4234180</wp:posOffset>
            </wp:positionV>
            <wp:extent cx="4251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1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-5476875</wp:posOffset>
            </wp:positionV>
            <wp:extent cx="425196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1960" cy="128905"/>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60" w:type="dxa"/>
            <w:vAlign w:val="bottom"/>
            <w:gridSpan w:val="8"/>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auto"/>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Kinetiq Holdings, LLC</w:t>
            </w:r>
            <w:r>
              <w:rPr>
                <w:rFonts w:ascii="Times New Roman" w:cs="Times New Roman" w:eastAsia="Times New Roman" w:hAnsi="Times New Roman"/>
                <w:sz w:val="16"/>
                <w:szCs w:val="16"/>
                <w:color w:val="auto"/>
                <w:vertAlign w:val="superscript"/>
              </w:rPr>
              <w:t>(14)</w:t>
            </w:r>
          </w:p>
        </w:tc>
        <w:tc>
          <w:tcPr>
            <w:tcW w:w="10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Philadelphia, PA</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Social Data Platform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95"/>
        </w:trPr>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99,438,709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186,045,176</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73.62 %</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line="189"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Digital Media Platform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9/11/2019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1,990,069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56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700,489</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4/9/2028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3,350,952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3,033,832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5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11/2/2012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1,243,944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56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10,319,286</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3560" w:type="dxa"/>
            <w:vAlign w:val="bottom"/>
            <w:gridSpan w:val="8"/>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StormWind, LLC</w:t>
            </w:r>
            <w:r>
              <w:rPr>
                <w:rFonts w:ascii="Times New Roman" w:cs="Times New Roman" w:eastAsia="Times New Roman" w:hAnsi="Times New Roman"/>
                <w:sz w:val="14"/>
                <w:szCs w:val="14"/>
                <w:color w:val="auto"/>
                <w:vertAlign w:val="superscript"/>
              </w:rPr>
              <w:t>(5)</w:t>
            </w: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Scottsdale, AZ</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Interactive Learning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11/26/2019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446,142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4,856,959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2,681,401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2/25/2014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94,513</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CCEEFF"/>
            </w:tcBorders>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8,079,015</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56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GreenAcreage Real Estate Corp.</w:t>
            </w:r>
          </w:p>
        </w:tc>
        <w:tc>
          <w:tcPr>
            <w:tcW w:w="100" w:type="dxa"/>
            <w:vAlign w:val="bottom"/>
          </w:tcPr>
          <w:p>
            <w:pPr>
              <w:spacing w:after="0"/>
              <w:rPr>
                <w:sz w:val="12"/>
                <w:szCs w:val="12"/>
                <w:color w:val="auto"/>
              </w:rPr>
            </w:pPr>
          </w:p>
        </w:tc>
        <w:tc>
          <w:tcPr>
            <w:tcW w:w="1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8"/>
                <w:szCs w:val="18"/>
                <w:color w:val="auto"/>
                <w:vertAlign w:val="superscript"/>
              </w:rPr>
              <w:t>(9)</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Cannabis REIT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7,501,530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6,918,750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San Mateo,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8"/>
                <w:szCs w:val="18"/>
                <w:color w:val="auto"/>
                <w:vertAlign w:val="superscript"/>
              </w:rPr>
              <w:t>(7)</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8/23/2019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2,112,442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line="189"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18"/>
                <w:szCs w:val="18"/>
                <w:color w:val="auto"/>
                <w:vertAlign w:val="superscript"/>
              </w:rPr>
              <w:t>(4)(7)</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56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A-3, Strike Price $1.33, Expiration</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Date 4/4/2021</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A-4, Strike Price $1.33,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72,500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Date 10/6/2021</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A-4, Strike Price $1.33, Expiration</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7/8/2016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74,380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Date 7/18/2021</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B, Strike Price $2.31,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11/29/2016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29,275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Date 11/29/2021</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 Series B, Strike Price $2.31, Expiration</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5/29/2017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Date 5/29/2022</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color w:val="auto"/>
              </w:rPr>
              <w:t>Preferred Warrant Series B, Strike Price $2.31,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4"/>
                <w:szCs w:val="14"/>
                <w:color w:val="auto"/>
              </w:rPr>
              <w:t>Date 12/31/2023</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9,764,414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2,737,104</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356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CUX, Inc. (d/b/a CorpU)</w:t>
            </w:r>
          </w:p>
        </w:tc>
        <w:tc>
          <w:tcPr>
            <w:tcW w:w="100" w:type="dxa"/>
            <w:vAlign w:val="bottom"/>
          </w:tcPr>
          <w:p>
            <w:pPr>
              <w:spacing w:after="0"/>
              <w:rPr>
                <w:sz w:val="11"/>
                <w:szCs w:val="11"/>
                <w:color w:val="auto"/>
              </w:rPr>
            </w:pPr>
          </w:p>
        </w:tc>
        <w:tc>
          <w:tcPr>
            <w:tcW w:w="20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Philadelphia, PA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Senior Subordinated Convertible Promissory Note 4% Due</w:t>
            </w:r>
          </w:p>
        </w:tc>
        <w:tc>
          <w:tcPr>
            <w:tcW w:w="100" w:type="dxa"/>
            <w:vAlign w:val="bottom"/>
            <w:shd w:val="clear" w:color="auto" w:fill="CCEEFF"/>
          </w:tcPr>
          <w:p>
            <w:pPr>
              <w:spacing w:after="0"/>
              <w:rPr>
                <w:sz w:val="11"/>
                <w:szCs w:val="11"/>
                <w:color w:val="auto"/>
              </w:rPr>
            </w:pPr>
          </w:p>
        </w:tc>
        <w:tc>
          <w:tcPr>
            <w:tcW w:w="20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Corporate Education</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11/26/2014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1,251,158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1,256,191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312,789</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2/14/2023</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Convertible preferred shares, Series D 6%</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169,033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778,607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73,882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shares, Series C 8%</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3/29/2012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615,763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2,006,077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3560" w:type="dxa"/>
            <w:vAlign w:val="bottom"/>
            <w:tcBorders>
              <w:bottom w:val="single" w:sz="8" w:color="CCEEFF"/>
            </w:tcBorders>
            <w:gridSpan w:val="8"/>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4,040,875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386,671</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Maven Research, Inc.</w:t>
            </w:r>
          </w:p>
        </w:tc>
        <w:tc>
          <w:tcPr>
            <w:tcW w:w="2220" w:type="dxa"/>
            <w:vAlign w:val="bottom"/>
            <w:tcBorders>
              <w:bottom w:val="single" w:sz="8" w:color="CCEEFF"/>
            </w:tcBorders>
            <w:gridSpan w:val="5"/>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Knowledge Networks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3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3560" w:type="dxa"/>
            <w:vAlign w:val="bottom"/>
            <w:tcBorders>
              <w:top w:val="single" w:sz="8" w:color="CCEEFF"/>
              <w:bottom w:val="single" w:sz="8" w:color="CCEEFF"/>
            </w:tcBorders>
            <w:gridSpan w:val="8"/>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3560" w:type="dxa"/>
            <w:vAlign w:val="bottom"/>
            <w:gridSpan w:val="8"/>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Menlo Park, CA</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46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Online Education</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52,857,243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28,440,826</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-3866515</wp:posOffset>
            </wp:positionV>
            <wp:extent cx="49288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887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-4603750</wp:posOffset>
            </wp:positionV>
            <wp:extent cx="35572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13716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3"/>
                <w:szCs w:val="13"/>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3540" w:type="dxa"/>
            <w:vAlign w:val="bottom"/>
            <w:tcBorders>
              <w:top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8"/>
                <w:szCs w:val="18"/>
                <w:b w:val="1"/>
                <w:bCs w:val="1"/>
                <w:color w:val="auto"/>
                <w:vertAlign w:val="superscript"/>
              </w:rPr>
              <w:t>(2)</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Cupertino,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8"/>
                <w:szCs w:val="18"/>
                <w:color w:val="auto"/>
                <w:vertAlign w:val="superscript"/>
              </w:rPr>
              <w:t>(6)</w:t>
            </w: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Clean Technology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960,198</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7,161,412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960,198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0.38 %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159,457,364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215,446,200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2780" w:type="dxa"/>
            <w:vAlign w:val="bottom"/>
            <w:tcBorders>
              <w:bottom w:val="single" w:sz="8" w:color="CCEEFF"/>
            </w:tcBorders>
            <w:gridSpan w:val="3"/>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spacing w:after="0" w:line="189" w:lineRule="exact"/>
              <w:rPr>
                <w:sz w:val="20"/>
                <w:szCs w:val="20"/>
                <w:color w:val="auto"/>
              </w:rPr>
            </w:pPr>
            <w:r>
              <w:rPr>
                <w:rFonts w:ascii="Times New Roman" w:cs="Times New Roman" w:eastAsia="Times New Roman" w:hAnsi="Times New Roman"/>
                <w:sz w:val="14"/>
                <w:szCs w:val="14"/>
                <w:color w:val="auto"/>
              </w:rPr>
              <w:t>U.S. Treasury bill, 0%, due 10/1/2020***</w:t>
            </w:r>
            <w:r>
              <w:rPr>
                <w:rFonts w:ascii="Times New Roman" w:cs="Times New Roman" w:eastAsia="Times New Roman" w:hAnsi="Times New Roman"/>
                <w:sz w:val="18"/>
                <w:szCs w:val="18"/>
                <w:color w:val="auto"/>
                <w:vertAlign w:val="superscript"/>
              </w:rPr>
              <w:t>(3)</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9/30/2020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149,999,917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309,457,281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365,446,200</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144.61 %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-299720</wp:posOffset>
            </wp:positionV>
            <wp:extent cx="6172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225425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5425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4954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4905" cy="128905"/>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jc w:val="right"/>
        <w:ind w:left="500" w:hanging="492"/>
        <w:spacing w:after="0" w:line="24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ind w:left="500"/>
        <w:spacing w:after="0"/>
        <w:rPr>
          <w:sz w:val="20"/>
          <w:szCs w:val="20"/>
          <w:color w:val="auto"/>
        </w:rPr>
      </w:pPr>
      <w:r>
        <w:rPr>
          <w:rFonts w:ascii="Times New Roman" w:cs="Times New Roman" w:eastAsia="Times New Roman" w:hAnsi="Times New Roman"/>
          <w:sz w:val="16"/>
          <w:szCs w:val="16"/>
          <w:color w:val="auto"/>
        </w:rPr>
        <w:t>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5" w:lineRule="exact"/>
        <w:rPr>
          <w:sz w:val="20"/>
          <w:szCs w:val="20"/>
          <w:color w:val="auto"/>
        </w:rPr>
      </w:pPr>
    </w:p>
    <w:p>
      <w:pPr>
        <w:ind w:left="500" w:hanging="492"/>
        <w:spacing w:after="0" w:line="246" w:lineRule="auto"/>
        <w:tabs>
          <w:tab w:leader="none" w:pos="37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September 30, 2020, 15.12% of its total investments are non-qualifying assets.</w:t>
      </w:r>
    </w:p>
    <w:p>
      <w:pPr>
        <w:ind w:left="420" w:hanging="412"/>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30" w:lineRule="exact"/>
        <w:rPr>
          <w:sz w:val="20"/>
          <w:szCs w:val="20"/>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07"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7"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As of September 30, 2020, 1 investment held by SuRo Capital Corp. was considered Level 1 or Level 2. Refer to “Note 4—Investments at Fair Value”.</w:t>
      </w:r>
    </w:p>
    <w:p>
      <w:pPr>
        <w:spacing w:after="0" w:line="19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2020, the investments noted had been placed on non-accrual status.</w:t>
      </w:r>
    </w:p>
    <w:p>
      <w:pPr>
        <w:spacing w:after="0" w:line="248"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8"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During the nine months ended September 30, 2020, SPBRX, INC. (f/k/a GSV Sustainability Partners, Inc.) declared, and SuRo Capital Corp. received, an aggregate of $200,000 in dividend distributions. SuRo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38" w:lineRule="exact"/>
        <w:rPr>
          <w:sz w:val="20"/>
          <w:szCs w:val="20"/>
          <w:color w:val="auto"/>
        </w:rPr>
      </w:pPr>
    </w:p>
    <w:p>
      <w:pPr>
        <w:jc w:val="both"/>
        <w:ind w:left="500" w:hanging="492"/>
        <w:spacing w:after="0" w:line="26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w:t>
      </w:r>
    </w:p>
    <w:p>
      <w:pPr>
        <w:spacing w:after="0" w:line="205"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205" w:lineRule="exact"/>
        <w:rPr>
          <w:rFonts w:ascii="Times New Roman" w:cs="Times New Roman" w:eastAsia="Times New Roman" w:hAnsi="Times New Roman"/>
          <w:sz w:val="16"/>
          <w:szCs w:val="16"/>
          <w:color w:val="auto"/>
        </w:rPr>
      </w:pPr>
    </w:p>
    <w:p>
      <w:pPr>
        <w:jc w:val="both"/>
        <w:ind w:left="500" w:hanging="492"/>
        <w:spacing w:after="0" w:line="271"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2020, GreenAcreage Real Estate Corp. declared an aggregate of $180,000 in dividend distributions. SuRo Capital Corp. does not anticipate that GreenAcreage Real Estate Corp. will pay distributions on a recurring or regular basis or become a predictable distributor of distributions.</w:t>
      </w:r>
    </w:p>
    <w:p>
      <w:pPr>
        <w:spacing w:after="0" w:line="394" w:lineRule="exact"/>
        <w:rPr>
          <w:rFonts w:ascii="Times New Roman" w:cs="Times New Roman" w:eastAsia="Times New Roman" w:hAnsi="Times New Roman"/>
          <w:sz w:val="16"/>
          <w:szCs w:val="16"/>
          <w:color w:val="auto"/>
        </w:rPr>
      </w:pPr>
    </w:p>
    <w:p>
      <w:pPr>
        <w:jc w:val="both"/>
        <w:ind w:left="500" w:hanging="492"/>
        <w:spacing w:after="0" w:line="252"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19, 2020, SuRo Capital Corp. extended a $6.9 million,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On September 30, 2020 SuRo Capital Corp. approved a request by Palantir Lending Trust SPV I to sell approximately 784,491 shares of Palantir Technologies, Inc. that comprise the underlying collateral and Equity Participation upon the direct listing of Palantir Technologies, Inc. on the same date. The sale resulted in approximately $6.0 million in proceeds expected to be received by SuRo Capital Corp subsequent to quarter-end to be applied to the Equity Participation in Underlying Collateral, the guaranteed interest accrual to date, and the loan principal, in that order.</w:t>
      </w:r>
    </w:p>
    <w:p>
      <w:pPr>
        <w:spacing w:after="0" w:line="213"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49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207"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91" w:lineRule="exact"/>
        <w:rPr>
          <w:rFonts w:ascii="Times New Roman" w:cs="Times New Roman" w:eastAsia="Times New Roman" w:hAnsi="Times New Roman"/>
          <w:sz w:val="16"/>
          <w:szCs w:val="16"/>
          <w:color w:val="auto"/>
        </w:rPr>
      </w:pPr>
    </w:p>
    <w:p>
      <w:pPr>
        <w:jc w:val="both"/>
        <w:ind w:left="500" w:hanging="492"/>
        <w:spacing w:after="0" w:line="25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Technoloiges,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On September 30, 2020, SuRo Capital Corp. sold 400,000 Class A common shares of Palantir Technologies, Inc. Of the Class A common shares held at September 30, 2020, 754,738 are unrestricted and 4,618,952 are restricted.</w:t>
      </w:r>
    </w:p>
    <w:p>
      <w:pPr>
        <w:spacing w:after="0" w:line="213" w:lineRule="exact"/>
        <w:rPr>
          <w:rFonts w:ascii="Times New Roman" w:cs="Times New Roman" w:eastAsia="Times New Roman" w:hAnsi="Times New Roman"/>
          <w:sz w:val="16"/>
          <w:szCs w:val="16"/>
          <w:color w:val="auto"/>
        </w:rPr>
      </w:pPr>
    </w:p>
    <w:p>
      <w:pPr>
        <w:ind w:left="500" w:right="20" w:hanging="492"/>
        <w:spacing w:after="0" w:line="280"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15"/>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Coursera,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2,961,399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14,519,519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33,569,902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Data Analysis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5,773,690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16,189,935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31,582,084</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Redwood City, CA</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25,674,019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Parchment,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Scottsdale, AZ</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E-Transcript Exchange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10,896,585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Nextdoor.com,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San Francisco, CA</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Social Networking</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10,006,578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10,867,365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Micromobility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41,237,113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10,006,800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8"/>
                <w:szCs w:val="18"/>
                <w:color w:val="auto"/>
                <w:vertAlign w:val="superscript"/>
              </w:rPr>
              <w:t>(11)</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Cannabis REIT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9/11/2019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7,384,738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On-Demand Commerce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7/29/2015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1,681,520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4,000,280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4,758,702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879,198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2,488,130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80" w:type="dxa"/>
            <w:vAlign w:val="bottom"/>
            <w:gridSpan w:val="1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5,002,720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7,246,832</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gridSpan w:val="15"/>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SharesPost, Inc.</w:t>
            </w:r>
          </w:p>
        </w:tc>
        <w:tc>
          <w:tcPr>
            <w:tcW w:w="100" w:type="dxa"/>
            <w:vAlign w:val="bottom"/>
          </w:tcPr>
          <w:p>
            <w:pPr>
              <w:spacing w:after="0"/>
              <w:rPr>
                <w:sz w:val="11"/>
                <w:szCs w:val="11"/>
                <w:color w:val="auto"/>
              </w:rPr>
            </w:pPr>
          </w:p>
        </w:tc>
        <w:tc>
          <w:tcPr>
            <w:tcW w:w="23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7/19/2011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6,186,877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2980" w:type="dxa"/>
            <w:vAlign w:val="bottom"/>
            <w:tcBorders>
              <w:top w:val="single" w:sz="8" w:color="CCEEFF"/>
              <w:bottom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Borders>
              <w:top w:val="single" w:sz="8" w:color="CCEEFF"/>
              <w:bottom w:val="single" w:sz="8" w:color="CCEEFF"/>
            </w:tcBorders>
          </w:tcPr>
          <w:p>
            <w:pPr>
              <w:spacing w:after="0"/>
              <w:rPr>
                <w:sz w:val="15"/>
                <w:szCs w:val="15"/>
                <w:color w:val="auto"/>
              </w:rPr>
            </w:pPr>
          </w:p>
        </w:tc>
        <w:tc>
          <w:tcPr>
            <w:tcW w:w="228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123,987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890,340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CCEEFF"/>
            </w:tcBorders>
            <w:gridSpan w:val="1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2,383,703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7,077,217</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00" w:type="dxa"/>
            <w:vAlign w:val="bottom"/>
          </w:tcPr>
          <w:p>
            <w:pPr>
              <w:spacing w:after="0"/>
              <w:rPr>
                <w:sz w:val="12"/>
                <w:szCs w:val="12"/>
                <w:color w:val="auto"/>
              </w:rPr>
            </w:pPr>
          </w:p>
        </w:tc>
        <w:tc>
          <w:tcPr>
            <w:tcW w:w="2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Marina Del Rey, CA</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Financial Services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4,471,678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15"/>
          </w:tcPr>
          <w:p>
            <w:pPr>
              <w:spacing w:after="0" w:line="135" w:lineRule="exact"/>
              <w:rPr>
                <w:sz w:val="20"/>
                <w:szCs w:val="20"/>
                <w:color w:val="auto"/>
              </w:rPr>
            </w:pPr>
            <w:r>
              <w:rPr>
                <w:rFonts w:ascii="Times New Roman" w:cs="Times New Roman" w:eastAsia="Times New Roman" w:hAnsi="Times New Roman"/>
                <w:sz w:val="14"/>
                <w:szCs w:val="14"/>
                <w:color w:val="auto"/>
              </w:rPr>
              <w:t>Convertible Promissory Note 5%, Due</w:t>
            </w: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321,168</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1/31/2021***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CCEEFF"/>
            </w:tcBorders>
            <w:gridSpan w:val="1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4,792,846</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Clever,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Education Software</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1,799,047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2,000,601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 Place for Rover Inc. (f/k/a DogVacay, Inc.)</w:t>
            </w:r>
          </w:p>
        </w:tc>
        <w:tc>
          <w:tcPr>
            <w:tcW w:w="100" w:type="dxa"/>
            <w:vAlign w:val="bottom"/>
          </w:tcPr>
          <w:p>
            <w:pPr>
              <w:spacing w:after="0"/>
              <w:rPr>
                <w:sz w:val="12"/>
                <w:szCs w:val="12"/>
                <w:color w:val="auto"/>
              </w:rPr>
            </w:pPr>
          </w:p>
        </w:tc>
        <w:tc>
          <w:tcPr>
            <w:tcW w:w="2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Seattle, WA</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Peer-to-Peer Pet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963,533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Computer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789,491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4C Insights (f/k/a The Echo Systems Corp.)</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Social Data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1,436,404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Fullbridge,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Cambridge, MA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Business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5/13/2012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15"/>
          </w:tcPr>
          <w:p>
            <w:pPr>
              <w:spacing w:after="0" w:line="189"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80" w:type="dxa"/>
            <w:vAlign w:val="bottom"/>
            <w:tcBorders>
              <w:top w:val="single" w:sz="8" w:color="CCEEFF"/>
              <w:bottom w:val="single" w:sz="8" w:color="CCEEFF"/>
            </w:tcBorders>
            <w:gridSpan w:val="1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90,567,041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152,866,112</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420052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05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420052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052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420052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052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-3060065</wp:posOffset>
            </wp:positionV>
            <wp:extent cx="42005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0525" cy="137160"/>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3060" w:type="dxa"/>
            <w:vAlign w:val="bottom"/>
            <w:tcBorders>
              <w:top w:val="single" w:sz="8" w:color="auto"/>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Preferred shares, Series C-2 6%</w:t>
            </w:r>
            <w:r>
              <w:rPr>
                <w:rFonts w:ascii="Times New Roman" w:cs="Times New Roman" w:eastAsia="Times New Roman" w:hAnsi="Times New Roman"/>
                <w:sz w:val="18"/>
                <w:szCs w:val="18"/>
                <w:color w:val="auto"/>
                <w:vertAlign w:val="superscript"/>
              </w:rPr>
              <w:t>(7)</w:t>
            </w:r>
          </w:p>
        </w:tc>
        <w:tc>
          <w:tcPr>
            <w:tcW w:w="10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Digital Media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9/11/2019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2,970,252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Common Warrants, Strike Price $0.01, Expiration</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1,182,260</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Date 4/9/2028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5,001,420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4,528,107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2,002,143</w:t>
            </w: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15,684,182</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StormWind, LLC</w:t>
            </w:r>
            <w:r>
              <w:rPr>
                <w:rFonts w:ascii="Times New Roman" w:cs="Times New Roman" w:eastAsia="Times New Roman" w:hAnsi="Times New Roman"/>
                <w:sz w:val="14"/>
                <w:szCs w:val="14"/>
                <w:color w:val="auto"/>
                <w:vertAlign w:val="superscript"/>
              </w:rPr>
              <w:t>(5)</w:t>
            </w:r>
          </w:p>
        </w:tc>
        <w:tc>
          <w:tcPr>
            <w:tcW w:w="1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Scottsdale, AZ</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Times New Roman" w:cs="Times New Roman" w:eastAsia="Times New Roman" w:hAnsi="Times New Roman"/>
                <w:sz w:val="14"/>
                <w:szCs w:val="14"/>
                <w:color w:val="auto"/>
              </w:rPr>
              <w:t>Preferred shares, Series D 8%</w:t>
            </w:r>
            <w:r>
              <w:rPr>
                <w:rFonts w:ascii="Times New Roman" w:cs="Times New Roman" w:eastAsia="Times New Roman" w:hAnsi="Times New Roman"/>
                <w:sz w:val="18"/>
                <w:szCs w:val="18"/>
                <w:color w:val="auto"/>
                <w:vertAlign w:val="superscript"/>
              </w:rPr>
              <w:t>(10)</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Interactive Learning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11/26/2019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503,120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5,391,000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3,248,804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157,949</w:t>
            </w: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9,300,873</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auto"/>
            </w:tcBorders>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GreenAcreage Real Estate Corp.</w:t>
            </w:r>
          </w:p>
        </w:tc>
        <w:tc>
          <w:tcPr>
            <w:tcW w:w="104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Cannabis REIT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7,501,530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10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San Mateo, CA</w:t>
            </w: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8"/>
                <w:szCs w:val="18"/>
                <w:color w:val="auto"/>
                <w:vertAlign w:val="superscript"/>
              </w:rPr>
              <w:t>(9)</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8/23/2019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3,880,621</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Convertible Promissory Note 8% Due 8/23/2024***</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A-3, Strike Price $1.33,</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20,625</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Expiration Date 4/4/2021</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10/6/2021</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7/8/2016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62,500</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Expiration Date 7/18/2021</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B, Strike Price $2.31,</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11/29/2016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11/29/2021</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Preferred Warrant Series B, Strike Price $2.31,</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5/29/2017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Expiration Date 5/29/2022</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 Series B, Strike Price $2.31,</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12/31/2023</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9,764,414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5,111,444</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CUX, Inc. (d/b/a CorpU)</w:t>
            </w:r>
          </w:p>
        </w:tc>
        <w:tc>
          <w:tcPr>
            <w:tcW w:w="1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Philadelphia, PA</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Senior Subordinated Convertible Promissory Note</w:t>
            </w:r>
          </w:p>
        </w:tc>
        <w:tc>
          <w:tcPr>
            <w:tcW w:w="100" w:type="dxa"/>
            <w:vAlign w:val="bottom"/>
          </w:tcPr>
          <w:p>
            <w:pPr>
              <w:spacing w:after="0"/>
              <w:rPr>
                <w:sz w:val="11"/>
                <w:szCs w:val="11"/>
                <w:color w:val="auto"/>
              </w:rPr>
            </w:pP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Corporate Education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11/26/2014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1,251,158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1,256,191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312,789</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Times New Roman" w:cs="Times New Roman" w:eastAsia="Times New Roman" w:hAnsi="Times New Roman"/>
                <w:sz w:val="14"/>
                <w:szCs w:val="14"/>
                <w:color w:val="auto"/>
              </w:rPr>
              <w:t>4% Due 2/14/2023</w:t>
            </w:r>
            <w:r>
              <w:rPr>
                <w:rFonts w:ascii="Times New Roman" w:cs="Times New Roman" w:eastAsia="Times New Roman" w:hAnsi="Times New Roman"/>
                <w:sz w:val="18"/>
                <w:szCs w:val="18"/>
                <w:color w:val="auto"/>
                <w:vertAlign w:val="superscript"/>
              </w:rPr>
              <w:t>(4)(6)</w:t>
            </w:r>
          </w:p>
        </w:tc>
        <w:tc>
          <w:tcPr>
            <w:tcW w:w="10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shares, Series D 6%</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Convertible preferred shares, Series C 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Preferred Warrants Series D, Strike Price $4.59,</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2/14/2020</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4,040,875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347,769</w:t>
            </w:r>
          </w:p>
        </w:tc>
        <w:tc>
          <w:tcPr>
            <w:tcW w:w="1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Maven Research, Inc.</w:t>
            </w:r>
          </w:p>
        </w:tc>
        <w:tc>
          <w:tcPr>
            <w:tcW w:w="1720" w:type="dxa"/>
            <w:vAlign w:val="bottom"/>
            <w:tcBorders>
              <w:bottom w:val="single" w:sz="8" w:color="CCEEFF"/>
            </w:tcBorders>
            <w:gridSpan w:val="4"/>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30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Knowledge Networks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3060" w:type="dxa"/>
            <w:vAlign w:val="bottom"/>
            <w:tcBorders>
              <w:top w:val="single" w:sz="8" w:color="CCEEFF"/>
              <w:bottom w:val="single" w:sz="8" w:color="CCEEFF"/>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060" w:type="dxa"/>
            <w:vAlign w:val="bottom"/>
            <w:gridSpan w:val="7"/>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Menlo Park, CA</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96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52,857,243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37,944,268</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18.98 %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-5023485</wp:posOffset>
            </wp:positionV>
            <wp:extent cx="341185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11855" cy="12890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2019</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8"/>
                <w:szCs w:val="18"/>
                <w:b w:val="1"/>
                <w:bCs w:val="1"/>
                <w:color w:val="auto"/>
                <w:vertAlign w:val="superscript"/>
              </w:rPr>
              <w:t>(2)</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SPBRX, INC. (f/k/a GSV Sustainability</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Cupertino, CA</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20" w:type="dxa"/>
            <w:vAlign w:val="bottom"/>
            <w:tcBorders>
              <w:top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Partners, Inc.)</w:t>
            </w:r>
          </w:p>
        </w:tc>
        <w:tc>
          <w:tcPr>
            <w:tcW w:w="660" w:type="dxa"/>
            <w:vAlign w:val="bottom"/>
            <w:gridSpan w:val="2"/>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8"/>
                <w:szCs w:val="18"/>
                <w:color w:val="auto"/>
                <w:vertAlign w:val="superscript"/>
              </w:rPr>
              <w:t>(8)</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Clean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775,198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8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775,198</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775,198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0.39 %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150,585,696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191,585,578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5"/>
          </w:tcPr>
          <w:p>
            <w:pPr>
              <w:spacing w:after="0" w:line="189" w:lineRule="exact"/>
              <w:rPr>
                <w:sz w:val="20"/>
                <w:szCs w:val="20"/>
                <w:color w:val="auto"/>
              </w:rPr>
            </w:pPr>
            <w:r>
              <w:rPr>
                <w:rFonts w:ascii="Times New Roman" w:cs="Times New Roman" w:eastAsia="Times New Roman" w:hAnsi="Times New Roman"/>
                <w:sz w:val="14"/>
                <w:szCs w:val="14"/>
                <w:color w:val="auto"/>
              </w:rPr>
              <w:t>U.S. Treasury bill, 0%, due 1/2/2020***</w:t>
            </w:r>
            <w:r>
              <w:rPr>
                <w:rFonts w:ascii="Times New Roman" w:cs="Times New Roman" w:eastAsia="Times New Roman" w:hAnsi="Times New Roman"/>
                <w:sz w:val="18"/>
                <w:szCs w:val="18"/>
                <w:color w:val="auto"/>
                <w:vertAlign w:val="superscript"/>
              </w:rPr>
              <w:t>(3)</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12/30/2019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49,996,667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200,582,363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241,585,578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120.84 %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78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-419735</wp:posOffset>
            </wp:positionV>
            <wp:extent cx="190309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309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-1448435</wp:posOffset>
            </wp:positionV>
            <wp:extent cx="479171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91710" cy="128905"/>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jc w:val="right"/>
        <w:ind w:left="500" w:hanging="492"/>
        <w:spacing w:after="0" w:line="248"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w:t>
      </w:r>
    </w:p>
    <w:p>
      <w:pPr>
        <w:spacing w:after="0" w:line="1" w:lineRule="exact"/>
        <w:rPr>
          <w:sz w:val="20"/>
          <w:szCs w:val="20"/>
          <w:color w:val="auto"/>
        </w:rPr>
      </w:pPr>
    </w:p>
    <w:p>
      <w:pPr>
        <w:ind w:left="500"/>
        <w:spacing w:after="0" w:line="246" w:lineRule="auto"/>
        <w:rPr>
          <w:sz w:val="20"/>
          <w:szCs w:val="20"/>
          <w:color w:val="auto"/>
        </w:rPr>
      </w:pPr>
      <w:r>
        <w:rPr>
          <w:rFonts w:ascii="Times New Roman" w:cs="Times New Roman" w:eastAsia="Times New Roman" w:hAnsi="Times New Roman"/>
          <w:sz w:val="16"/>
          <w:szCs w:val="16"/>
          <w:color w:val="auto"/>
        </w:rPr>
        <w:t>“Note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500" w:hanging="492"/>
        <w:spacing w:after="0" w:line="246" w:lineRule="auto"/>
        <w:tabs>
          <w:tab w:leader="none" w:pos="37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30" w:lineRule="exact"/>
        <w:rPr>
          <w:sz w:val="20"/>
          <w:szCs w:val="20"/>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07"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7"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As of December 31, 2019, no investments held by SuRo Capital Corp. were considered Level 1 or Level 2. Refer to “Note 4—Investments at Fair Value”.</w:t>
      </w:r>
    </w:p>
    <w:p>
      <w:pPr>
        <w:spacing w:after="0" w:line="19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the investments noted had been placed on non-accrual status.</w:t>
      </w:r>
    </w:p>
    <w:p>
      <w:pPr>
        <w:spacing w:after="0" w:line="248"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8"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5"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00" w:lineRule="exact"/>
        <w:rPr>
          <w:sz w:val="20"/>
          <w:szCs w:val="20"/>
          <w:color w:val="auto"/>
        </w:rPr>
      </w:pPr>
    </w:p>
    <w:p>
      <w:pPr>
        <w:spacing w:after="0" w:line="281" w:lineRule="exact"/>
        <w:rPr>
          <w:sz w:val="20"/>
          <w:szCs w:val="20"/>
          <w:color w:val="auto"/>
        </w:rPr>
      </w:pPr>
    </w:p>
    <w:p>
      <w:pPr>
        <w:ind w:left="500" w:hanging="492"/>
        <w:spacing w:after="0" w:line="280"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2019, SPBRX, INC. (f/k/a GSV Sustainability Partners, Inc.) declared, and SuRo Capital Corp. received, an aggregate of $400,000 in dividend distributions.</w:t>
      </w:r>
    </w:p>
    <w:p>
      <w:pPr>
        <w:spacing w:after="0" w:line="191" w:lineRule="exact"/>
        <w:rPr>
          <w:rFonts w:ascii="Times New Roman" w:cs="Times New Roman" w:eastAsia="Times New Roman" w:hAnsi="Times New Roman"/>
          <w:sz w:val="16"/>
          <w:szCs w:val="16"/>
          <w:color w:val="auto"/>
        </w:rPr>
      </w:pPr>
    </w:p>
    <w:p>
      <w:pPr>
        <w:jc w:val="both"/>
        <w:ind w:left="500" w:hanging="492"/>
        <w:spacing w:after="0" w:line="251"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 As part of the agreement, previously accrued interest under SuRo Capital Corp’s 12% Convertible Promissory Note due 12/31/2019 will be capitalized into the principal of the extended Convertible Promissory Note, and the interest on the Convertible Promissory Note is reduced from 12% to 8%. The Convertible Promissory Note’s maturity was extended to August 23, 2024. Under the amended structure, SuRo Capital Corp.’s fully diluted ownership of voting securities in the company decreased from 50.0% to 8.5%. As such, SuRo Capital Corp.'s investments in NestGSV, Inc. (d/b/a GSV Labs, Inc.) have been recategorized from controlled investments to non-controlled/affiliated investments.</w:t>
      </w:r>
    </w:p>
    <w:p>
      <w:pPr>
        <w:spacing w:after="0" w:line="215"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5" w:lineRule="exact"/>
        <w:rPr>
          <w:rFonts w:ascii="Times New Roman" w:cs="Times New Roman" w:eastAsia="Times New Roman" w:hAnsi="Times New Roman"/>
          <w:sz w:val="16"/>
          <w:szCs w:val="16"/>
          <w:color w:val="auto"/>
        </w:rPr>
      </w:pPr>
    </w:p>
    <w:p>
      <w:pPr>
        <w:ind w:left="500" w:hanging="492"/>
        <w:spacing w:after="0" w:line="280" w:lineRule="auto"/>
        <w:tabs>
          <w:tab w:leader="none" w:pos="49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year ended December 31, 2019, Treehouse Real Estate Investment Trust Inc. declared, and SuRo Capital Corp. received an aggregate of $100,000 in dividend distributions.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10"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21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20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table below displays the Company’s subsidiaries as of September 30, 2020,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480" w:type="dxa"/>
            <w:vAlign w:val="bottom"/>
          </w:tcPr>
          <w:p>
            <w:pPr>
              <w:ind w:left="30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448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GCL</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13, 2012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GSVC AE Holdings, Inc. (“GAE”)</w:t>
            </w:r>
          </w:p>
        </w:tc>
        <w:tc>
          <w:tcPr>
            <w:tcW w:w="1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GSVC AV Holdings, Inc. (“GAV”)</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GSVC NG Holdings, Inc. (“GNG”)</w:t>
            </w:r>
            <w:r>
              <w:rPr>
                <w:rFonts w:ascii="Times New Roman" w:cs="Times New Roman" w:eastAsia="Times New Roman" w:hAnsi="Times New Roman"/>
                <w:sz w:val="23"/>
                <w:szCs w:val="23"/>
                <w:color w:val="auto"/>
                <w:vertAlign w:val="superscript"/>
              </w:rPr>
              <w:t>(1)</w:t>
            </w:r>
          </w:p>
        </w:tc>
        <w:tc>
          <w:tcPr>
            <w:tcW w:w="1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GSVC SW Holdings, Inc. (“GSW”)</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GSVC WS Holdings, Inc. (“GWS”)</w:t>
            </w:r>
            <w:r>
              <w:rPr>
                <w:rFonts w:ascii="Times New Roman" w:cs="Times New Roman" w:eastAsia="Times New Roman" w:hAnsi="Times New Roman"/>
                <w:sz w:val="23"/>
                <w:szCs w:val="23"/>
                <w:color w:val="auto"/>
                <w:vertAlign w:val="superscript"/>
              </w:rPr>
              <w:t>(1)</w:t>
            </w:r>
          </w:p>
        </w:tc>
        <w:tc>
          <w:tcPr>
            <w:tcW w:w="1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13, 2013</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This Taxable Subsidiary was dissolved on April 16, 2020.</w:t>
      </w:r>
    </w:p>
    <w:p>
      <w:pPr>
        <w:spacing w:after="0" w:line="232"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In the opinion of management, all adjustments, all of which were of a normal recurring nature, considered necessary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presentation of consolidated financial statements for the interim period have been included.</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current interim period are not necessarily indicative of results that ultimately may be achieved for any other interim period or for the year ending December 31, 2020. The interim unaudited condensed consolidated financial statements and notes hereto should be read in conjunction with the audited consolidated financial statements and notes thereto contained in the Company’s annual report on Form 10-K for the year ended December 31,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8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64"/>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measurement date.</w:t>
      </w:r>
    </w:p>
    <w:p>
      <w:pPr>
        <w:spacing w:after="0" w:line="182" w:lineRule="exact"/>
        <w:rPr>
          <w:sz w:val="20"/>
          <w:szCs w:val="20"/>
          <w:color w:val="auto"/>
        </w:rPr>
      </w:pPr>
    </w:p>
    <w:p>
      <w:pPr>
        <w:jc w:val="both"/>
        <w:ind w:firstLine="364"/>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98" w:lineRule="exact"/>
        <w:rPr>
          <w:sz w:val="20"/>
          <w:szCs w:val="20"/>
          <w:color w:val="auto"/>
        </w:rPr>
      </w:pPr>
    </w:p>
    <w:p>
      <w:pPr>
        <w:jc w:val="both"/>
        <w:ind w:firstLine="364"/>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20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21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20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21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203" w:lineRule="exact"/>
        <w:rPr>
          <w:sz w:val="20"/>
          <w:szCs w:val="20"/>
          <w:color w:val="auto"/>
        </w:rPr>
      </w:pPr>
    </w:p>
    <w:p>
      <w:pPr>
        <w:ind w:left="660" w:right="20" w:hanging="328"/>
        <w:spacing w:after="0" w:line="282" w:lineRule="auto"/>
        <w:tabs>
          <w:tab w:leader="none" w:pos="7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investment professionals responsible for the portfolio investment;</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senior management;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89" w:lineRule="exact"/>
        <w:rPr>
          <w:sz w:val="20"/>
          <w:szCs w:val="20"/>
          <w:color w:val="auto"/>
        </w:rPr>
      </w:pPr>
    </w:p>
    <w:p>
      <w:pPr>
        <w:ind w:left="660" w:right="20" w:hanging="323"/>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w:t>
        <w:tab/>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ind w:left="660" w:hanging="328"/>
        <w:spacing w:after="0" w:line="282" w:lineRule="auto"/>
        <w:tabs>
          <w:tab w:leader="none" w:pos="6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8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21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20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207"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21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21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5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2020 and December 31, 2019, for details regarding the nature and composition of the Company’s investment portfolio.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5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and sold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As of September 30, 2020 and December 31, 2019, the Company had $116,679 and $265,303, respectively, in escrow proceeds receivable.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September 30, 2020 and December 31, 2019, the Company had deferred financing costs of $296,198 and $11,382, respectively, on the Condensed Consolidated Statement of Assets and Liabilities.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credit facility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4903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Deposits</w:t>
      </w:r>
      <w:r>
        <w:rPr>
          <w:rFonts w:ascii="Times New Roman" w:cs="Times New Roman" w:eastAsia="Times New Roman" w:hAnsi="Times New Roman"/>
          <w:sz w:val="18"/>
          <w:szCs w:val="18"/>
          <w:color w:val="auto"/>
        </w:rPr>
        <w:t>”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September 30, 2020 and December 31, 2019, the Company had no material escrow deposits.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5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216" w:lineRule="exact"/>
        <w:rPr>
          <w:sz w:val="20"/>
          <w:szCs w:val="20"/>
          <w:color w:val="auto"/>
        </w:rPr>
      </w:pPr>
    </w:p>
    <w:p>
      <w:pPr>
        <w:jc w:val="both"/>
        <w:ind w:firstLine="364"/>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is intended to improve fair value and defined benefit disclosure requirements by removing disclosures that are not cost beneficial, clarifying disclosures' specific requirements, and adding relevant disclosure requirements. The amendments took effect for all organizations for fiscal years, and interim periods within those fiscal years, beginning after December 15, 2019. The Company adopted the eliminated and modified disclosure requirements during the three and nine months ended September 30, 2020. No significant changes to the fair value disclosures were necessary in the notes to the condensed consolidated financial statements in order to comply with ASU 2018-13.</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SEC issued Final Rule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xml:space="preserve"> amending certain disclosure requirements intended to eliminate redundant, duplicative, overlapping, outdated or superseded, in light of other SEC disclosure requirements, U.S. GAAP requirements, or changes in the information environment. In part, this final rule requires an investment company to present distributable earnings in total on the consolidated balance sheet, rather than showing the three components of distributable earnings as previously required. The Company decided not to adopt this change as the current, more detailed and expanded disclosure presentation was deemed to be most helpful, useful, and transparent for users of our condensed consolidated financial statements. The impact of the adoption of this amendment on the Company's consolidated financial statements would not be material. Additionally, the final rule requires disclosure of changes in net assets within a registrant's Form 10-Q filing on a quarter-to-date and year-to-date basis for both the current year and prior year comparative periods. The Company adopted the new requirement to present changes in net assets in interim financial statements within Form 10-Q filings during the year ended December 31, 2019. The adoption of this rule did not have a material impact on the consolidated financial statements.</w:t>
      </w:r>
    </w:p>
    <w:p>
      <w:pPr>
        <w:spacing w:after="0" w:line="21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March 2020, the SEC adopted a final rule under SEC Release No. 34-88365 ("SEC Rule 12b-2 Update"), amending the accelerated filer and large accelerated filer definitions in Exchange Act Rule 12b-2. The amendments include a provision under which a BDC will be excluded from the “accelerated filer” and “large accelerated filer” definitions if the BDC has (1) a public float of $75.0 million or more, but less than $700.0 million, and (2) has annual investment income of less than $100.0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SEC Rule 12b-2 Update applies to annual report filings due on or after April 27, 2020. The Company is currently assessing SEC Rule 12b-2 Update and believes it will no longer be an accelerated filer, but may continue filing under the accelerated filer timeline.</w:t>
      </w:r>
    </w:p>
    <w:p>
      <w:pPr>
        <w:spacing w:after="0" w:line="21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In May 2020, the SEC adopted rule amendments that will impact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 the definition of “significant subsidiary” in a manner that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The Company has elected to comply in advance of the effective date for the quarter ended September 30, 2020. The adoption of this rule will have a moderate impact on the consolidated condensed financial statements in that far fewer subsidiaries will require disclosure under the Final Rules as compared to the previous rules.</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Internalization of Company’s Operating Structure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accounting implications and related controls associated with the Internalization were analyzed and updated for fiscal year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Investment Advisory Agreement</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Investment Advisory Agreement was terminated by mutual agreement of GSV Asset Management and us in connection with our Internalization.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Investment Advisory Agreement has been terminated, there will be no base management fees or incentives fees payable to GSV Asset Management going forward.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Administration Agreement</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Administration Agreement was terminated by mutual agreement of GSV Capital Service Company and us in connection with our Internalization.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the Administration Agreement has been terminated, there will be no costs incurred by GSV Capital Service Company going forward.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 and Reduction of Number of Directors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 On September 12, 2020, the Consulting Agreement expired in accordance with its terms and was not renewed or extended.</w:t>
      </w:r>
    </w:p>
    <w:p>
      <w:pPr>
        <w:spacing w:after="0" w:line="203"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incurred $165,771 and $208,333, respectively, of consulting expense related to the Consulting Agreement, as included in "professional fees" on the Condensed Consolidated Statements of Operations. For the nine months ended September 30, 2020 and 2019 the Company incurred $582,437 and $459,229, respectively, of consulting expense related to the Consulting Agreement, as included in "professional fees" on the Condensed Consolidated Statements of Operations. As of September 30, 2020 and December 31, 2019, the Company recorded $0 and $332,437, respectively, of prepaid expense related to the Consulting Agreement on the Condensed Consolidated Statement of Assets and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Trademark License Agreement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 On September 12, 2020, the Amended and Restated License Agreement expired in accordance with its terms and was not renewed or extended.</w:t>
      </w:r>
    </w:p>
    <w:p>
      <w:pPr>
        <w:spacing w:after="0" w:line="20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incurred $165,771 and $208,333, respectively, of licensing expense, as included in "other expenses" on the Condensed Consolidated Statements of Operations. For the nine months ended September 30, 2020 and 2019, the Company incurred $582,438 and $459,229 respectively, of licensing expense,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included in "other expenses" on the Condensed Consolidated Statements of Operations. As of September 30, 2020 and December 31, 2019, the Company recorded $0 and $332,437, respectively, of prepaid expense related to the Amended and Restated Trademark License Agreement on the Condensed Consolidated Statement of Assets and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On March 12, 2019, in connection with the Company's Internalization, the Investment Advisory Agreement was terminated in accordance with its terms.</w:t>
      </w:r>
    </w:p>
    <w:p>
      <w:pPr>
        <w:spacing w:after="0" w:line="18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215"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was paid a base management fee of 2.00% of gross assets, which is the Company’s total assets reflected on its Condensed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21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GSV Asset Management did not earn any management fees for the three months ended September 30, 2020 and 2019 and did not waive any management fees for the three months ended September 30, 2020 or 2019. For the nine months ended September 30, 2020 and 2019, GSV Asset Management earned $0 and $848,723 in management fees, respectively, and did not waive any management fees.</w:t>
      </w:r>
    </w:p>
    <w:p>
      <w:pPr>
        <w:spacing w:after="0" w:line="203"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the Investment Advisory Agreement has been terminated, there will be no base management fee payable to GSV Asset Management going forward.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21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20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did not accrue any incentive fees due to the termination of the Investment Advisory Agreement, effective March 12, 2019. For the three and nine months ended September 30, 2019, the Company reversed previously accrued incentive fees of $0 and $4,660,472, respectively, due to the termination of the Investment Advisory Agreement. As the Investment Advisory Agreement has been terminated, there will be no incentive fee payable to GSV Asset Management going forward.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 Waiver Agreement</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20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21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203"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As of each of September 30, 2020 and December 31, 2019, there were no receivables owed to the Company by GSV Asset Management. As the Investment Advisory Agreement has been terminated, there will be no receivables owed to the Company by GSV Asset Management going forward.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12, 2019, in connection with the Company's Internalization, the Administration Agreement was terminated in accordance with its terms.</w:t>
      </w:r>
    </w:p>
    <w:p>
      <w:pPr>
        <w:spacing w:after="0" w:line="252"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2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did not incur any costs under the Administration Agreement. For the nine months ended September 30, 2020 and 2019, the Company incurred $0 and $306,084, respectively, in such costs incurred under the Administration Agreement. As the Administration Agreement has been terminated, there will be no costs incurred by GSV Capital Service Company on behalf of the Company going forward.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 On September 12, 2020, the Amended and Restated License Agreement expired in accordance with its terms and was not renewed or extended.</w:t>
      </w:r>
    </w:p>
    <w:p>
      <w:pPr>
        <w:spacing w:after="0" w:line="210"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Arrangements</w:t>
      </w:r>
    </w:p>
    <w:p>
      <w:pPr>
        <w:spacing w:after="0" w:line="256"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Mark Moe, who is the brother of Michael Moe, the former Chairman of the Company’s Board of Directors, serves as Vice President of Business Development, Global Expansion for NestGSV, Inc. (d/b/a GSV Labs, Inc.), one of the Company’s portfolio companies.</w:t>
      </w:r>
    </w:p>
    <w:p>
      <w:pPr>
        <w:spacing w:after="0" w:line="18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207"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September 30, 2020, the Company had 50 positions in 24 portfolio companies. As of December 31, 2019, the Company had 46 positions in 23 portfolio companies.</w:t>
      </w:r>
    </w:p>
    <w:p>
      <w:pPr>
        <w:spacing w:after="0" w:line="207"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September 30, 2020 and December 31,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tcPr>
          <w:p>
            <w:pPr>
              <w:jc w:val="right"/>
              <w:ind w:right="173"/>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77,832,023</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132,071,471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73,557,331</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125,448,358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45,794,814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23,871,300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63,425,065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59,209,559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Investments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11,964,165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8,224,227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8,764,885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4,617,151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8,764,885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5,283,506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144,355,887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150,585,696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Publicly Traded Portfolio</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15,101,477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46,662,051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159,457,364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215,446,200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150,585,696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49,996,667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309,457,281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365,446,200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200,582,363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241,585,578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September 30, 2020 and December 31, 2019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68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80" w:type="dxa"/>
            <w:vAlign w:val="bottom"/>
          </w:tcPr>
          <w:p>
            <w:pPr>
              <w:jc w:val="center"/>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60" w:type="dxa"/>
            <w:vAlign w:val="bottom"/>
          </w:tcPr>
          <w:p>
            <w:pPr>
              <w:jc w:val="right"/>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199,366,432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176,331,572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Northeast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12,196,472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7,847,769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Mid-west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3,883,296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7,406,237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8"/>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80" w:type="dxa"/>
            <w:vAlign w:val="bottom"/>
          </w:tcPr>
          <w:p>
            <w:pPr>
              <w:jc w:val="right"/>
              <w:ind w:right="234"/>
              <w:spacing w:after="0" w:line="13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 Technology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95,773,772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82,578,640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Big Data/Cloud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55,246,708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31,582,084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Technology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23,706,741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26,754,801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Social/Mobile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20,922,463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26,573,046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Marketplaces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18,836,318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23,321,809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Sustainability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960,198</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775,198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215,446,200</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1240"/>
          </w:cols>
          <w:pgMar w:left="320" w:top="118"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80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228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2280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2802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280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Sustainability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47834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Education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Software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E-Transcript 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47834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Commerce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Fashion Rental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200" w:lineRule="exact"/>
        <w:rPr>
          <w:sz w:val="20"/>
          <w:szCs w:val="20"/>
          <w:color w:val="auto"/>
        </w:rPr>
      </w:pPr>
    </w:p>
    <w:p>
      <w:pPr>
        <w:sectPr>
          <w:pgSz w:w="11900" w:h="16838" w:orient="portrait"/>
          <w:cols w:equalWidth="0" w:num="2">
            <w:col w:w="3000" w:space="720"/>
            <w:col w:w="75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56"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September 30, 2020 and December 31, 2019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132,071,471</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23,871,300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8,224,227</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4,617,151</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46,662,051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46,662,051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46,662,051</w:t>
            </w:r>
          </w:p>
        </w:tc>
        <w:tc>
          <w:tcPr>
            <w:tcW w:w="1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215,446,200</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365,446,200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125,448,358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125,448,358</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59,209,559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59,209,559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1,644,155</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5,283,506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241,585,578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-3505200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-3505200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-3796665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-3796665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-4396740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-4396740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54" w:lineRule="exact"/>
        <w:rPr>
          <w:sz w:val="20"/>
          <w:szCs w:val="20"/>
          <w:color w:val="auto"/>
        </w:rPr>
      </w:pPr>
    </w:p>
    <w:p>
      <w:pPr>
        <w:jc w:val="both"/>
        <w:ind w:right="20" w:firstLine="364"/>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Company’s fair value measurements of its Level 3 assets as of September 30, 2020 and December 31, 2019.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2020 and December 31, 2019. Significant changes in the inputs in isolation would result in a significant change in the fair value measurement, depending on the input and the materiality of the investment. Refer to “Note 2 —Significant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Unobservable Inputs</w:t>
            </w:r>
            <w:r>
              <w:rPr>
                <w:rFonts w:ascii="Times New Roman" w:cs="Times New Roman" w:eastAsia="Times New Roman" w:hAnsi="Times New Roman"/>
                <w:sz w:val="18"/>
                <w:szCs w:val="18"/>
                <w:b w:val="1"/>
                <w:bCs w:val="1"/>
                <w:color w:val="auto"/>
                <w:w w:val="99"/>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Times New Roman" w:cs="Times New Roman" w:eastAsia="Times New Roman" w:hAnsi="Times New Roman"/>
                <w:sz w:val="9"/>
                <w:szCs w:val="9"/>
                <w:b w:val="1"/>
                <w:bCs w:val="1"/>
                <w:color w:val="auto"/>
                <w:w w:val="75"/>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Technique</w:t>
            </w:r>
            <w:r>
              <w:rPr>
                <w:rFonts w:ascii="Times New Roman" w:cs="Times New Roman" w:eastAsia="Times New Roman" w:hAnsi="Times New Roman"/>
                <w:sz w:val="18"/>
                <w:szCs w:val="18"/>
                <w:b w:val="1"/>
                <w:bCs w:val="1"/>
                <w:color w:val="auto"/>
                <w:w w:val="96"/>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AFFO</w:t>
            </w:r>
            <w:r>
              <w:rPr>
                <w:rFonts w:ascii="Times New Roman" w:cs="Times New Roman" w:eastAsia="Times New Roman" w:hAnsi="Times New Roman"/>
                <w:sz w:val="23"/>
                <w:szCs w:val="23"/>
                <w:color w:val="auto"/>
                <w:w w:val="96"/>
                <w:vertAlign w:val="superscript"/>
              </w:rPr>
              <w:t>(4)</w:t>
            </w:r>
            <w:r>
              <w:rPr>
                <w:rFonts w:ascii="Times New Roman" w:cs="Times New Roman" w:eastAsia="Times New Roman" w:hAnsi="Times New Roman"/>
                <w:sz w:val="18"/>
                <w:szCs w:val="18"/>
                <w:color w:val="auto"/>
                <w:w w:val="96"/>
              </w:rPr>
              <w:t xml:space="preserve"> multiple</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23.57x - 23.57x (23.57x)</w:t>
            </w:r>
          </w:p>
        </w:tc>
        <w:tc>
          <w:tcPr>
            <w:tcW w:w="0" w:type="dxa"/>
            <w:vAlign w:val="bottom"/>
          </w:tcPr>
          <w:p>
            <w:pPr>
              <w:spacing w:after="0"/>
              <w:rPr>
                <w:sz w:val="1"/>
                <w:szCs w:val="1"/>
                <w:color w:val="auto"/>
              </w:rPr>
            </w:pPr>
          </w:p>
        </w:tc>
      </w:tr>
      <w:tr>
        <w:trPr>
          <w:trHeight w:val="26"/>
        </w:trPr>
        <w:tc>
          <w:tcPr>
            <w:tcW w:w="370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$23,871,300</w:t>
            </w:r>
          </w:p>
        </w:tc>
        <w:tc>
          <w:tcPr>
            <w:tcW w:w="190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2.06x -6.27x (5.62x)</w:t>
            </w:r>
          </w:p>
        </w:tc>
        <w:tc>
          <w:tcPr>
            <w:tcW w:w="0" w:type="dxa"/>
            <w:vAlign w:val="bottom"/>
          </w:tcPr>
          <w:p>
            <w:pPr>
              <w:spacing w:after="0"/>
              <w:rPr>
                <w:sz w:val="1"/>
                <w:szCs w:val="1"/>
                <w:color w:val="auto"/>
              </w:rPr>
            </w:pPr>
          </w:p>
        </w:tc>
      </w:tr>
      <w:tr>
        <w:trPr>
          <w:trHeight w:val="41"/>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700" w:type="dxa"/>
            <w:vAlign w:val="bottom"/>
            <w:tcBorders>
              <w:left w:val="single" w:sz="8" w:color="auto"/>
              <w:right w:val="single" w:sz="8" w:color="auto"/>
            </w:tcBorders>
            <w:vMerge w:val="continue"/>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700" w:type="dxa"/>
            <w:vAlign w:val="bottom"/>
            <w:tcBorders>
              <w:left w:val="single" w:sz="8" w:color="auto"/>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0.91x - 3.84x (2.19x)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Precedent</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00" w:type="dxa"/>
            <w:vAlign w:val="bottom"/>
            <w:tcBorders>
              <w:left w:val="single" w:sz="8" w:color="auto"/>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$132,071,471</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private companies</w:t>
            </w:r>
          </w:p>
        </w:tc>
        <w:tc>
          <w:tcPr>
            <w:tcW w:w="188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PWERM</w:t>
            </w:r>
            <w:r>
              <w:rPr>
                <w:rFonts w:ascii="Times New Roman" w:cs="Times New Roman" w:eastAsia="Times New Roman" w:hAnsi="Times New Roman"/>
                <w:sz w:val="23"/>
                <w:szCs w:val="23"/>
                <w:color w:val="auto"/>
                <w:w w:val="95"/>
                <w:vertAlign w:val="superscript"/>
              </w:rPr>
              <w:t>(5)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0.99x - 2.99x (1.98x)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700" w:type="dxa"/>
            <w:vAlign w:val="bottom"/>
            <w:tcBorders>
              <w:left w:val="single" w:sz="8" w:color="auto"/>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2.06x - 2.88x (2.24x)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$8,224,227</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PWERM</w:t>
            </w:r>
            <w:r>
              <w:rPr>
                <w:rFonts w:ascii="Times New Roman" w:cs="Times New Roman" w:eastAsia="Times New Roman" w:hAnsi="Times New Roman"/>
                <w:sz w:val="23"/>
                <w:szCs w:val="23"/>
                <w:color w:val="auto"/>
                <w:w w:val="95"/>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0.51 - 7.55 (4.67)</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$4,617,151</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34% - 52% (37%)</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5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22" w:lineRule="exact"/>
        <w:rPr>
          <w:sz w:val="20"/>
          <w:szCs w:val="20"/>
          <w:color w:val="auto"/>
        </w:rPr>
      </w:pPr>
    </w:p>
    <w:p>
      <w:pPr>
        <w:ind w:left="660" w:right="20" w:hanging="652"/>
        <w:spacing w:after="0" w:line="251" w:lineRule="auto"/>
        <w:tabs>
          <w:tab w:leader="none" w:pos="35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ind w:left="660" w:right="40" w:hanging="652"/>
        <w:spacing w:after="0" w:line="251" w:lineRule="auto"/>
        <w:tabs>
          <w:tab w:leader="none" w:pos="39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w:t>
      </w:r>
    </w:p>
    <w:p>
      <w:pPr>
        <w:sectPr>
          <w:pgSz w:w="11900" w:h="16838" w:orient="portrait"/>
          <w:cols w:equalWidth="0" w:num="1">
            <w:col w:w="11260"/>
          </w:cols>
          <w:pgMar w:left="320" w:top="118" w:right="31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118" w:right="31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400" w:lineRule="exact"/>
        <w:rPr>
          <w:sz w:val="20"/>
          <w:szCs w:val="20"/>
          <w:color w:val="auto"/>
        </w:rPr>
      </w:pPr>
    </w:p>
    <w:p>
      <w:pPr>
        <w:jc w:val="both"/>
        <w:ind w:left="660" w:right="20"/>
        <w:spacing w:after="0" w:line="249" w:lineRule="auto"/>
        <w:rPr>
          <w:sz w:val="20"/>
          <w:szCs w:val="20"/>
          <w:color w:val="auto"/>
        </w:rPr>
      </w:pPr>
      <w:r>
        <w:rPr>
          <w:rFonts w:ascii="Times New Roman" w:cs="Times New Roman" w:eastAsia="Times New Roman" w:hAnsi="Times New Roman"/>
          <w:sz w:val="16"/>
          <w:szCs w:val="16"/>
          <w:color w:val="auto"/>
        </w:rPr>
        <w:t>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5"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2019</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Unobservable Inputs</w:t>
            </w:r>
            <w:r>
              <w:rPr>
                <w:rFonts w:ascii="Times New Roman" w:cs="Times New Roman" w:eastAsia="Times New Roman" w:hAnsi="Times New Roman"/>
                <w:sz w:val="18"/>
                <w:szCs w:val="18"/>
                <w:b w:val="1"/>
                <w:bCs w:val="1"/>
                <w:color w:val="auto"/>
                <w:w w:val="99"/>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Times New Roman" w:cs="Times New Roman" w:eastAsia="Times New Roman" w:hAnsi="Times New Roman"/>
                <w:sz w:val="9"/>
                <w:szCs w:val="9"/>
                <w:b w:val="1"/>
                <w:bCs w:val="1"/>
                <w:color w:val="auto"/>
                <w:w w:val="75"/>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Technique</w:t>
            </w:r>
            <w:r>
              <w:rPr>
                <w:rFonts w:ascii="Times New Roman" w:cs="Times New Roman" w:eastAsia="Times New Roman" w:hAnsi="Times New Roman"/>
                <w:sz w:val="18"/>
                <w:szCs w:val="18"/>
                <w:b w:val="1"/>
                <w:bCs w:val="1"/>
                <w:color w:val="auto"/>
                <w:w w:val="96"/>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AFFO</w:t>
            </w:r>
            <w:r>
              <w:rPr>
                <w:rFonts w:ascii="Times New Roman" w:cs="Times New Roman" w:eastAsia="Times New Roman" w:hAnsi="Times New Roman"/>
                <w:sz w:val="23"/>
                <w:szCs w:val="23"/>
                <w:color w:val="auto"/>
                <w:w w:val="96"/>
                <w:vertAlign w:val="superscript"/>
              </w:rPr>
              <w:t>(4)</w:t>
            </w:r>
            <w:r>
              <w:rPr>
                <w:rFonts w:ascii="Times New Roman" w:cs="Times New Roman" w:eastAsia="Times New Roman" w:hAnsi="Times New Roman"/>
                <w:sz w:val="18"/>
                <w:szCs w:val="18"/>
                <w:color w:val="auto"/>
                <w:w w:val="96"/>
              </w:rPr>
              <w:t xml:space="preserve"> multiple</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16.67x - 37.32 (25.09x)</w:t>
            </w: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$59,209,559</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1.45x - 3.23x (2.86x)</w:t>
            </w: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private companies</w:t>
            </w:r>
          </w:p>
        </w:tc>
        <w:tc>
          <w:tcPr>
            <w:tcW w:w="188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700" w:type="dxa"/>
            <w:vAlign w:val="bottom"/>
            <w:tcBorders>
              <w:left w:val="single" w:sz="8" w:color="auto"/>
              <w:right w:val="single" w:sz="8" w:color="auto"/>
            </w:tcBorders>
            <w:vMerge w:val="continue"/>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1.89x - 5.43x (3.77x)</w:t>
            </w: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Precedent</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$125,448,358</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PWERM</w:t>
            </w:r>
            <w:r>
              <w:rPr>
                <w:rFonts w:ascii="Times New Roman" w:cs="Times New Roman" w:eastAsia="Times New Roman" w:hAnsi="Times New Roman"/>
                <w:sz w:val="23"/>
                <w:szCs w:val="23"/>
                <w:color w:val="auto"/>
                <w:w w:val="95"/>
                <w:vertAlign w:val="superscript"/>
              </w:rPr>
              <w:t>(5)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1.23x - 2.05x (1.83x)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2.97x - 3.23x (3.10x)</w:t>
            </w:r>
          </w:p>
        </w:tc>
        <w:tc>
          <w:tcPr>
            <w:tcW w:w="0" w:type="dxa"/>
            <w:vAlign w:val="bottom"/>
          </w:tcPr>
          <w:p>
            <w:pPr>
              <w:spacing w:after="0"/>
              <w:rPr>
                <w:sz w:val="1"/>
                <w:szCs w:val="1"/>
                <w:color w:val="auto"/>
              </w:rPr>
            </w:pPr>
          </w:p>
        </w:tc>
      </w:tr>
      <w:tr>
        <w:trPr>
          <w:trHeight w:val="134"/>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1.45x - 1.57x (1.51x)</w:t>
            </w: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$1,644,155</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PWERM</w:t>
            </w:r>
            <w:r>
              <w:rPr>
                <w:rFonts w:ascii="Times New Roman" w:cs="Times New Roman" w:eastAsia="Times New Roman" w:hAnsi="Times New Roman"/>
                <w:sz w:val="23"/>
                <w:szCs w:val="23"/>
                <w:color w:val="auto"/>
                <w:w w:val="95"/>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50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0.13 - 8.30 (5.35)</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$5,283,506</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30.0%-48.0% (36.0%)</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5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660" w:right="20" w:hanging="652"/>
        <w:spacing w:after="0" w:line="247" w:lineRule="auto"/>
        <w:tabs>
          <w:tab w:leader="none" w:pos="36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660" w:right="20" w:hanging="652"/>
        <w:spacing w:after="0" w:line="250" w:lineRule="auto"/>
        <w:tabs>
          <w:tab w:leader="none" w:pos="3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w:t>
      </w:r>
    </w:p>
    <w:p>
      <w:pPr>
        <w:sectPr>
          <w:pgSz w:w="11900" w:h="16838" w:orient="portrait"/>
          <w:cols w:equalWidth="0" w:num="1">
            <w:col w:w="11260"/>
          </w:cols>
          <w:pgMar w:left="320" w:top="118" w:right="31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18" w:right="31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400"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6"/>
          <w:szCs w:val="16"/>
          <w:color w:val="auto"/>
        </w:rPr>
        <w:t>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90"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aggregate values of Level 3 assets and liabilities changed during the nine months ended September 30, 2020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Debt</w:t>
            </w:r>
          </w:p>
        </w:tc>
        <w:tc>
          <w:tcPr>
            <w:tcW w:w="4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2019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59,209,559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125,448,358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1,644,155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(57,736,900)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(57,736,900)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7,994,484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7,406,940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15,397,512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(11,684,574)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6,247,189</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23,838,956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2,348,421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(545,678)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(666,355)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24,975,344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included in earnings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168,784,149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(depreciation) of Level 3 investments still held</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(3,730,766)</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9,237,222</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(505,703)</w:t>
            </w:r>
          </w:p>
        </w:tc>
        <w:tc>
          <w:tcPr>
            <w:tcW w:w="10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(666,355)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4,334,398</w:t>
            </w:r>
          </w:p>
        </w:tc>
        <w:tc>
          <w:tcPr>
            <w:tcW w:w="0" w:type="dxa"/>
            <w:vAlign w:val="bottom"/>
          </w:tcPr>
          <w:p>
            <w:pPr>
              <w:spacing w:after="0"/>
              <w:rPr>
                <w:sz w:val="1"/>
                <w:szCs w:val="1"/>
                <w:color w:val="auto"/>
              </w:rPr>
            </w:pPr>
          </w:p>
        </w:tc>
      </w:tr>
      <w:tr>
        <w:trPr>
          <w:trHeight w:val="208"/>
        </w:trPr>
        <w:tc>
          <w:tcPr>
            <w:tcW w:w="3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as of September 30, 2020</w:t>
            </w: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During the nine months ended September 30, 2020, the Company’s portfolio investments had the following corporate actions which are reflected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0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from</w:t>
            </w:r>
          </w:p>
        </w:tc>
        <w:tc>
          <w:tcPr>
            <w:tcW w:w="12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c>
          <w:tcPr>
            <w:tcW w:w="0" w:type="dxa"/>
            <w:vAlign w:val="bottom"/>
          </w:tcPr>
          <w:p>
            <w:pPr>
              <w:spacing w:after="0"/>
              <w:rPr>
                <w:sz w:val="1"/>
                <w:szCs w:val="1"/>
                <w:color w:val="auto"/>
              </w:rPr>
            </w:pPr>
          </w:p>
        </w:tc>
      </w:tr>
      <w:tr>
        <w:trPr>
          <w:trHeight w:val="159"/>
        </w:trPr>
        <w:tc>
          <w:tcPr>
            <w:tcW w:w="3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2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496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rPr>
              <w:t>Junior Preferred shares, Series 1-D</w:t>
            </w:r>
          </w:p>
        </w:tc>
        <w:tc>
          <w:tcPr>
            <w:tcW w:w="0" w:type="dxa"/>
            <w:vAlign w:val="bottom"/>
          </w:tcPr>
          <w:p>
            <w:pPr>
              <w:spacing w:after="0"/>
              <w:rPr>
                <w:sz w:val="1"/>
                <w:szCs w:val="1"/>
                <w:color w:val="auto"/>
              </w:rPr>
            </w:pPr>
          </w:p>
        </w:tc>
      </w:tr>
      <w:tr>
        <w:trPr>
          <w:trHeight w:val="129"/>
        </w:trPr>
        <w:tc>
          <w:tcPr>
            <w:tcW w:w="3300" w:type="dxa"/>
            <w:vAlign w:val="bottom"/>
            <w:gridSpan w:val="2"/>
            <w:vMerge w:val="continue"/>
            <w:shd w:val="clear" w:color="auto" w:fill="CCEEFF"/>
          </w:tcPr>
          <w:p>
            <w:pPr>
              <w:spacing w:after="0"/>
              <w:rPr>
                <w:sz w:val="11"/>
                <w:szCs w:val="11"/>
                <w:color w:val="auto"/>
              </w:rPr>
            </w:pPr>
          </w:p>
        </w:tc>
        <w:tc>
          <w:tcPr>
            <w:tcW w:w="2980" w:type="dxa"/>
            <w:vAlign w:val="bottom"/>
            <w:gridSpan w:val="2"/>
            <w:vMerge w:val="continue"/>
            <w:shd w:val="clear" w:color="auto" w:fill="CCEEFF"/>
          </w:tcPr>
          <w:p>
            <w:pPr>
              <w:spacing w:after="0"/>
              <w:rPr>
                <w:sz w:val="11"/>
                <w:szCs w:val="11"/>
                <w:color w:val="auto"/>
              </w:rPr>
            </w:pPr>
          </w:p>
        </w:tc>
        <w:tc>
          <w:tcPr>
            <w:tcW w:w="4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warrants, Strike price $0.01, Expiration Date 5/11/2027</w:t>
            </w:r>
          </w:p>
        </w:tc>
        <w:tc>
          <w:tcPr>
            <w:tcW w:w="0" w:type="dxa"/>
            <w:vAlign w:val="bottom"/>
          </w:tcPr>
          <w:p>
            <w:pPr>
              <w:spacing w:after="0"/>
              <w:rPr>
                <w:sz w:val="1"/>
                <w:szCs w:val="1"/>
                <w:color w:val="auto"/>
              </w:rPr>
            </w:pPr>
          </w:p>
        </w:tc>
      </w:tr>
      <w:tr>
        <w:trPr>
          <w:trHeight w:val="87"/>
        </w:trPr>
        <w:tc>
          <w:tcPr>
            <w:tcW w:w="3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Convertible Promissory Note</w:t>
            </w:r>
          </w:p>
        </w:tc>
        <w:tc>
          <w:tcPr>
            <w:tcW w:w="4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Palantir Technologies, Inc.</w:t>
            </w:r>
          </w:p>
        </w:tc>
        <w:tc>
          <w:tcPr>
            <w:tcW w:w="2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shares, Class A</w:t>
            </w:r>
          </w:p>
        </w:tc>
        <w:tc>
          <w:tcPr>
            <w:tcW w:w="4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Public Common shares (Level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-522605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-522605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2019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Debt</w:t>
            </w:r>
          </w:p>
        </w:tc>
        <w:tc>
          <w:tcPr>
            <w:tcW w:w="32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2018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(21,947,688)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25,953,664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fixed income security premiums</w:t>
            </w: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discounts</w:t>
            </w:r>
          </w:p>
        </w:tc>
        <w:tc>
          <w:tcPr>
            <w:tcW w:w="2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(18,530,024)</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(4,308,795)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59,400,748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51,929,649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included in earnings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2019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59,209,559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125,448,358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5,283,506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191,585,578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change in unrealized appreciation/</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(depreciation) of Level 3 investments still held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(4,309,794)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38,560,931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(3,539,066)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29,805,062</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as of December 31, 2019</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During the year ended December 31, 2019, the Company’s portfolio investments had the following corporate actions which are reflected above:</w:t>
      </w:r>
    </w:p>
    <w:p>
      <w:pPr>
        <w:sectPr>
          <w:pgSz w:w="11900" w:h="16838" w:orient="portrait"/>
          <w:cols w:equalWidth="0" w:num="1">
            <w:col w:w="11240"/>
          </w:cols>
          <w:pgMar w:left="320" w:top="118"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Lyft, Inc.</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Ozy Media, Inc.</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NestGSV, Inc (d/b/a GSV Labs, Inc.)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21590</wp:posOffset>
            </wp:positionV>
            <wp:extent cx="7115175" cy="248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Preferred shares, Series D</w:t>
      </w:r>
    </w:p>
    <w:p>
      <w:pPr>
        <w:ind w:left="120"/>
        <w:spacing w:after="0"/>
        <w:rPr>
          <w:sz w:val="20"/>
          <w:szCs w:val="20"/>
          <w:color w:val="auto"/>
        </w:rPr>
      </w:pPr>
      <w:r>
        <w:rPr>
          <w:rFonts w:ascii="Times New Roman" w:cs="Times New Roman" w:eastAsia="Times New Roman" w:hAnsi="Times New Roman"/>
          <w:sz w:val="16"/>
          <w:szCs w:val="16"/>
          <w:color w:val="auto"/>
        </w:rPr>
        <w:t>Preferred shares, Series E</w:t>
      </w:r>
    </w:p>
    <w:p>
      <w:pPr>
        <w:spacing w:after="0" w:line="14"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6"/>
          <w:szCs w:val="16"/>
          <w:color w:val="auto"/>
        </w:rPr>
        <w:t>Convertible Promissory Note</w:t>
      </w:r>
    </w:p>
    <w:p>
      <w:pPr>
        <w:spacing w:after="0" w:line="28"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6"/>
          <w:szCs w:val="16"/>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-113665</wp:posOffset>
            </wp:positionV>
            <wp:extent cx="7115175"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ind w:left="40"/>
        <w:spacing w:after="0" w:line="211" w:lineRule="auto"/>
        <w:rPr>
          <w:sz w:val="20"/>
          <w:szCs w:val="20"/>
          <w:color w:val="auto"/>
        </w:rPr>
      </w:pPr>
      <w:r>
        <w:rPr>
          <w:rFonts w:ascii="Times New Roman" w:cs="Times New Roman" w:eastAsia="Times New Roman" w:hAnsi="Times New Roman"/>
          <w:sz w:val="16"/>
          <w:szCs w:val="16"/>
          <w:color w:val="auto"/>
        </w:rPr>
        <w:t>Preferred shares, Series A-1</w:t>
      </w:r>
    </w:p>
    <w:p>
      <w:pPr>
        <w:ind w:left="40"/>
        <w:spacing w:after="0" w:line="211" w:lineRule="auto"/>
        <w:rPr>
          <w:sz w:val="20"/>
          <w:szCs w:val="20"/>
          <w:color w:val="auto"/>
        </w:rPr>
      </w:pPr>
      <w:r>
        <w:rPr>
          <w:rFonts w:ascii="Times New Roman" w:cs="Times New Roman" w:eastAsia="Times New Roman" w:hAnsi="Times New Roman"/>
          <w:sz w:val="16"/>
          <w:szCs w:val="16"/>
          <w:color w:val="auto"/>
        </w:rPr>
        <w:t>Preferred shares, Series A-2</w:t>
      </w:r>
    </w:p>
    <w:p>
      <w:pPr>
        <w:ind w:left="40"/>
        <w:spacing w:after="0" w:line="211" w:lineRule="auto"/>
        <w:rPr>
          <w:sz w:val="20"/>
          <w:szCs w:val="20"/>
          <w:color w:val="auto"/>
        </w:rPr>
      </w:pPr>
      <w:r>
        <w:rPr>
          <w:rFonts w:ascii="Times New Roman" w:cs="Times New Roman" w:eastAsia="Times New Roman" w:hAnsi="Times New Roman"/>
          <w:sz w:val="16"/>
          <w:szCs w:val="16"/>
          <w:color w:val="auto"/>
        </w:rPr>
        <w:t>Preferred shares, Series A-3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Preferred shares, Series A-4</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Conversion to</w:t>
      </w:r>
    </w:p>
    <w:p>
      <w:pPr>
        <w:spacing w:after="0" w:line="12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11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Preferred shares, Series C-2</w:t>
      </w:r>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Derivative Security</w:t>
      </w:r>
    </w:p>
    <w:p>
      <w:pPr>
        <w:spacing w:after="0" w:line="542" w:lineRule="exact"/>
        <w:rPr>
          <w:sz w:val="20"/>
          <w:szCs w:val="20"/>
          <w:color w:val="auto"/>
        </w:rPr>
      </w:pPr>
    </w:p>
    <w:p>
      <w:pPr>
        <w:sectPr>
          <w:pgSz w:w="11900" w:h="16838" w:orient="portrait"/>
          <w:cols w:equalWidth="0" w:num="3">
            <w:col w:w="3620" w:space="720"/>
            <w:col w:w="3340" w:space="720"/>
            <w:col w:w="2840"/>
          </w:cols>
          <w:pgMar w:left="320" w:top="118"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56" w:lineRule="exact"/>
        <w:rPr>
          <w:sz w:val="20"/>
          <w:szCs w:val="20"/>
          <w:color w:val="auto"/>
        </w:rPr>
      </w:pPr>
    </w:p>
    <w:p>
      <w:pPr>
        <w:ind w:right="720" w:firstLine="364"/>
        <w:spacing w:after="0" w:line="261" w:lineRule="auto"/>
        <w:rPr>
          <w:sz w:val="20"/>
          <w:szCs w:val="20"/>
          <w:color w:val="auto"/>
        </w:rPr>
      </w:pPr>
      <w:r>
        <w:rPr>
          <w:rFonts w:ascii="Times New Roman" w:cs="Times New Roman" w:eastAsia="Times New Roman" w:hAnsi="Times New Roman"/>
          <w:sz w:val="18"/>
          <w:szCs w:val="18"/>
          <w:color w:val="auto"/>
        </w:rPr>
        <w:t>Transactions during the nine months ended September 30, 2020 involving the Company’s controlled investments and non-controlled/affiliate investments were as follows: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1"/>
                <w:szCs w:val="11"/>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80" w:type="dxa"/>
            <w:vAlign w:val="bottom"/>
          </w:tcPr>
          <w:p>
            <w:pPr>
              <w:spacing w:after="0"/>
              <w:rPr>
                <w:sz w:val="11"/>
                <w:szCs w:val="11"/>
                <w:color w:val="auto"/>
              </w:rPr>
            </w:pPr>
          </w:p>
        </w:tc>
        <w:tc>
          <w:tcPr>
            <w:tcW w:w="900" w:type="dxa"/>
            <w:vAlign w:val="bottom"/>
          </w:tcPr>
          <w:p>
            <w:pPr>
              <w:jc w:val="right"/>
              <w:ind w:right="182"/>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80" w:type="dxa"/>
            <w:vAlign w:val="bottom"/>
          </w:tcPr>
          <w:p>
            <w:pPr>
              <w:spacing w:after="0"/>
              <w:rPr>
                <w:sz w:val="16"/>
                <w:szCs w:val="16"/>
                <w:color w:val="auto"/>
              </w:rPr>
            </w:pPr>
          </w:p>
        </w:tc>
        <w:tc>
          <w:tcPr>
            <w:tcW w:w="9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0"/>
        </w:trPr>
        <w:tc>
          <w:tcPr>
            <w:tcW w:w="20" w:type="dxa"/>
            <w:vAlign w:val="bottom"/>
            <w:tcBorders>
              <w:top w:val="single" w:sz="8" w:color="auto"/>
            </w:tcBorders>
            <w:shd w:val="clear" w:color="auto" w:fill="CCEEFF"/>
          </w:tcPr>
          <w:p>
            <w:pPr>
              <w:spacing w:after="0"/>
              <w:rPr>
                <w:sz w:val="16"/>
                <w:szCs w:val="16"/>
                <w:color w:val="auto"/>
              </w:rPr>
            </w:pPr>
          </w:p>
        </w:tc>
        <w:tc>
          <w:tcPr>
            <w:tcW w:w="330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CONTROLLED INVESTMENTS*</w:t>
            </w:r>
            <w:r>
              <w:rPr>
                <w:rFonts w:ascii="Times New Roman" w:cs="Times New Roman" w:eastAsia="Times New Roman" w:hAnsi="Times New Roman"/>
                <w:sz w:val="19"/>
                <w:szCs w:val="19"/>
                <w:b w:val="1"/>
                <w:bCs w:val="1"/>
                <w:color w:val="auto"/>
                <w:vertAlign w:val="superscript"/>
              </w:rPr>
              <w:t>(2)</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9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775,198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960,198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tcPr>
          <w:p>
            <w:pPr>
              <w:ind w:left="200"/>
              <w:spacing w:after="0" w:line="216" w:lineRule="exact"/>
              <w:rPr>
                <w:sz w:val="20"/>
                <w:szCs w:val="20"/>
                <w:color w:val="auto"/>
              </w:rPr>
            </w:pPr>
            <w:r>
              <w:rPr>
                <w:rFonts w:ascii="Times New Roman" w:cs="Times New Roman" w:eastAsia="Times New Roman" w:hAnsi="Times New Roman"/>
                <w:sz w:val="16"/>
                <w:szCs w:val="16"/>
                <w:color w:val="auto"/>
              </w:rPr>
              <w:t>Partners, Inc.)–Preferred shares, Class A***</w:t>
            </w:r>
            <w:r>
              <w:rPr>
                <w:rFonts w:ascii="Times New Roman" w:cs="Times New Roman" w:eastAsia="Times New Roman" w:hAnsi="Times New Roman"/>
                <w:sz w:val="21"/>
                <w:szCs w:val="21"/>
                <w:color w:val="auto"/>
                <w:vertAlign w:val="superscript"/>
              </w:rPr>
              <w:t>(4)</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960,198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Partners, Inc.)–Common shares</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gridSpan w:val="4"/>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TOTAL CONTROLLED INVESTMENTS*</w:t>
            </w:r>
            <w:r>
              <w:rPr>
                <w:rFonts w:ascii="Times New Roman" w:cs="Times New Roman" w:eastAsia="Times New Roman" w:hAnsi="Times New Roman"/>
                <w:sz w:val="21"/>
                <w:szCs w:val="21"/>
                <w:b w:val="1"/>
                <w:bCs w:val="1"/>
                <w:color w:val="auto"/>
                <w:vertAlign w:val="superscript"/>
              </w:rPr>
              <w:t>(2)</w:t>
            </w: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775,198</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185,000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960,198</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30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NON-CONTROLLED/AFFILIATE</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16"/>
                <w:szCs w:val="16"/>
                <w:b w:val="1"/>
                <w:bCs w:val="1"/>
                <w:color w:val="auto"/>
                <w:vertAlign w:val="superscript"/>
              </w:rPr>
              <w:t>(1)</w:t>
            </w: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CUX, Inc. (d/b/a CorpU)–Senior Subordinated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Convertible Promissory Note 4% Due</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$1,251,158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312,789</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312,789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2/14/2023</w:t>
            </w:r>
            <w:r>
              <w:rPr>
                <w:rFonts w:ascii="Times New Roman" w:cs="Times New Roman" w:eastAsia="Times New Roman" w:hAnsi="Times New Roman"/>
                <w:sz w:val="21"/>
                <w:szCs w:val="21"/>
                <w:color w:val="auto"/>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 Labs, Inc.) –</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Convertible Promissory Note 8% Due</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$1,010,198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1,010,198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0.20 %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w w:val="98"/>
              </w:rPr>
              <w:t>8/23/2024</w:t>
            </w:r>
            <w:r>
              <w:rPr>
                <w:rFonts w:ascii="Times New Roman" w:cs="Times New Roman" w:eastAsia="Times New Roman" w:hAnsi="Times New Roman"/>
                <w:sz w:val="21"/>
                <w:szCs w:val="21"/>
                <w:color w:val="auto"/>
                <w:w w:val="98"/>
                <w:vertAlign w:val="superscript"/>
              </w:rPr>
              <w:t>(3)(6)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817,888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6"/>
                <w:szCs w:val="16"/>
                <w:color w:val="auto"/>
              </w:rPr>
              <w:t>CUX, Inc. (d/b/a CorpU)–Convertible</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169,033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preferred shares, Series D 6%</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300" w:type="dxa"/>
            <w:vAlign w:val="bottom"/>
            <w:gridSpan w:val="4"/>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CUX, Inc. (d/b/a CorpU) -Convertible</w:t>
            </w:r>
          </w:p>
        </w:tc>
        <w:tc>
          <w:tcPr>
            <w:tcW w:w="9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615,763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gridSpan w:val="4"/>
          </w:tcPr>
          <w:p>
            <w:pPr>
              <w:ind w:left="10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34,980</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38,902</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80" w:type="dxa"/>
            <w:vAlign w:val="bottom"/>
            <w:tcBorders>
              <w:top w:val="single" w:sz="8" w:color="CCEEFF"/>
            </w:tcBorders>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or</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60" w:type="dxa"/>
            <w:vAlign w:val="bottom"/>
          </w:tcPr>
          <w:p>
            <w:pPr>
              <w:jc w:val="right"/>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3400" w:type="dxa"/>
            <w:vAlign w:val="bottom"/>
            <w:gridSpan w:val="2"/>
            <w:vMerge w:val="continue"/>
          </w:tcPr>
          <w:p>
            <w:pPr>
              <w:spacing w:after="0"/>
              <w:rPr>
                <w:sz w:val="16"/>
                <w:szCs w:val="16"/>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8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Maven Research, Inc.–Preferred shares,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Series C</w:t>
            </w:r>
          </w:p>
        </w:tc>
        <w:tc>
          <w:tcPr>
            <w:tcW w:w="8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Maven Research, Inc.–Preferred shares,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Series B</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OzyMedia, Inc.–Preferred shares, Series C-2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2,970,252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(980,183)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1,990,069</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0.79 %</w:t>
            </w:r>
          </w:p>
        </w:tc>
        <w:tc>
          <w:tcPr>
            <w:tcW w:w="0" w:type="dxa"/>
            <w:vAlign w:val="bottom"/>
          </w:tcPr>
          <w:p>
            <w:pPr>
              <w:spacing w:after="0"/>
              <w:rPr>
                <w:sz w:val="1"/>
                <w:szCs w:val="1"/>
                <w:color w:val="auto"/>
              </w:rPr>
            </w:pPr>
          </w:p>
        </w:tc>
      </w:tr>
      <w:tr>
        <w:trPr>
          <w:trHeight w:val="213"/>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OzyMedia, Inc.–Preferred shares, Series B 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5,001,420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3,350,952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OzyMedia, Inc.–Preferred shares, Series A 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3,033,832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OzyMedia, Inc.–Preferred shares, Series Seed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1,243,944</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14,501,922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(4,883,125)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9,618,797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 shares, Series 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503,120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446,142</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0.18 %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 shares, Series C</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4,856,959</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 shares, Series B</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3,248,804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(567,403)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2,681,401</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 shares, Series A</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94,513</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25"/>
                <w:szCs w:val="25"/>
                <w:color w:val="auto"/>
                <w:vertAlign w:val="subscript"/>
              </w:rPr>
              <w:t>8%</w:t>
            </w: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9,300,873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(1,221,858)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8,079,015</w:t>
            </w:r>
          </w:p>
        </w:tc>
        <w:tc>
          <w:tcPr>
            <w:tcW w:w="80" w:type="dxa"/>
            <w:vAlign w:val="bottom"/>
            <w:tcBorders>
              <w:top w:val="single" w:sz="8" w:color="CCEEFF"/>
            </w:tcBorders>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23,837,775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17,771,694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0" w:type="dxa"/>
            <w:vAlign w:val="bottom"/>
          </w:tcPr>
          <w:p>
            <w:pPr>
              <w:spacing w:after="0"/>
              <w:rPr>
                <w:sz w:val="1"/>
                <w:szCs w:val="1"/>
                <w:color w:val="auto"/>
              </w:rPr>
            </w:pPr>
          </w:p>
        </w:tc>
      </w:tr>
      <w:tr>
        <w:trPr>
          <w:trHeight w:val="21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0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OzyMedia, Inc.–Common Warrants, Strike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295,565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1,182,260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(481,771)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700,489</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Price $0.01, Expiration Date 4/9/2028</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4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A-3, Strike Price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$1.33, Expiration Date 4/4/2021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A-4, Strike Price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2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$1.33, Expiration Date 10/6/2021</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A-4, Strike Price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$1.33, Expiration Date 7/18/2021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B, Strike Price $2.31,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Expiration Date 11/29/2021</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B, Strike Price $2.31,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Expiration Date 5/29/2022</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-2104390</wp:posOffset>
            </wp:positionV>
            <wp:extent cx="209994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99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9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 Company/Investment</w:t>
            </w: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auto"/>
            </w:tcBorders>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NestGSV, Inc. (d/b/a GSV Labs, Inc.)–</w:t>
            </w: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 Series B, Strike Price $2.31,</w:t>
            </w: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Expiration Date 12/31/2023</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Derivative Security, Expiration Date</w:t>
            </w: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3,880,621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(1,768,179)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2,112,442</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1"/>
                <w:szCs w:val="21"/>
                <w:color w:val="auto"/>
                <w:vertAlign w:val="superscript"/>
              </w:rPr>
              <w:t>(6)</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4,101,246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(1,869,241)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2,232,005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5,283,506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2,932,494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1,135,944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33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Cannabis REIT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36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GreenAcreage Real Estate Corp. -Common</w:t>
            </w: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6,918,750</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33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1"/>
                <w:szCs w:val="21"/>
                <w:color w:val="auto"/>
                <w:vertAlign w:val="superscript"/>
              </w:rPr>
              <w:t>(7)</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6,918,750</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150,816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37,944,268</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(9,503,442)</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28,440,826</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11.25 %</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-1490980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-1490980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-1490980</wp:posOffset>
            </wp:positionV>
            <wp:extent cx="557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5" w:lineRule="exact"/>
        <w:rPr>
          <w:sz w:val="20"/>
          <w:szCs w:val="20"/>
          <w:color w:val="auto"/>
        </w:rPr>
      </w:pPr>
    </w:p>
    <w:p>
      <w:pPr>
        <w:jc w:val="both"/>
        <w:ind w:left="340" w:hanging="332"/>
        <w:spacing w:after="0" w:line="249"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9" w:lineRule="exact"/>
        <w:rPr>
          <w:sz w:val="20"/>
          <w:szCs w:val="20"/>
          <w:color w:val="auto"/>
        </w:rPr>
      </w:pPr>
    </w:p>
    <w:p>
      <w:pPr>
        <w:ind w:left="340" w:hanging="332"/>
        <w:spacing w:after="0" w:line="280" w:lineRule="auto"/>
        <w:tabs>
          <w:tab w:leader="none" w:pos="2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September 30, 2020, 15.12% of its total investments are non-qualifying assets.</w:t>
      </w:r>
    </w:p>
    <w:p>
      <w:pPr>
        <w:spacing w:after="0" w:line="19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8" w:lineRule="exact"/>
        <w:rPr>
          <w:sz w:val="20"/>
          <w:szCs w:val="20"/>
          <w:color w:val="auto"/>
        </w:rPr>
      </w:pPr>
    </w:p>
    <w:p>
      <w:pPr>
        <w:ind w:left="500" w:hanging="492"/>
        <w:spacing w:after="0" w:line="263" w:lineRule="auto"/>
        <w:tabs>
          <w:tab w:leader="none" w:pos="38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1" w:lineRule="exact"/>
        <w:rPr>
          <w:rFonts w:ascii="Times New Roman" w:cs="Times New Roman" w:eastAsia="Times New Roman" w:hAnsi="Times New Roman"/>
          <w:sz w:val="16"/>
          <w:szCs w:val="16"/>
          <w:color w:val="auto"/>
        </w:rPr>
      </w:pPr>
    </w:p>
    <w:p>
      <w:pPr>
        <w:ind w:left="500" w:hanging="492"/>
        <w:spacing w:after="0" w:line="263" w:lineRule="auto"/>
        <w:tabs>
          <w:tab w:leader="none" w:pos="39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2020, the investments noted had been placed on non-accrual status.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81" w:lineRule="exact"/>
        <w:rPr>
          <w:sz w:val="20"/>
          <w:szCs w:val="20"/>
          <w:color w:val="auto"/>
        </w:rPr>
      </w:pPr>
    </w:p>
    <w:p>
      <w:pPr>
        <w:ind w:left="500" w:hanging="492"/>
        <w:spacing w:after="0" w:line="258" w:lineRule="auto"/>
        <w:tabs>
          <w:tab w:leader="none" w:pos="37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During the nine months ended September 30, 2020, SPBRX, INC. (f/k/a GSV Sustainability Partners, Inc.) declared, and SuRo Capital Corp. received, an aggregate of $200,000 in dividend distributions. SuRo Capital Corp. does not anticipate that SPBRX, INC. will pay distributions on a quarterly or regular basis or become a predictable distributor of distributions.</w:t>
      </w:r>
    </w:p>
    <w:p>
      <w:pPr>
        <w:spacing w:after="0" w:line="207"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8" w:lineRule="exact"/>
        <w:rPr>
          <w:rFonts w:ascii="Times New Roman" w:cs="Times New Roman" w:eastAsia="Times New Roman" w:hAnsi="Times New Roman"/>
          <w:sz w:val="16"/>
          <w:szCs w:val="16"/>
          <w:color w:val="auto"/>
        </w:rPr>
      </w:pPr>
    </w:p>
    <w:p>
      <w:pPr>
        <w:ind w:left="500" w:hanging="492"/>
        <w:spacing w:after="0" w:line="263" w:lineRule="auto"/>
        <w:tabs>
          <w:tab w:leader="none" w:pos="40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w:t>
      </w:r>
    </w:p>
    <w:p>
      <w:pPr>
        <w:spacing w:after="0" w:line="205" w:lineRule="exact"/>
        <w:rPr>
          <w:rFonts w:ascii="Times New Roman" w:cs="Times New Roman" w:eastAsia="Times New Roman" w:hAnsi="Times New Roman"/>
          <w:sz w:val="16"/>
          <w:szCs w:val="16"/>
          <w:color w:val="auto"/>
        </w:rPr>
      </w:pPr>
    </w:p>
    <w:p>
      <w:pPr>
        <w:ind w:left="500" w:hanging="492"/>
        <w:spacing w:after="0" w:line="280" w:lineRule="auto"/>
        <w:tabs>
          <w:tab w:leader="none" w:pos="38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2020, GreenAcreage Real Estate Corp. declared an aggregate of $180,000 in dividend distributions. SuRo Capital Corp. does not anticipate that Green Acreage Real Estate Corp. will pay distributions on a recurring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56"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2019 involving the Company’s controlled investments and non-controlled/affiliate investments were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1"/>
                <w:szCs w:val="11"/>
                <w:color w:val="auto"/>
              </w:rPr>
            </w:pPr>
          </w:p>
        </w:tc>
        <w:tc>
          <w:tcPr>
            <w:tcW w:w="740" w:type="dxa"/>
            <w:vAlign w:val="bottom"/>
          </w:tcPr>
          <w:p>
            <w:pPr>
              <w:jc w:val="right"/>
              <w:ind w:right="261"/>
              <w:spacing w:after="0" w:line="135"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at December</w:t>
            </w:r>
          </w:p>
        </w:tc>
        <w:tc>
          <w:tcPr>
            <w:tcW w:w="90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0" w:type="dxa"/>
            <w:vAlign w:val="bottom"/>
          </w:tcPr>
          <w:p>
            <w:pPr>
              <w:spacing w:after="0"/>
              <w:rPr>
                <w:sz w:val="16"/>
                <w:szCs w:val="16"/>
                <w:color w:val="auto"/>
              </w:rPr>
            </w:pP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shd w:val="clear" w:color="auto" w:fill="CCEEFF"/>
          </w:tcPr>
          <w:p>
            <w:pPr>
              <w:spacing w:after="0"/>
              <w:rPr>
                <w:sz w:val="14"/>
                <w:szCs w:val="14"/>
                <w:color w:val="auto"/>
              </w:rPr>
            </w:pPr>
          </w:p>
        </w:tc>
        <w:tc>
          <w:tcPr>
            <w:tcW w:w="2300" w:type="dxa"/>
            <w:vAlign w:val="bottom"/>
            <w:tcBorders>
              <w:top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b w:val="1"/>
                <w:bCs w:val="1"/>
                <w:color w:val="auto"/>
                <w:w w:val="97"/>
              </w:rPr>
              <w:t>INVESTMENTS</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jc w:val="right"/>
              <w:ind w:right="88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750,198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775,198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1"/>
                <w:szCs w:val="21"/>
                <w:color w:val="auto"/>
                <w:vertAlign w:val="superscript"/>
              </w:rPr>
              <w:t>(3)</w:t>
            </w: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4,960,553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(4,904,498)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Series A-4 </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Series A-3 </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Series A-2 </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Series A-1 </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7,495,686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(8,537,506)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1,041,820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8,245,884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(8,537,506)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775,198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Common shares</w:t>
            </w: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Labs, Inc.)–Common shares </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0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8,245,884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(8,538,506)</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1,067,820</w:t>
            </w:r>
          </w:p>
        </w:tc>
        <w:tc>
          <w:tcPr>
            <w:tcW w:w="10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775,198</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0.39 %</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-4077970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or</w:t>
            </w: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1"/>
                <w:szCs w:val="11"/>
                <w:color w:val="auto"/>
              </w:rPr>
            </w:pPr>
          </w:p>
        </w:tc>
        <w:tc>
          <w:tcPr>
            <w:tcW w:w="8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December</w:t>
            </w:r>
          </w:p>
        </w:tc>
        <w:tc>
          <w:tcPr>
            <w:tcW w:w="80" w:type="dxa"/>
            <w:vAlign w:val="bottom"/>
          </w:tcPr>
          <w:p>
            <w:pPr>
              <w:spacing w:after="0"/>
              <w:rPr>
                <w:sz w:val="14"/>
                <w:szCs w:val="14"/>
                <w:color w:val="auto"/>
              </w:rPr>
            </w:pPr>
          </w:p>
        </w:tc>
        <w:tc>
          <w:tcPr>
            <w:tcW w:w="8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0" w:type="dxa"/>
            <w:vAlign w:val="bottom"/>
          </w:tcPr>
          <w:p>
            <w:pPr>
              <w:spacing w:after="0"/>
              <w:rPr>
                <w:sz w:val="14"/>
                <w:szCs w:val="14"/>
                <w:color w:val="auto"/>
              </w:rPr>
            </w:pPr>
          </w:p>
        </w:tc>
        <w:tc>
          <w:tcPr>
            <w:tcW w:w="8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45"/>
        </w:trPr>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7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2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CCEEFF"/>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NON-</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60" w:type="dxa"/>
            <w:vAlign w:val="bottom"/>
            <w:tcBorders>
              <w:top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CONTROLLED/AFFILIATE</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16"/>
                <w:szCs w:val="16"/>
                <w:b w:val="1"/>
                <w:bCs w:val="1"/>
                <w:color w:val="auto"/>
                <w:vertAlign w:val="superscript"/>
              </w:rPr>
              <w:t>(1)</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CUX, Inc. (d/b/a CorpU)–Senior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Subordinated 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Promissory Note 4% Due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1,251,158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(13,142)</w:t>
            </w:r>
          </w:p>
        </w:tc>
        <w:tc>
          <w:tcPr>
            <w:tcW w:w="8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$ 1,360,489</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3,553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(109,331)</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(941,922)</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312,789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0.16 %</w:t>
            </w:r>
          </w:p>
        </w:tc>
        <w:tc>
          <w:tcPr>
            <w:tcW w:w="0" w:type="dxa"/>
            <w:vAlign w:val="bottom"/>
          </w:tcPr>
          <w:p>
            <w:pPr>
              <w:spacing w:after="0"/>
              <w:rPr>
                <w:sz w:val="1"/>
                <w:szCs w:val="1"/>
                <w:color w:val="auto"/>
              </w:rPr>
            </w:pPr>
          </w:p>
        </w:tc>
      </w:tr>
      <w:tr>
        <w:trPr>
          <w:trHeight w:val="216"/>
        </w:trPr>
        <w:tc>
          <w:tcPr>
            <w:tcW w:w="120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6"/>
                <w:szCs w:val="16"/>
                <w:color w:val="auto"/>
              </w:rPr>
              <w:t>2/14/2023</w:t>
            </w:r>
            <w:r>
              <w:rPr>
                <w:rFonts w:ascii="Times New Roman" w:cs="Times New Roman" w:eastAsia="Times New Roman" w:hAnsi="Times New Roman"/>
                <w:sz w:val="21"/>
                <w:szCs w:val="21"/>
                <w:color w:val="auto"/>
                <w:vertAlign w:val="superscript"/>
              </w:rPr>
              <w:t>(5)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Ozy Media, Inc.–Convertible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Promissory Note 5% Due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72,864</w:t>
            </w:r>
          </w:p>
        </w:tc>
        <w:tc>
          <w:tcPr>
            <w:tcW w:w="8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3,153,575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(2,102,384)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(1,051,191)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100" w:type="dxa"/>
            <w:vAlign w:val="bottom"/>
            <w:gridSpan w:val="4"/>
          </w:tcPr>
          <w:p>
            <w:pPr>
              <w:ind w:left="220"/>
              <w:spacing w:after="0" w:line="216" w:lineRule="exact"/>
              <w:rPr>
                <w:sz w:val="20"/>
                <w:szCs w:val="20"/>
                <w:color w:val="auto"/>
              </w:rPr>
            </w:pPr>
            <w:r>
              <w:rPr>
                <w:rFonts w:ascii="Times New Roman" w:cs="Times New Roman" w:eastAsia="Times New Roman" w:hAnsi="Times New Roman"/>
                <w:sz w:val="16"/>
                <w:szCs w:val="16"/>
                <w:color w:val="auto"/>
              </w:rPr>
              <w:t>12/31/2018***</w:t>
            </w:r>
            <w:r>
              <w:rPr>
                <w:rFonts w:ascii="Times New Roman" w:cs="Times New Roman" w:eastAsia="Times New Roman" w:hAnsi="Times New Roman"/>
                <w:sz w:val="21"/>
                <w:szCs w:val="21"/>
                <w:color w:val="auto"/>
                <w:vertAlign w:val="superscript"/>
              </w:rPr>
              <w:t>(6)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Declara, Inc.–Convertible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Promissory Note 12% Due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(2,334,832)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2,334,152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4/30/2018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40"/>
              <w:spacing w:after="0" w:line="162" w:lineRule="exact"/>
              <w:rPr>
                <w:sz w:val="20"/>
                <w:szCs w:val="20"/>
                <w:color w:val="auto"/>
              </w:rPr>
            </w:pPr>
            <w:r>
              <w:rPr>
                <w:rFonts w:ascii="Times New Roman" w:cs="Times New Roman" w:eastAsia="Times New Roman" w:hAnsi="Times New Roman"/>
                <w:sz w:val="16"/>
                <w:szCs w:val="16"/>
                <w:color w:val="auto"/>
              </w:rPr>
              <w:t>NestGSV, Inc. (d/b/a GSV Labs,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Inc.) –Convertible Promissory</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1,010,198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107,611</w:t>
            </w:r>
          </w:p>
        </w:tc>
        <w:tc>
          <w:tcPr>
            <w:tcW w:w="8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936,525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78,739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1,010,198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5"/>
          </w:tcPr>
          <w:p>
            <w:pPr>
              <w:ind w:left="200"/>
              <w:spacing w:after="0" w:line="216" w:lineRule="exact"/>
              <w:rPr>
                <w:sz w:val="20"/>
                <w:szCs w:val="20"/>
                <w:color w:val="auto"/>
              </w:rPr>
            </w:pPr>
            <w:r>
              <w:rPr>
                <w:rFonts w:ascii="Times New Roman" w:cs="Times New Roman" w:eastAsia="Times New Roman" w:hAnsi="Times New Roman"/>
                <w:sz w:val="16"/>
                <w:szCs w:val="16"/>
                <w:color w:val="auto"/>
              </w:rPr>
              <w:t>Note 8% Due 8/23/2024***</w:t>
            </w:r>
            <w:r>
              <w:rPr>
                <w:rFonts w:ascii="Times New Roman" w:cs="Times New Roman" w:eastAsia="Times New Roman" w:hAnsi="Times New Roman"/>
                <w:sz w:val="21"/>
                <w:szCs w:val="21"/>
                <w:color w:val="auto"/>
                <w:vertAlign w:val="superscript"/>
              </w:rPr>
              <w:t>(7)</w:t>
            </w: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936,525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78,739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1,010,198</w:t>
            </w: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167,333</w:t>
            </w:r>
          </w:p>
        </w:tc>
        <w:tc>
          <w:tcPr>
            <w:tcW w:w="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5,450,589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(2,102,384)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1,322,987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0.66 %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4" w:lineRule="exact"/>
              <w:rPr>
                <w:sz w:val="20"/>
                <w:szCs w:val="20"/>
                <w:color w:val="auto"/>
              </w:rPr>
            </w:pPr>
            <w:r>
              <w:rPr>
                <w:rFonts w:ascii="Times New Roman" w:cs="Times New Roman" w:eastAsia="Times New Roman" w:hAnsi="Times New Roman"/>
                <w:sz w:val="16"/>
                <w:szCs w:val="16"/>
                <w:color w:val="auto"/>
              </w:rPr>
              <w:t>CUX, Inc. (d/b/a CorpU)–</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878,005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D 6%</w:t>
            </w: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CUX, Inc. (d/b/a CorpU) -</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615,763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Series C 8%</w:t>
            </w: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878,005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4" w:lineRule="exact"/>
              <w:rPr>
                <w:sz w:val="20"/>
                <w:szCs w:val="20"/>
                <w:color w:val="auto"/>
              </w:rPr>
            </w:pPr>
            <w:r>
              <w:rPr>
                <w:rFonts w:ascii="Times New Roman" w:cs="Times New Roman" w:eastAsia="Times New Roman" w:hAnsi="Times New Roman"/>
                <w:sz w:val="16"/>
                <w:szCs w:val="16"/>
                <w:color w:val="auto"/>
              </w:rPr>
              <w:t>Declara, Inc.–Preferred shares,</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A 8%</w:t>
            </w: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i w:val="1"/>
                <w:iCs w:val="1"/>
                <w:color w:val="auto"/>
              </w:rPr>
              <w:t>Education Media Platform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4" w:lineRule="exact"/>
              <w:rPr>
                <w:sz w:val="20"/>
                <w:szCs w:val="20"/>
                <w:color w:val="auto"/>
              </w:rPr>
            </w:pPr>
            <w:r>
              <w:rPr>
                <w:rFonts w:ascii="Times New Roman" w:cs="Times New Roman" w:eastAsia="Times New Roman" w:hAnsi="Times New Roman"/>
                <w:sz w:val="16"/>
                <w:szCs w:val="16"/>
                <w:color w:val="auto"/>
              </w:rPr>
              <w:t>EdSurge, Inc.–Preferred shares,</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A-1</w:t>
            </w: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Times New Roman" w:cs="Times New Roman" w:eastAsia="Times New Roman" w:hAnsi="Times New Roman"/>
                <w:sz w:val="16"/>
                <w:szCs w:val="16"/>
                <w:color w:val="auto"/>
              </w:rPr>
              <w:t>EdSurge, Inc.–Preferred shares,</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269,848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230,953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Series A</w:t>
            </w: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Total Education Media Platform</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519,848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-5039995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or</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1"/>
                <w:szCs w:val="11"/>
                <w:color w:val="auto"/>
              </w:rPr>
            </w:pPr>
          </w:p>
        </w:tc>
        <w:tc>
          <w:tcPr>
            <w:tcW w:w="8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80" w:type="dxa"/>
            <w:vAlign w:val="bottom"/>
            <w:gridSpan w:val="4"/>
            <w:vMerge w:val="continue"/>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8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860" w:type="dxa"/>
            <w:vAlign w:val="bottom"/>
          </w:tcPr>
          <w:p>
            <w:pPr>
              <w:jc w:val="right"/>
              <w:ind w:right="161"/>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4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8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8"/>
        </w:trPr>
        <w:tc>
          <w:tcPr>
            <w:tcW w:w="2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Maven Research, Inc.–Preferred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Series C</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Maven Research, Inc.–Preferred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Series B</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OzyMedia, Inc.–Preferred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2,102,384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2,970,252</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shares, Series C-2 6% </w:t>
            </w:r>
            <w:r>
              <w:rPr>
                <w:rFonts w:ascii="Times New Roman" w:cs="Times New Roman" w:eastAsia="Times New Roman" w:hAnsi="Times New Roman"/>
                <w:sz w:val="21"/>
                <w:szCs w:val="21"/>
                <w:color w:val="auto"/>
                <w:vertAlign w:val="superscript"/>
              </w:rPr>
              <w:t>(6)</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OzyMedia, Inc.–Preferred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5,001,420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5,001,420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Series B 6%</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OzyMedia, Inc.–Preferred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4,528,107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Series A 6%</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OzyMedia, Inc.–Preferred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2,002,143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2,002,143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Series Seed 6%</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2,102,384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311,794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12,087,744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14,501,922</w:t>
            </w: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7.25 %</w:t>
            </w:r>
          </w:p>
        </w:tc>
        <w:tc>
          <w:tcPr>
            <w:tcW w:w="0" w:type="dxa"/>
            <w:vAlign w:val="bottom"/>
          </w:tcPr>
          <w:p>
            <w:pPr>
              <w:spacing w:after="0"/>
              <w:rPr>
                <w:sz w:val="1"/>
                <w:szCs w:val="1"/>
                <w:color w:val="auto"/>
              </w:rPr>
            </w:pPr>
          </w:p>
        </w:tc>
      </w:tr>
      <w:tr>
        <w:trPr>
          <w:trHeight w:val="21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NestGSV, Inc. (d/b/a GSV</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Series A-4 </w:t>
            </w:r>
            <w:r>
              <w:rPr>
                <w:rFonts w:ascii="Times New Roman" w:cs="Times New Roman" w:eastAsia="Times New Roman" w:hAnsi="Times New Roman"/>
                <w:sz w:val="21"/>
                <w:szCs w:val="21"/>
                <w:color w:val="auto"/>
                <w:vertAlign w:val="superscript"/>
              </w:rPr>
              <w:t>(7)</w:t>
            </w: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Series A-3 </w:t>
            </w:r>
            <w:r>
              <w:rPr>
                <w:rFonts w:ascii="Times New Roman" w:cs="Times New Roman" w:eastAsia="Times New Roman" w:hAnsi="Times New Roman"/>
                <w:sz w:val="21"/>
                <w:szCs w:val="21"/>
                <w:color w:val="auto"/>
                <w:vertAlign w:val="superscript"/>
              </w:rPr>
              <w:t>(7)</w:t>
            </w: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Series A-2 </w:t>
            </w:r>
            <w:r>
              <w:rPr>
                <w:rFonts w:ascii="Times New Roman" w:cs="Times New Roman" w:eastAsia="Times New Roman" w:hAnsi="Times New Roman"/>
                <w:sz w:val="21"/>
                <w:szCs w:val="21"/>
                <w:color w:val="auto"/>
                <w:vertAlign w:val="superscript"/>
              </w:rPr>
              <w:t>(7)</w:t>
            </w: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Labs, Inc.)–Preferred stock</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Series A-1 </w:t>
            </w:r>
            <w:r>
              <w:rPr>
                <w:rFonts w:ascii="Times New Roman" w:cs="Times New Roman" w:eastAsia="Times New Roman" w:hAnsi="Times New Roman"/>
                <w:sz w:val="21"/>
                <w:szCs w:val="21"/>
                <w:color w:val="auto"/>
                <w:vertAlign w:val="superscript"/>
              </w:rPr>
              <w:t>(7)</w:t>
            </w: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StormWind, LLC–Preferred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257,267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503,120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shares, Series D 8%</w:t>
            </w:r>
            <w:r>
              <w:rPr>
                <w:rFonts w:ascii="Times New Roman" w:cs="Times New Roman" w:eastAsia="Times New Roman" w:hAnsi="Times New Roman"/>
                <w:sz w:val="21"/>
                <w:szCs w:val="21"/>
                <w:color w:val="auto"/>
                <w:vertAlign w:val="superscript"/>
              </w:rPr>
              <w:t>(4)(8)</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7,194,971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(1,803,971)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5,391,000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shares, Series C 8%</w:t>
            </w:r>
            <w:r>
              <w:rPr>
                <w:rFonts w:ascii="Times New Roman" w:cs="Times New Roman" w:eastAsia="Times New Roman" w:hAnsi="Times New Roman"/>
                <w:sz w:val="21"/>
                <w:szCs w:val="21"/>
                <w:color w:val="auto"/>
                <w:vertAlign w:val="superscript"/>
              </w:rPr>
              <w:t>(4)</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5,770,328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(2,521,524)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3,248,804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shares, Series B 8%</w:t>
            </w:r>
            <w:r>
              <w:rPr>
                <w:rFonts w:ascii="Times New Roman" w:cs="Times New Roman" w:eastAsia="Times New Roman" w:hAnsi="Times New Roman"/>
                <w:sz w:val="21"/>
                <w:szCs w:val="21"/>
                <w:color w:val="auto"/>
                <w:vertAlign w:val="superscript"/>
              </w:rPr>
              <w:t>(4)</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StormWind, LLC–Preferred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421,525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(263,576)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157,949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shares, Series A 8%</w:t>
            </w:r>
            <w:r>
              <w:rPr>
                <w:rFonts w:ascii="Times New Roman" w:cs="Times New Roman" w:eastAsia="Times New Roman" w:hAnsi="Times New Roman"/>
                <w:sz w:val="21"/>
                <w:szCs w:val="21"/>
                <w:color w:val="auto"/>
                <w:vertAlign w:val="superscript"/>
              </w:rPr>
              <w:t>(4)</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13,386,824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257,267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(4,343,218)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9,300,873</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1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14,784,677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569,061</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(11,002,160)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17,383,813</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23,837,775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-1522730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-1522730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-1522730</wp:posOffset>
            </wp:positionV>
            <wp:extent cx="5486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-3177540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-3177540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-3177540</wp:posOffset>
            </wp:positionV>
            <wp:extent cx="5486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18" w:right="37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Fees,</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or</w:t>
            </w: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1"/>
                <w:szCs w:val="11"/>
                <w:color w:val="auto"/>
              </w:rPr>
            </w:pPr>
          </w:p>
        </w:tc>
        <w:tc>
          <w:tcPr>
            <w:tcW w:w="86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7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860" w:type="dxa"/>
            <w:vAlign w:val="bottom"/>
          </w:tcPr>
          <w:p>
            <w:pPr>
              <w:jc w:val="right"/>
              <w:ind w:right="261"/>
              <w:spacing w:after="0" w:line="135"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 w:type="dxa"/>
            <w:vAlign w:val="bottom"/>
          </w:tcPr>
          <w:p>
            <w:pPr>
              <w:spacing w:after="0"/>
              <w:rPr>
                <w:sz w:val="11"/>
                <w:szCs w:val="11"/>
                <w:color w:val="auto"/>
              </w:rPr>
            </w:pPr>
          </w:p>
        </w:tc>
        <w:tc>
          <w:tcPr>
            <w:tcW w:w="860" w:type="dxa"/>
            <w:vAlign w:val="bottom"/>
          </w:tcPr>
          <w:p>
            <w:pPr>
              <w:jc w:val="right"/>
              <w:ind w:right="163"/>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80" w:type="dxa"/>
            <w:vAlign w:val="bottom"/>
          </w:tcPr>
          <w:p>
            <w:pPr>
              <w:spacing w:after="0"/>
              <w:rPr>
                <w:sz w:val="16"/>
                <w:szCs w:val="16"/>
                <w:color w:val="auto"/>
              </w:rPr>
            </w:pP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60" w:type="dxa"/>
            <w:vAlign w:val="bottom"/>
            <w:gridSpan w:val="2"/>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CUX, Inc. (d/b/a CorpU) –</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warrants, Series 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Strike Price $4.59, Expiration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19,946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Date 2/14/2020</w:t>
            </w:r>
          </w:p>
        </w:tc>
        <w:tc>
          <w:tcPr>
            <w:tcW w:w="7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460" w:type="dxa"/>
            <w:vAlign w:val="bottom"/>
            <w:gridSpan w:val="2"/>
            <w:shd w:val="clear" w:color="auto" w:fill="CCEEFF"/>
          </w:tcPr>
          <w:p>
            <w:pPr>
              <w:ind w:left="220"/>
              <w:spacing w:after="0" w:line="178" w:lineRule="exact"/>
              <w:rPr>
                <w:sz w:val="20"/>
                <w:szCs w:val="20"/>
                <w:color w:val="auto"/>
              </w:rPr>
            </w:pPr>
            <w:r>
              <w:rPr>
                <w:rFonts w:ascii="Times New Roman" w:cs="Times New Roman" w:eastAsia="Times New Roman" w:hAnsi="Times New Roman"/>
                <w:sz w:val="16"/>
                <w:szCs w:val="16"/>
                <w:color w:val="auto"/>
              </w:rPr>
              <w:t>OzyMedia, Inc.–Common</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Warrants, Strike Price $0.01,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1,182,260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Expiration Date 4/9/2028</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46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A-3, Strike Price $1.33,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Expiration Date 4/4/2021</w:t>
            </w:r>
            <w:r>
              <w:rPr>
                <w:rFonts w:ascii="Times New Roman" w:cs="Times New Roman" w:eastAsia="Times New Roman" w:hAnsi="Times New Roman"/>
                <w:sz w:val="21"/>
                <w:szCs w:val="21"/>
                <w:color w:val="auto"/>
                <w:vertAlign w:val="superscript"/>
              </w:rPr>
              <w:t>(7)</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A-4, Strike Price $1.33,</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Expiration Date 10/6/2021</w:t>
            </w:r>
            <w:r>
              <w:rPr>
                <w:rFonts w:ascii="Times New Roman" w:cs="Times New Roman" w:eastAsia="Times New Roman" w:hAnsi="Times New Roman"/>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A-4, Strike Price $1.33,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21"/>
        </w:trPr>
        <w:tc>
          <w:tcPr>
            <w:tcW w:w="24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Expiration Date 7/18/2021</w:t>
            </w:r>
            <w:r>
              <w:rPr>
                <w:rFonts w:ascii="Times New Roman" w:cs="Times New Roman" w:eastAsia="Times New Roman" w:hAnsi="Times New Roman"/>
                <w:sz w:val="21"/>
                <w:szCs w:val="21"/>
                <w:color w:val="auto"/>
                <w:vertAlign w:val="superscript"/>
              </w:rPr>
              <w:t>(7)</w:t>
            </w: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B, Strike Price $2.31,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Expiration Date 11/29/2021 </w:t>
            </w:r>
            <w:r>
              <w:rPr>
                <w:rFonts w:ascii="Times New Roman" w:cs="Times New Roman" w:eastAsia="Times New Roman" w:hAnsi="Times New Roman"/>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B, Strike Price $2.31,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1"/>
        </w:trPr>
        <w:tc>
          <w:tcPr>
            <w:tcW w:w="24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Expiration Date 5/29/2022</w:t>
            </w:r>
            <w:r>
              <w:rPr>
                <w:rFonts w:ascii="Times New Roman" w:cs="Times New Roman" w:eastAsia="Times New Roman" w:hAnsi="Times New Roman"/>
                <w:sz w:val="21"/>
                <w:szCs w:val="21"/>
                <w:color w:val="auto"/>
                <w:vertAlign w:val="superscript"/>
              </w:rPr>
              <w:t>(7)</w:t>
            </w: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B, Strike Price $2.31,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Expiration Date 12/31/2023</w:t>
            </w:r>
            <w:r>
              <w:rPr>
                <w:rFonts w:ascii="Times New Roman" w:cs="Times New Roman" w:eastAsia="Times New Roman" w:hAnsi="Times New Roman"/>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Derivative Security, Expiration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8,538,506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(4,674,503)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3,880,621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Date 8/23/2024</w:t>
            </w:r>
            <w:r>
              <w:rPr>
                <w:rFonts w:ascii="Times New Roman" w:cs="Times New Roman" w:eastAsia="Times New Roman" w:hAnsi="Times New Roman"/>
                <w:sz w:val="21"/>
                <w:szCs w:val="21"/>
                <w:color w:val="auto"/>
                <w:vertAlign w:val="superscript"/>
              </w:rPr>
              <w:t>(7)</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247,500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8,538,506</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(4,701,378)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4,101,246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8,538,506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(3,539,064)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5,283,506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Curious.com, Inc.–Common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8"/>
        </w:trPr>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w:t>
            </w:r>
          </w:p>
        </w:tc>
        <w:tc>
          <w:tcPr>
            <w:tcW w:w="780" w:type="dxa"/>
            <w:vAlign w:val="bottom"/>
            <w:tcBorders>
              <w:bottom w:val="single" w:sz="8" w:color="CCEE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-4362450</wp:posOffset>
            </wp:positionV>
            <wp:extent cx="149987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99870" cy="14605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-5099685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118" w:right="37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 or</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9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jc w:val="right"/>
              <w:ind w:right="184"/>
              <w:spacing w:after="0" w:line="135"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9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Cannabis REIT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6"/>
                <w:szCs w:val="16"/>
                <w:color w:val="auto"/>
              </w:rPr>
              <w:t>GreenAcreage Real Estate Corp.</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7,501,530</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-Common shares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7,501,530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80" w:type="dxa"/>
            <w:vAlign w:val="bottom"/>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167,333</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20,502,712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8,538,506</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8,170,181</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(13,446,323)</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14,179,192</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37,944,268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18.98 %</w:t>
            </w:r>
          </w:p>
        </w:tc>
        <w:tc>
          <w:tcPr>
            <w:tcW w:w="0" w:type="dxa"/>
            <w:vAlign w:val="bottom"/>
          </w:tcPr>
          <w:p>
            <w:pPr>
              <w:spacing w:after="0"/>
              <w:rPr>
                <w:sz w:val="1"/>
                <w:szCs w:val="1"/>
                <w:color w:val="auto"/>
              </w:rPr>
            </w:pPr>
          </w:p>
        </w:tc>
      </w:tr>
      <w:tr>
        <w:trPr>
          <w:trHeight w:val="194"/>
        </w:trPr>
        <w:tc>
          <w:tcPr>
            <w:tcW w:w="2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1508760" cy="248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8760" cy="24828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-899795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5" w:lineRule="exact"/>
        <w:rPr>
          <w:sz w:val="20"/>
          <w:szCs w:val="20"/>
          <w:color w:val="auto"/>
        </w:rPr>
      </w:pPr>
    </w:p>
    <w:p>
      <w:pPr>
        <w:jc w:val="both"/>
        <w:ind w:left="340" w:hanging="332"/>
        <w:spacing w:after="0" w:line="249"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9" w:lineRule="exact"/>
        <w:rPr>
          <w:sz w:val="20"/>
          <w:szCs w:val="20"/>
          <w:color w:val="auto"/>
        </w:rPr>
      </w:pPr>
    </w:p>
    <w:p>
      <w:pPr>
        <w:ind w:left="340" w:hanging="332"/>
        <w:spacing w:after="0" w:line="280" w:lineRule="auto"/>
        <w:tabs>
          <w:tab w:leader="none" w:pos="23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spacing w:after="0" w:line="19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8" w:lineRule="exact"/>
        <w:rPr>
          <w:sz w:val="20"/>
          <w:szCs w:val="20"/>
          <w:color w:val="auto"/>
        </w:rPr>
      </w:pPr>
    </w:p>
    <w:p>
      <w:pPr>
        <w:ind w:left="500" w:hanging="492"/>
        <w:spacing w:after="0" w:line="263" w:lineRule="auto"/>
        <w:tabs>
          <w:tab w:leader="none" w:pos="38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205" w:lineRule="exact"/>
        <w:rPr>
          <w:rFonts w:ascii="Times New Roman" w:cs="Times New Roman" w:eastAsia="Times New Roman" w:hAnsi="Times New Roman"/>
          <w:sz w:val="16"/>
          <w:szCs w:val="16"/>
          <w:color w:val="auto"/>
        </w:rPr>
      </w:pPr>
    </w:p>
    <w:p>
      <w:pPr>
        <w:ind w:left="500" w:hanging="492"/>
        <w:spacing w:after="0" w:line="263" w:lineRule="auto"/>
        <w:tabs>
          <w:tab w:leader="none" w:pos="3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5" w:lineRule="exact"/>
        <w:rPr>
          <w:rFonts w:ascii="Times New Roman" w:cs="Times New Roman" w:eastAsia="Times New Roman" w:hAnsi="Times New Roman"/>
          <w:sz w:val="16"/>
          <w:szCs w:val="16"/>
          <w:color w:val="auto"/>
        </w:rPr>
      </w:pPr>
    </w:p>
    <w:p>
      <w:pPr>
        <w:ind w:left="500" w:hanging="492"/>
        <w:spacing w:after="0" w:line="280" w:lineRule="auto"/>
        <w:tabs>
          <w:tab w:leader="none" w:pos="50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2019, SPBRX, INC. (f/k/a GSV Sustainability Partners, Inc.) declared, and SuRo Capital Corp. received, an aggregate of $400,000 in dividend distributions.</w:t>
      </w:r>
    </w:p>
    <w:p>
      <w:pPr>
        <w:spacing w:after="0" w:line="191"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8" w:lineRule="exact"/>
        <w:rPr>
          <w:rFonts w:ascii="Times New Roman" w:cs="Times New Roman" w:eastAsia="Times New Roman" w:hAnsi="Times New Roman"/>
          <w:sz w:val="16"/>
          <w:szCs w:val="16"/>
          <w:color w:val="auto"/>
        </w:rPr>
      </w:pPr>
    </w:p>
    <w:p>
      <w:pPr>
        <w:ind w:left="500" w:hanging="492"/>
        <w:spacing w:after="0" w:line="263" w:lineRule="auto"/>
        <w:tabs>
          <w:tab w:leader="none" w:pos="41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38" w:lineRule="exact"/>
        <w:rPr>
          <w:sz w:val="20"/>
          <w:szCs w:val="20"/>
          <w:color w:val="auto"/>
        </w:rPr>
      </w:pPr>
    </w:p>
    <w:p>
      <w:pPr>
        <w:ind w:left="500" w:right="20" w:hanging="492"/>
        <w:spacing w:after="0" w:line="280" w:lineRule="auto"/>
        <w:tabs>
          <w:tab w:leader="none" w:pos="40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191" w:lineRule="exact"/>
        <w:rPr>
          <w:rFonts w:ascii="Times New Roman" w:cs="Times New Roman" w:eastAsia="Times New Roman" w:hAnsi="Times New Roman"/>
          <w:sz w:val="16"/>
          <w:szCs w:val="16"/>
          <w:color w:val="auto"/>
        </w:rPr>
      </w:pPr>
    </w:p>
    <w:p>
      <w:pPr>
        <w:jc w:val="both"/>
        <w:ind w:left="500" w:hanging="492"/>
        <w:spacing w:after="0" w:line="252" w:lineRule="auto"/>
        <w:tabs>
          <w:tab w:leader="none" w:pos="45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 As part of the agreement, previously accrued interest under SuRo Capital Corp.’s 12% Convertible Promissory Note due 12/31/2019 will be capitalized into the principal of the extended note, and the interest on the note is reduced from 12% to 8%. The Convertible Promissory Note’s maturity was extended to August 23, 2024. Under the amended structure, SuRo Capital Corp.’s fully diluted ownership of voting securities decreased from 50.0% to 8.5%. As such, SuRo Capital Corp.'s investments in NestGSV, Inc. (d/b/a GSV Labs, Inc.) have been recategorized from controlled investments to non-controlled/affiliated investments.</w:t>
      </w:r>
    </w:p>
    <w:p>
      <w:pPr>
        <w:spacing w:after="0" w:line="213"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4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w:t>
      </w:r>
    </w:p>
    <w:p>
      <w:pPr>
        <w:spacing w:after="0" w:line="21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w:t>
      </w:r>
    </w:p>
    <w:p>
      <w:pPr>
        <w:spacing w:after="0" w:line="20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210"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repurchased 0 and 1,284,565 shares, respectively, of the Company’s common stock. As of September 30, 2020, the dollar value of shares that remained available to be purchased by the Company under the Share Repurchase Program was approximately $2.7 million. Refer to "Note 12 — Subsequent Events"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Equity Incentive Plan</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to non-employee directors under the Amended &amp; Restated 2019 Equity Incentive Plan (as defined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4.75% Convertible Senior Notes due 2023</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issued 174,393 shares of its common stock and cash for fractional shares upon the conversion of $1,780,000 in aggregate principal amount of the 4.75% Convertible Senior Notes due 2023. Refer to “Note 10—Debt Capital Activities” and "Note 12 — Subsequent Events" for more detail regarding conversion terms.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$50,000,000 in aggregate amount of shares of its common stock (the “Shares”) from time to time through the Agents or to them as principal for their own account (the "ATM Program"). On September 23, 2020, the Company increased the maximum amount of Shares to be sold through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ATM Program to $150,000,000 from $50,000,000. In connection with the upsize of the ATM Program to $150,000,000,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20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issued and sold 3,808,979 Shares under the ATM Program at a weighted-average price of $13.36 per share, for gross proceeds of $50,900,326 and net proceeds of $49,882,319, after deducting commissions to the Agents on Shares sold. As of September 30, 2020, up to approximately $99.1 million in aggregate amount of the Shares remain available for sale under the ATM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three and nine months ended September 30,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15,919,941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5,261,452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14,058,514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21,745,460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17,795,538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19,472,785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17,208,723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19,650,651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3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21,745,460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6"/>
                <w:szCs w:val="16"/>
                <w:color w:val="auto"/>
              </w:rPr>
              <w:t>Adjustment for interest and amortization on 4.75% Convertible Senior Notes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552,555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568,040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1,690,577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1,701,084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due 2023</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16,472,496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5,829,492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15,749,091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23,446,544</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3"/>
          </w:tcPr>
          <w:p>
            <w:pPr>
              <w:ind w:left="120"/>
              <w:spacing w:after="0" w:line="210" w:lineRule="exact"/>
              <w:rPr>
                <w:sz w:val="20"/>
                <w:szCs w:val="20"/>
                <w:color w:val="auto"/>
              </w:rPr>
            </w:pPr>
            <w:r>
              <w:rPr>
                <w:rFonts w:ascii="Times New Roman" w:cs="Times New Roman" w:eastAsia="Times New Roman" w:hAnsi="Times New Roman"/>
                <w:sz w:val="16"/>
                <w:szCs w:val="16"/>
                <w:color w:val="auto"/>
              </w:rPr>
              <w:t>Adjustment for dilutive effect of 4.75% Convertible Senior Notes due 2023</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3,802,865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3,731,344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3,879,203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3,731,344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21,598,403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23,204,129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21,087,926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23,381,995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8" w:right="339" w:bottom="1440" w:gutter="0" w:footer="0" w:header="0"/>
        </w:sectPr>
      </w:pPr>
    </w:p>
    <w:bookmarkStart w:id="47" w:name="page48"/>
    <w:bookmarkEnd w:id="47"/>
    <w:p>
      <w:pPr>
        <w:ind w:left="73"/>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18" w:lineRule="exact"/>
        <w:rPr>
          <w:sz w:val="20"/>
          <w:szCs w:val="20"/>
          <w:color w:val="auto"/>
        </w:rPr>
      </w:pPr>
    </w:p>
    <w:p>
      <w:pPr>
        <w:ind w:left="493" w:right="20" w:hanging="493"/>
        <w:spacing w:after="0" w:line="247" w:lineRule="auto"/>
        <w:tabs>
          <w:tab w:leader="none" w:pos="39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nine months ended September 30, 2020 and the three and nine months ended September 30, 2019, 0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21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56" w:lineRule="exact"/>
        <w:rPr>
          <w:sz w:val="20"/>
          <w:szCs w:val="20"/>
          <w:color w:val="auto"/>
        </w:rPr>
      </w:pPr>
    </w:p>
    <w:p>
      <w:pPr>
        <w:jc w:val="both"/>
        <w:ind w:left="73" w:firstLine="36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As of September 30, 2020 and December 31, 2019, the Company had approximately $10,000,000 and $0, respectively, in non-binding investment agreements that required it to make a future investment in a portfolio company.</w:t>
      </w:r>
    </w:p>
    <w:p>
      <w:pPr>
        <w:spacing w:after="0" w:line="203" w:lineRule="exact"/>
        <w:rPr>
          <w:sz w:val="20"/>
          <w:szCs w:val="20"/>
          <w:color w:val="auto"/>
        </w:rPr>
      </w:pPr>
    </w:p>
    <w:p>
      <w:pPr>
        <w:jc w:val="both"/>
        <w:ind w:left="73" w:firstLine="36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76"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56" w:lineRule="exact"/>
        <w:rPr>
          <w:sz w:val="20"/>
          <w:szCs w:val="20"/>
          <w:color w:val="auto"/>
        </w:rPr>
      </w:pPr>
    </w:p>
    <w:p>
      <w:pPr>
        <w:jc w:val="both"/>
        <w:ind w:left="73" w:firstLine="364"/>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203" w:lineRule="exact"/>
        <w:rPr>
          <w:sz w:val="20"/>
          <w:szCs w:val="20"/>
          <w:color w:val="auto"/>
        </w:rPr>
      </w:pPr>
    </w:p>
    <w:p>
      <w:pPr>
        <w:jc w:val="both"/>
        <w:ind w:left="73" w:firstLine="364"/>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has booked a right of use asset and operating lease liability of $673,030 and $673,030, respectively, on the Condensed Consolidated Statement of Assets and Liabilities. As of September 30, 2020 and December 31, 2019, the Company recorded a security deposit of $16,574 and $16,574, respectively, on the Condensed Consolidated Statement of Assets and Liabilities. For the three months ended September 30, 2020, and 2019, the Company incurred $46,811 and $22,211 of operating lease expense, respectively. For the nine months ended September 30, 2020 and 2019, the Company incurred $134,531 and $29,359 of operating lease expense, respectively. The amounts reflected on the Condensed Consolidated Statement of Assets and Liabilities have been discounted using the rate implicit in the lease. As of September 30, 2020, the remaining lease term was 3.8 years and the discount rate was 3.00%.</w:t>
      </w:r>
    </w:p>
    <w:p>
      <w:pPr>
        <w:spacing w:after="0" w:line="216"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September 30, 2020:</w:t>
      </w:r>
    </w:p>
    <w:p>
      <w:pPr>
        <w:spacing w:after="0" w:line="138" w:lineRule="exact"/>
        <w:rPr>
          <w:sz w:val="20"/>
          <w:szCs w:val="20"/>
          <w:color w:val="auto"/>
        </w:rPr>
      </w:pPr>
    </w:p>
    <w:tbl>
      <w:tblPr>
        <w:tblLayout w:type="fixed"/>
        <w:tblInd w:w="73" w:type="dxa"/>
        <w:tblCellMar>
          <w:top w:w="0" w:type="dxa"/>
          <w:left w:w="0" w:type="dxa"/>
          <w:bottom w:w="0" w:type="dxa"/>
          <w:right w:w="0" w:type="dxa"/>
        </w:tblCellMar>
      </w:tblPr>
      <w:tr>
        <w:trPr>
          <w:trHeight w:val="195"/>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44,177</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179,800</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185,194</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190,750</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113,604</w:t>
            </w:r>
          </w:p>
        </w:tc>
      </w:tr>
      <w:tr>
        <w:trPr>
          <w:trHeight w:val="223"/>
        </w:trPr>
        <w:tc>
          <w:tcPr>
            <w:tcW w:w="756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713,525</w:t>
            </w:r>
          </w:p>
        </w:tc>
      </w:tr>
      <w:tr>
        <w:trPr>
          <w:trHeight w:val="20"/>
        </w:trPr>
        <w:tc>
          <w:tcPr>
            <w:tcW w:w="7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-925195</wp:posOffset>
            </wp:positionV>
            <wp:extent cx="48006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13"/>
          </w:cols>
          <w:pgMar w:left="247"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Basic Share Data</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Net realized gain on investments</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Net change in unrealized appreciation/(depreciation) of investments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Provision for taxes on unrealized appreciation of investments</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declared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offering costs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8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conversion of 4.75% Convertible</w:t>
            </w:r>
          </w:p>
        </w:tc>
        <w:tc>
          <w:tcPr>
            <w:tcW w:w="280" w:type="dxa"/>
            <w:vAlign w:val="bottom"/>
          </w:tcPr>
          <w:p>
            <w:pPr>
              <w:spacing w:after="0"/>
              <w:rPr>
                <w:sz w:val="14"/>
                <w:szCs w:val="14"/>
                <w:color w:val="auto"/>
              </w:rPr>
            </w:pPr>
          </w:p>
        </w:tc>
        <w:tc>
          <w:tcPr>
            <w:tcW w:w="12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due 2023</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Repurchases of common stock</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6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20,284,811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19,041,519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20,284,811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19,041,519</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252,712,769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213,949,030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252,712,769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213,949,030</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net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205,006,043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215,020,159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191,342,719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207,111,511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Ratio of gross operating expenses to average net assets</w:t>
            </w:r>
            <w:r>
              <w:rPr>
                <w:rFonts w:ascii="Times New Roman" w:cs="Times New Roman" w:eastAsia="Times New Roman" w:hAnsi="Times New Roman"/>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income tax provision to average net assets</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37"/>
        </w:trPr>
        <w:tc>
          <w:tcPr>
            <w:tcW w:w="486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Ratio of net operating expenses to average net assets</w:t>
            </w:r>
            <w:r>
              <w:rPr>
                <w:rFonts w:ascii="Times New Roman" w:cs="Times New Roman" w:eastAsia="Times New Roman" w:hAnsi="Times New Roman"/>
                <w:sz w:val="21"/>
                <w:szCs w:val="21"/>
                <w:color w:val="auto"/>
                <w:vertAlign w:val="superscript"/>
              </w:rPr>
              <w:t>(3)</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Ratio of net investment income/(loss) to average net assets</w:t>
            </w:r>
            <w:r>
              <w:rPr>
                <w:rFonts w:ascii="Times New Roman" w:cs="Times New Roman" w:eastAsia="Times New Roman" w:hAnsi="Times New Roman"/>
                <w:sz w:val="21"/>
                <w:szCs w:val="21"/>
                <w:color w:val="auto"/>
                <w:vertAlign w:val="superscript"/>
              </w:rPr>
              <w:t>(3)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5"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jc w:val="both"/>
        <w:ind w:left="500" w:hanging="492"/>
        <w:spacing w:after="0" w:line="249"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Highlights for periods of less than one year are annualized and the ratios of operating expenses to average net assets and net investment loss to average net assets are adjusted accordingly. Significant and material non-recurring expenses are not annualized. For the three and nine months ended September 30, 2020, the Company excluded $0 and $1,962,431, respectively of non-recurring expenses. For the three and nine months ended September 30, 2019, the Company excluded $0 and $(1,769,820), respectively, of non-recurring expenses and did not annualize the income tax provision. Because the ratios are calculated for the Company’s common stock taken as a whole, an individual investor’s ratios may vary from these ratios.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excludes net unrealized appreciation or depreciation, as such gains or losses are not included in taxable income until they are realized.</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declared distributions of $0.40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September 30, 2020, 100% would be from net realized investment gains. However, there can be no certainty to stockholders that this determination is representative of what the actual tax attributes of the Company’s fiscal year of 2020 distributions to stockholders will be.</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203"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recorded a deferred tax liability of approximately $0.0 million and $0.0 million, respectively. The Company is required to include net deferred tax provision/benefit in calculating 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03"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and the Taxable Subsidiaries identified their major tax jurisdictions as U.S. federal and California and may be subject to the taxing authorities’ examination for the tax years 2016–2019 and 2015–2019, respectively. Further, the Company and the Taxable Subsidiaries accrue all interest and penalties related to uncertain tax positions as incurred. As of September 30, 2020, there were no material interest or penalties incurred related to uncertain tax positions.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99.0298 shares of the Company’s common stock for each $1,000 principal amount of the 4.75% Convertible Senior Notes due 2023, which represents a current conversion price of approximately $10.10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2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ind w:firstLine="364"/>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issued 174,393 shares of its common stock and cash for fractional shares upon the conversion of $1,780,000 in aggregate principal amount of the 4.75% Convertible Senior Notes due 2023. Refer to "Note 12 — Subsequent Events" for additional information.</w:t>
      </w:r>
    </w:p>
    <w:p>
      <w:pPr>
        <w:spacing w:after="0" w:line="204"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4.75% Convertible Senior Notes due 2023 to the balance shown on the Condensed Consolidated Statement of Assets and Liabilities.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6"/>
                <w:szCs w:val="16"/>
                <w:color w:val="auto"/>
              </w:rPr>
            </w:pPr>
          </w:p>
        </w:tc>
        <w:tc>
          <w:tcPr>
            <w:tcW w:w="16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aggregate principal amount of 4.75% Convertible Senior Notes due 2023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4.75% Convertible Senior Notes due 2023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(1,196,365)</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 Payable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37,305,608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38,803,635</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46462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86" w:lineRule="exact"/>
        <w:rPr>
          <w:sz w:val="20"/>
          <w:szCs w:val="20"/>
          <w:color w:val="auto"/>
        </w:rPr>
      </w:pPr>
    </w:p>
    <w:p>
      <w:pPr>
        <w:jc w:val="both"/>
        <w:ind w:firstLine="364"/>
        <w:spacing w:after="0" w:line="250" w:lineRule="auto"/>
        <w:rPr>
          <w:sz w:val="20"/>
          <w:szCs w:val="20"/>
          <w:color w:val="auto"/>
        </w:rPr>
      </w:pPr>
      <w:r>
        <w:rPr>
          <w:rFonts w:ascii="Times New Roman" w:cs="Times New Roman" w:eastAsia="Times New Roman" w:hAnsi="Times New Roman"/>
          <w:sz w:val="18"/>
          <w:szCs w:val="18"/>
          <w:color w:val="auto"/>
        </w:rPr>
        <w:t>As of September 30, 2020 the principal amount of the 4.75% Convertible Senior Notes due 2023 did not exceed the value of the underlying shares multiplied by the per share closing price of the Company’s common stock. If the share price of our common stock exceeds $10.10 per share it may be advantageous for note holders to convert their 4.75% Convertible Senior Notes due 2023 to our common stock.</w:t>
      </w:r>
    </w:p>
    <w:p>
      <w:pPr>
        <w:spacing w:after="0" w:line="204"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 Alliance Bank Credit Facility</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Credit Facility matured on May 31, 2019. There were no borrowings by the Company from the Credit Facility during the year ended December 31, 2019.</w:t>
      </w:r>
    </w:p>
    <w:p>
      <w:pPr>
        <w:spacing w:after="0" w:line="18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 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214"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207"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Credit Facility was secured by substantially all of the Company’s property and assets. As of September 30, 2020 and December 31, 2019, the Company had no borrowings outstanding under the Credit Facility, as the Credit Facility matured on May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5, 2019, our Board of Directors adopted, and our stockholders approved, an equity-based incentive plan (the "2019 Equity Incentive Plan”), which authorizes equity awards to be granted for up to 1,976,264 shares of our common stock. Under the 2019 Equity Incentive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Stock Option Awards Under 2019 Equity Incentive Plan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currently outstanding under the 2019 Equity Incentive Plan. In accordance with FASB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Input Assumptions</w:t>
            </w: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As of July 17, 2019 Grant Date</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1013"/>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center"/>
              <w:ind w:right="1013"/>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center"/>
              <w:ind w:right="1033"/>
              <w:spacing w:after="0"/>
              <w:rPr>
                <w:sz w:val="20"/>
                <w:szCs w:val="20"/>
                <w:color w:val="auto"/>
              </w:rPr>
            </w:pPr>
            <w:r>
              <w:rPr>
                <w:rFonts w:ascii="Times New Roman" w:cs="Times New Roman" w:eastAsia="Times New Roman" w:hAnsi="Times New Roman"/>
                <w:sz w:val="18"/>
                <w:szCs w:val="18"/>
                <w:color w:val="auto"/>
                <w:w w:val="98"/>
              </w:rPr>
              <w:t>1.86%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3"/>
                <w:szCs w:val="23"/>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20" w:type="dxa"/>
            <w:vAlign w:val="bottom"/>
          </w:tcPr>
          <w:p>
            <w:pPr>
              <w:spacing w:after="0"/>
              <w:rPr>
                <w:sz w:val="23"/>
                <w:szCs w:val="23"/>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1,165,000</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2019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8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880" w:type="dxa"/>
            <w:vAlign w:val="bottom"/>
            <w:tcBorders>
              <w:bottom w:val="single" w:sz="8" w:color="CCEEFF"/>
            </w:tcBorders>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5151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-607695</wp:posOffset>
            </wp:positionV>
            <wp:extent cx="334327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3275" cy="16319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-908050</wp:posOffset>
            </wp:positionV>
            <wp:extent cx="334327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327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-1207770</wp:posOffset>
            </wp:positionV>
            <wp:extent cx="334327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327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-1362710</wp:posOffset>
            </wp:positionV>
            <wp:extent cx="3343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9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we recognized stock-based compensation expense of $0 and $1,962,431, respectively, related to the cancellation of all granted vested and unvested options, and the amount of cash received from the exercise of stock options was $0 and $0, respectively. As of September 30, 2020, there was $0 of total unrecognized compensation cost related to non-vested stock options granted under the 2019 Equity Incentive Plan, as the options were cancelled effective April 28,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2019 Equity Incentive Plan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89"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21,760 restricted shares to its non-employee directors pursuant to the Amended &amp; Restated 2019 Equity Incentive Plan. The Company determined that the fair values, based on the grant date close price, of such restricted shares granted under the Amended &amp; Restated 2019 Equity Incentive Plan during the nine months ended September 30, 2020 were approximately $200,000 in the aggregate. As of September 30, 2020, there were approximately $200,000 of total unrecognized compensation costs related to the restricted share grants. These costs related to the annual grants to non-employee directors are expected to be recognized upon vesting, which is approximately one year from the date of grant.</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nine months ended September 30, 2020 under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&amp; Restated 2019 Equity Incentive Plan:</w:t>
      </w:r>
    </w:p>
    <w:p>
      <w:pPr>
        <w:spacing w:after="0" w:line="10" w:lineRule="exact"/>
        <w:rPr>
          <w:sz w:val="20"/>
          <w:szCs w:val="20"/>
          <w:color w:val="auto"/>
        </w:rPr>
      </w:pPr>
    </w:p>
    <w:tbl>
      <w:tblPr>
        <w:tblLayout w:type="fixed"/>
        <w:tblInd w:w="1640" w:type="dxa"/>
        <w:tblCellMar>
          <w:top w:w="0" w:type="dxa"/>
          <w:left w:w="0" w:type="dxa"/>
          <w:bottom w:w="0" w:type="dxa"/>
          <w:right w:w="0" w:type="dxa"/>
        </w:tblCellMar>
      </w:tblPr>
      <w:tr>
        <w:trPr>
          <w:trHeight w:val="195"/>
        </w:trPr>
        <w:tc>
          <w:tcPr>
            <w:tcW w:w="534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Number of Restricted Shares</w:t>
            </w: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4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-307975</wp:posOffset>
            </wp:positionV>
            <wp:extent cx="33858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85820" cy="16319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-607695</wp:posOffset>
            </wp:positionV>
            <wp:extent cx="33858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-908050</wp:posOffset>
            </wp:positionV>
            <wp:extent cx="33858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-1062355</wp:posOffset>
            </wp:positionV>
            <wp:extent cx="33858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October 1, 2020 through November 6, 2020, the Company exited or received proceeds from the following investments.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Net</w:t>
            </w:r>
          </w:p>
        </w:tc>
        <w:tc>
          <w:tcPr>
            <w:tcW w:w="140" w:type="dxa"/>
            <w:vAlign w:val="bottom"/>
          </w:tcPr>
          <w:p>
            <w:pPr>
              <w:spacing w:after="0"/>
              <w:rPr>
                <w:sz w:val="13"/>
                <w:szCs w:val="13"/>
                <w:color w:val="auto"/>
              </w:rPr>
            </w:pPr>
          </w:p>
        </w:tc>
        <w:tc>
          <w:tcPr>
            <w:tcW w:w="10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Gain or</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Share Price</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19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Palantir Technologies, Inc.</w:t>
            </w:r>
          </w:p>
        </w:tc>
        <w:tc>
          <w:tcPr>
            <w:tcW w:w="1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Various</w:t>
            </w:r>
          </w:p>
        </w:tc>
        <w:tc>
          <w:tcPr>
            <w:tcW w:w="162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Common shares, Class</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754,738</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7,576,968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5,388,228</w:t>
            </w:r>
          </w:p>
        </w:tc>
        <w:tc>
          <w:tcPr>
            <w:tcW w:w="0" w:type="dxa"/>
            <w:vAlign w:val="bottom"/>
          </w:tcPr>
          <w:p>
            <w:pPr>
              <w:spacing w:after="0"/>
              <w:rPr>
                <w:sz w:val="1"/>
                <w:szCs w:val="1"/>
                <w:color w:val="auto"/>
              </w:rPr>
            </w:pPr>
          </w:p>
        </w:tc>
      </w:tr>
      <w:tr>
        <w:trPr>
          <w:trHeight w:val="169"/>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vMerge w:val="continue"/>
            <w:shd w:val="clear" w:color="auto" w:fill="CCEEFF"/>
          </w:tcPr>
          <w:p>
            <w:pPr>
              <w:spacing w:after="0"/>
              <w:rPr>
                <w:sz w:val="14"/>
                <w:szCs w:val="14"/>
                <w:color w:val="auto"/>
              </w:rPr>
            </w:pPr>
          </w:p>
        </w:tc>
        <w:tc>
          <w:tcPr>
            <w:tcW w:w="1740" w:type="dxa"/>
            <w:vAlign w:val="bottom"/>
            <w:tcBorders>
              <w:bottom w:val="single" w:sz="8" w:color="CCEEFF"/>
            </w:tcBorders>
            <w:gridSpan w:val="2"/>
            <w:shd w:val="clear" w:color="auto" w:fill="CCEEFF"/>
          </w:tcPr>
          <w:p>
            <w:pPr>
              <w:jc w:val="center"/>
              <w:ind w:right="140"/>
              <w:spacing w:after="0" w:line="169" w:lineRule="exact"/>
              <w:rPr>
                <w:sz w:val="20"/>
                <w:szCs w:val="20"/>
                <w:color w:val="auto"/>
              </w:rPr>
            </w:pPr>
            <w:r>
              <w:rPr>
                <w:rFonts w:ascii="Times New Roman" w:cs="Times New Roman" w:eastAsia="Times New Roman" w:hAnsi="Times New Roman"/>
                <w:sz w:val="16"/>
                <w:szCs w:val="16"/>
                <w:color w:val="auto"/>
              </w:rPr>
              <w:t>A</w:t>
            </w: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Palantir Lending Trust SPV</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4"/>
              </w:rPr>
              <w:t>Various</w:t>
            </w:r>
          </w:p>
        </w:tc>
        <w:tc>
          <w:tcPr>
            <w:tcW w:w="17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Collateralized Loan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6,609,813</w:t>
            </w:r>
          </w:p>
        </w:tc>
        <w:tc>
          <w:tcPr>
            <w:tcW w:w="12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376,625</w:t>
            </w:r>
          </w:p>
        </w:tc>
        <w:tc>
          <w:tcPr>
            <w:tcW w:w="0" w:type="dxa"/>
            <w:vAlign w:val="bottom"/>
          </w:tcPr>
          <w:p>
            <w:pPr>
              <w:spacing w:after="0"/>
              <w:rPr>
                <w:sz w:val="1"/>
                <w:szCs w:val="1"/>
                <w:color w:val="auto"/>
              </w:rPr>
            </w:pPr>
          </w:p>
        </w:tc>
      </w:tr>
      <w:tr>
        <w:trPr>
          <w:trHeight w:val="216"/>
        </w:trPr>
        <w:tc>
          <w:tcPr>
            <w:tcW w:w="19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bscript"/>
              </w:rPr>
              <w:t>I</w:t>
            </w:r>
            <w:r>
              <w:rPr>
                <w:rFonts w:ascii="Times New Roman" w:cs="Times New Roman" w:eastAsia="Times New Roman" w:hAnsi="Times New Roman"/>
                <w:sz w:val="9"/>
                <w:szCs w:val="9"/>
                <w:color w:val="auto"/>
              </w:rPr>
              <w:t>(3)</w:t>
            </w:r>
          </w:p>
        </w:tc>
        <w:tc>
          <w:tcPr>
            <w:tcW w:w="1080" w:type="dxa"/>
            <w:vAlign w:val="bottom"/>
            <w:gridSpan w:val="2"/>
            <w:vMerge w:val="continue"/>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15% due 6/19/2022</w:t>
            </w: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Palantir Lending Trust SPV</w:t>
            </w:r>
          </w:p>
        </w:tc>
        <w:tc>
          <w:tcPr>
            <w:tcW w:w="1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Various</w:t>
            </w:r>
          </w:p>
        </w:tc>
        <w:tc>
          <w:tcPr>
            <w:tcW w:w="174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Equity Participation in</w:t>
            </w:r>
          </w:p>
        </w:tc>
        <w:tc>
          <w:tcPr>
            <w:tcW w:w="9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790,187</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790,187</w:t>
            </w:r>
          </w:p>
        </w:tc>
        <w:tc>
          <w:tcPr>
            <w:tcW w:w="0" w:type="dxa"/>
            <w:vAlign w:val="bottom"/>
          </w:tcPr>
          <w:p>
            <w:pPr>
              <w:spacing w:after="0"/>
              <w:rPr>
                <w:sz w:val="1"/>
                <w:szCs w:val="1"/>
                <w:color w:val="auto"/>
              </w:rPr>
            </w:pPr>
          </w:p>
        </w:tc>
      </w:tr>
      <w:tr>
        <w:trPr>
          <w:trHeight w:val="221"/>
        </w:trPr>
        <w:tc>
          <w:tcPr>
            <w:tcW w:w="1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bscript"/>
              </w:rPr>
              <w:t>I</w:t>
            </w:r>
            <w:r>
              <w:rPr>
                <w:rFonts w:ascii="Times New Roman" w:cs="Times New Roman" w:eastAsia="Times New Roman" w:hAnsi="Times New Roman"/>
                <w:sz w:val="9"/>
                <w:szCs w:val="9"/>
                <w:color w:val="auto"/>
              </w:rPr>
              <w:t>(4)</w:t>
            </w:r>
          </w:p>
        </w:tc>
        <w:tc>
          <w:tcPr>
            <w:tcW w:w="1080" w:type="dxa"/>
            <w:vAlign w:val="bottom"/>
            <w:gridSpan w:val="2"/>
            <w:vMerge w:val="continue"/>
            <w:shd w:val="clear" w:color="auto" w:fill="CCEEFF"/>
          </w:tcPr>
          <w:p>
            <w:pPr>
              <w:spacing w:after="0"/>
              <w:rPr>
                <w:sz w:val="18"/>
                <w:szCs w:val="18"/>
                <w:color w:val="auto"/>
              </w:rPr>
            </w:pP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Underlying Collateral</w:t>
            </w: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14,976,968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6,555,040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w:t>
      </w:r>
    </w:p>
    <w:p>
      <w:pPr>
        <w:spacing w:after="0" w:line="4"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November 6, 2020, we held 4,618,952 remaining restricted Class A common shares of Palantir Technologies, Inc.</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41"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November 6, 2020, $6,609,813 was received from Palantir Lending Trust SPV I. Of the proceeds received, approximately $6.2 million repaid a portion of the $6.9 million outstanding principal and approximately $0.4 million was attributed to the accrued guaranteed interest. As of November 6, 2020, the remaining principal outstanding on the promissory note was approximately $0.7 million and approximately $0.4 million of guaranteed interest was still expected to be received.</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47"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Palantir Lending Trust SPV I promissory note was initially collateralized with 2,260,000 Class A common shares of Palantir Technologies, Inc. to which SuRo Capital Corp. retains a beneficial equity upside interest. As of November 6, 2020, 1,420,843 Class A common shares remain in Palantir Lending Trust SPV I, a portion of which are subject to certain lock-up restrictions. The realized gain from SuRo Capital Corp.'s investment in Palantir Lending Trust SPV I is generated by the proceeds from the sale of a portion of the shares collateralizing the existing promissory note to Palantir Lending Trust SPV I and attributable to the Equity Participation in Underlying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through November 6, 2020, the Company funded investments in an aggregate amount of $9,999,982 (not including capitalized transaction costs) as shown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Transaction Date</w:t>
            </w:r>
          </w:p>
        </w:tc>
        <w:tc>
          <w:tcPr>
            <w:tcW w:w="280" w:type="dxa"/>
            <w:vAlign w:val="bottom"/>
          </w:tcPr>
          <w:p>
            <w:pPr>
              <w:spacing w:after="0"/>
              <w:rPr>
                <w:sz w:val="18"/>
                <w:szCs w:val="18"/>
                <w:color w:val="auto"/>
              </w:rPr>
            </w:pPr>
          </w:p>
        </w:tc>
        <w:tc>
          <w:tcPr>
            <w:tcW w:w="17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22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Blink Health, Inc.</w:t>
            </w:r>
          </w:p>
        </w:tc>
        <w:tc>
          <w:tcPr>
            <w:tcW w:w="12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4,999,995</w:t>
            </w:r>
          </w:p>
        </w:tc>
      </w:tr>
      <w:tr>
        <w:trPr>
          <w:trHeight w:val="230"/>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Blink Health, Inc.</w:t>
            </w:r>
          </w:p>
        </w:tc>
        <w:tc>
          <w:tcPr>
            <w:tcW w:w="35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Preferred Shares, Series C</w:t>
            </w:r>
          </w:p>
        </w:tc>
        <w:tc>
          <w:tcPr>
            <w:tcW w:w="1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4,999,987</w:t>
            </w:r>
          </w:p>
        </w:tc>
      </w:tr>
      <w:tr>
        <w:trPr>
          <w:trHeight w:val="248"/>
        </w:trPr>
        <w:tc>
          <w:tcPr>
            <w:tcW w:w="3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9,999,982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25, 2020, the Company’s Board of Directors declared a dividend of $0.25 per share paid, in cash, on October 20, 2020 to stockholders of record as of the close of business on October 5, 2020.</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28, 2020, the Company’s Board of Directors declared a dividend of $0.25 per share payable on November 30, 2020 to stockholders of record as of the close of business on November 10, 2020. The dividend will be paid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4.75% Convertible Senior Notes due 2023</w:t>
      </w:r>
    </w:p>
    <w:p>
      <w:pPr>
        <w:spacing w:after="0" w:line="25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Effective as of October 5, 2020, the conversion price applicable to the 4.75% Convertible Senior Notes due 2023 was adjusted to $9.84 per share (101.6664 shares of the Company’s common stock per $1,000 principal amount of the 4.75% Convertible Senior Notes due 2023) from the most recent conversion price of $10.10 per share (99.0298 shares of the Company’s common stock per $1,000 principal amount of the 4.75% Convertible Senior Notes due 2023), which had been in effect since August 11, 2020. The adjustment to the conversion rate of the 4.75% Convertible Senior Notes due 2023 was made pursuant to the supplemental indenture governing the 4.75% Convertible Senior Notes due 2023 as a result of the Company’s cash dividend of $0.25 per share, paid on October 20, 2020 to stockholders of record as of the close of business on October 5, 2020.</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through November 6, 2020, the Company issued 495 shares of its common stock and cash for fractional shares upon the conversion of $5,000 in aggregate principal amount of the 4.75% Convertible Senior Notes due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shares our common stock.</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 — Common Stock" for additional information on the Share Repurchase Program.</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October 1, 2020 through November 6, 2020, the Company repurchased 371,283 additional shares under the Share Repurchase Program for an aggregate purchase price of $3.1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through November 6, 2020, the Company did not issue or sell any Shares under the ATM Program. As of November 6, 2020, up to approximately $99.1 million in aggregate amount of the Shares remain available for sale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been closely monitoring the COVID-19 pandemic, its broader impact on the global economy and the more recent impacts on the U.S. economy. Subsequent to September 30,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6, 2020, there is no indication of a reportable subsequent event impacting the Company’s financial statements for the three months ended September 30, 2020. The Company continues to observe and respond to the evolving COVID-19 environment and its potential impact on areas across its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September 30, 2020, the Company had investments in at least one portfolio company considered to be a significant subsidiary under SEC Regulation S-X Rule 10-01(b)(1) and Regulation S-X Rule 4-08(g).</w:t>
      </w:r>
    </w:p>
    <w:p>
      <w:pPr>
        <w:spacing w:after="0" w:line="210" w:lineRule="exact"/>
        <w:rPr>
          <w:sz w:val="20"/>
          <w:szCs w:val="20"/>
          <w:color w:val="auto"/>
        </w:rPr>
      </w:pPr>
    </w:p>
    <w:p>
      <w:pPr>
        <w:jc w:val="both"/>
        <w:ind w:firstLine="364"/>
        <w:spacing w:after="0" w:line="238" w:lineRule="auto"/>
        <w:rPr>
          <w:sz w:val="20"/>
          <w:szCs w:val="20"/>
          <w:color w:val="auto"/>
        </w:rPr>
      </w:pPr>
      <w:r>
        <w:rPr>
          <w:rFonts w:ascii="Times New Roman" w:cs="Times New Roman" w:eastAsia="Times New Roman" w:hAnsi="Times New Roman"/>
          <w:sz w:val="18"/>
          <w:szCs w:val="18"/>
          <w:color w:val="auto"/>
        </w:rPr>
        <w:t>In May 2020, the SEC adopted rule amendments that will impact the requirement of investment companies, including BDCs, to disclose the financial statements of certain of their portfolio companies or acquired funds (the “Final Rules”). The Final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 the definition of “significant subsidiary” in a manner that is intended to more accurately capture those portfolio companies that are more likely to materially impact the financial condition of an investment company. This new definition eliminates the asset test, and revises the investment and income tests for registered investment companies and BDCs. The Final Rules will be effective on January 1, 2021, but voluntary compliance is permitted in advance of the effective date. The Company has elected to comply in advance of the effective date for the quarter ended September 30, 2020.</w:t>
      </w:r>
    </w:p>
    <w:p>
      <w:pPr>
        <w:spacing w:after="0" w:line="21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As a result of the new definition of a “significant subsidiary” set forth in Rule 1-02(w)(2) the Company’s only “subsidiary” as of September 30, 2020, SPBRX, INC. (f/k/a GSV Sustainability Partners, Inc.) does not meet the definition of a “significant subsidiary” set forth in Rule 1-02(w)(2). For comparability purposes the Company has omitted the previously disclosed summarized financial information of the Company’s significant subsidiaries for the quarter ended September 30, 2019 as the Company’s significant subsidiaries would not have been considered significant subsidiaries under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210"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89" w:lineRule="exact"/>
        <w:rPr>
          <w:sz w:val="20"/>
          <w:szCs w:val="20"/>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20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5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03" w:lineRule="exact"/>
        <w:rPr>
          <w:sz w:val="20"/>
          <w:szCs w:val="20"/>
          <w:color w:val="auto"/>
        </w:rPr>
      </w:pPr>
    </w:p>
    <w:p>
      <w:pPr>
        <w:ind w:left="660" w:right="20" w:hanging="328"/>
        <w:spacing w:after="0" w:line="282"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5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8" w:right="339" w:bottom="1440" w:gutter="0" w:footer="0" w:header="0"/>
        </w:sectPr>
      </w:pPr>
    </w:p>
    <w:bookmarkStart w:id="59" w:name="page60"/>
    <w:bookmarkEnd w:id="59"/>
    <w:p>
      <w:pPr>
        <w:spacing w:after="0" w:line="57" w:lineRule="exact"/>
        <w:rPr>
          <w:sz w:val="20"/>
          <w:szCs w:val="20"/>
          <w:color w:val="auto"/>
        </w:rPr>
      </w:pPr>
    </w:p>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0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subject to applicable requirements of the 1940 Act.</w:t>
      </w:r>
    </w:p>
    <w:p>
      <w:pPr>
        <w:spacing w:after="0" w:line="210"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21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21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 We seek to create a low-turnover portfolio that includes investments in companies representing a broad range on investment themes.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Change to SuRo Capital Corp.</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Articles of Amendment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and effective June 22, 2020, the Company changed its name to “SuRo Capital Corp.” from “Sutter Rock Capital Corp” (the“Name Change”) by filing Articles of Amendment (the “Articles of Amendment”) to its Articles of Amendment and Restatement, as amended (the “Charter”), with the Department of Assessments and Taxation of the State of Maryland to effect the Name Change. In accordance with the Maryland General Corporation Law and the Charter, the Company’s board of directors approved the Name Change and the Articles of Amendment. Stockholder approval was not required.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 Amended and Restated Bylaws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Name Change, the Company’s board of directors also approved an amendment and restatement of the Company’s Amended and Restated Bylaws (the “Amended and Restated Bylaws”) to reflect the Name Change. The Amended and Restated Bylaws became effective on June 22, 2020 and did not require stockholder approval.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regarding the foregoing events, please refer to the Company’s current report on Form 8-K filed with the SEC on June 16,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Internalization of Operating Structure</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10-Q discusses our business and operations as an internally-managed BDC during the period covered by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COVID-19 Developments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novel coronavirus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w:t>
      </w:r>
    </w:p>
    <w:p>
      <w:pPr>
        <w:sectPr>
          <w:pgSz w:w="11900" w:h="16896" w:orient="portrait"/>
          <w:cols w:equalWidth="0" w:num="1">
            <w:col w:w="11240"/>
          </w:cols>
          <w:pgMar w:left="320" w:top="118" w:right="339" w:bottom="0" w:gutter="0" w:footer="0" w:header="0"/>
        </w:sectPr>
      </w:pPr>
    </w:p>
    <w:bookmarkStart w:id="60" w:name="page61"/>
    <w:bookmarkEnd w:id="6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disruption in global supply chains and adversely impacting a number of industries. The outbreak could have a continued adverse impact on economic and market conditions and trigger a period of global economic slowdown.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closely monitoring the impact of the outbreak of COVID-19 on all aspects of our business, including how it will impact our portfolio companies, employees, due diligence and investing processes, and financial markets. Given the fluidity of the situation, we cannot estimate the long-term impact of COVID-19 on our business, future results of operations, financial position or cash flows at this time.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 of a potential worsening of global economic conditions and the continued disruptions to, and volatility in, the financial markets remain unknown.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2020, of all of our portfolio investments, excluding U.S. Treasury bills, was $215,446,200.</w:t>
      </w:r>
    </w:p>
    <w:p>
      <w:pPr>
        <w:spacing w:after="0" w:line="203"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funded investments in an aggregate amount of $15,214,694 (not including capitalized transaction costs) as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8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21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10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Convertible Promissory Note</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Rent the Runway, Inc.</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Preferred Shares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6/17/2020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5,000,001</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Palantir Lending Trust SPV I</w:t>
            </w:r>
          </w:p>
        </w:tc>
        <w:tc>
          <w:tcPr>
            <w:tcW w:w="3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Collateralized Loan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6/19/2020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6,870,000</w:t>
            </w:r>
          </w:p>
        </w:tc>
      </w:tr>
      <w:tr>
        <w:trPr>
          <w:trHeight w:val="21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Coursera, Inc.</w:t>
            </w:r>
          </w:p>
        </w:tc>
        <w:tc>
          <w:tcPr>
            <w:tcW w:w="33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Preferred Shares, Series F</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7/15/2020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2,838,354</w:t>
            </w:r>
          </w:p>
        </w:tc>
      </w:tr>
      <w:tr>
        <w:trPr>
          <w:trHeight w:val="237"/>
        </w:trPr>
        <w:tc>
          <w:tcPr>
            <w:tcW w:w="3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15,214,694</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the nine months ended September 30, 2020, we capitalized fees of $182,817.</w:t>
      </w:r>
    </w:p>
    <w:p>
      <w:pPr>
        <w:spacing w:after="0" w:line="252" w:lineRule="exact"/>
        <w:rPr>
          <w:sz w:val="20"/>
          <w:szCs w:val="20"/>
          <w:color w:val="auto"/>
        </w:rPr>
      </w:pPr>
    </w:p>
    <w:p>
      <w:pPr>
        <w:jc w:val="both"/>
        <w:ind w:right="20" w:firstLine="19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exited investments in an amount of $15,779,482, net of transaction costs, and realized a net gain on investments of approximately $9,332,643 (including U.S. Treasury investments) as shown in following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Investment</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Net Share</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40" w:type="dxa"/>
            <w:vAlign w:val="bottom"/>
          </w:tcPr>
          <w:p>
            <w:pPr>
              <w:spacing w:after="0"/>
              <w:rPr>
                <w:sz w:val="16"/>
                <w:szCs w:val="16"/>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Price </w:t>
            </w:r>
            <w:r>
              <w:rPr>
                <w:rFonts w:ascii="Times New Roman" w:cs="Times New Roman" w:eastAsia="Times New Roman" w:hAnsi="Times New Roman"/>
                <w:sz w:val="21"/>
                <w:szCs w:val="21"/>
                <w:b w:val="1"/>
                <w:bCs w:val="1"/>
                <w:color w:val="auto"/>
                <w:w w:val="96"/>
                <w:vertAlign w:val="superscript"/>
              </w:rPr>
              <w:t>(1)</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19"/>
              <w:spacing w:after="0" w:line="216" w:lineRule="exact"/>
              <w:rPr>
                <w:sz w:val="20"/>
                <w:szCs w:val="20"/>
                <w:color w:val="auto"/>
              </w:rPr>
            </w:pPr>
            <w:r>
              <w:rPr>
                <w:rFonts w:ascii="Times New Roman" w:cs="Times New Roman" w:eastAsia="Times New Roman" w:hAnsi="Times New Roman"/>
                <w:sz w:val="16"/>
                <w:szCs w:val="16"/>
                <w:b w:val="1"/>
                <w:bCs w:val="1"/>
                <w:color w:val="auto"/>
                <w:w w:val="99"/>
              </w:rPr>
              <w:t>Gain/(Loss)</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Parchment, Inc.</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6,875,639</w:t>
            </w:r>
          </w:p>
        </w:tc>
        <w:tc>
          <w:tcPr>
            <w:tcW w:w="0" w:type="dxa"/>
            <w:vAlign w:val="bottom"/>
          </w:tcPr>
          <w:p>
            <w:pPr>
              <w:spacing w:after="0"/>
              <w:rPr>
                <w:sz w:val="1"/>
                <w:szCs w:val="1"/>
                <w:color w:val="auto"/>
              </w:rPr>
            </w:pPr>
          </w:p>
        </w:tc>
      </w:tr>
      <w:tr>
        <w:trPr>
          <w:trHeight w:val="216"/>
        </w:trPr>
        <w:tc>
          <w:tcPr>
            <w:tcW w:w="40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4C Insights (f/k/a The Echo Systems Corp.)</w:t>
            </w:r>
            <w:r>
              <w:rPr>
                <w:rFonts w:ascii="Times New Roman" w:cs="Times New Roman" w:eastAsia="Times New Roman" w:hAnsi="Times New Roman"/>
                <w:sz w:val="21"/>
                <w:szCs w:val="21"/>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7/29/2020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(628,452)</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1"/>
                <w:szCs w:val="21"/>
                <w:color w:val="auto"/>
                <w:vertAlign w:val="superscript"/>
              </w:rPr>
              <w:t>(4)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9/30/2020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4,094,909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3,006,451</w:t>
            </w:r>
          </w:p>
        </w:tc>
        <w:tc>
          <w:tcPr>
            <w:tcW w:w="0" w:type="dxa"/>
            <w:vAlign w:val="bottom"/>
          </w:tcPr>
          <w:p>
            <w:pPr>
              <w:spacing w:after="0"/>
              <w:rPr>
                <w:sz w:val="1"/>
                <w:szCs w:val="1"/>
                <w:color w:val="auto"/>
              </w:rPr>
            </w:pPr>
          </w:p>
        </w:tc>
      </w:tr>
      <w:tr>
        <w:trPr>
          <w:trHeight w:val="210"/>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15,779,482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9,253,638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19"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gain/(loss) does not include realized gain or loss incurred on the maturity of our U.S. Treasury investments.</w:t>
      </w:r>
    </w:p>
    <w:p>
      <w:pPr>
        <w:spacing w:after="0" w:line="12" w:lineRule="exact"/>
        <w:rPr>
          <w:rFonts w:ascii="Times New Roman" w:cs="Times New Roman" w:eastAsia="Times New Roman" w:hAnsi="Times New Roman"/>
          <w:sz w:val="14"/>
          <w:szCs w:val="14"/>
          <w:color w:val="auto"/>
        </w:rPr>
      </w:pPr>
    </w:p>
    <w:p>
      <w:pPr>
        <w:jc w:val="both"/>
        <w:ind w:left="500" w:hanging="492"/>
        <w:spacing w:after="0" w:line="238"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 As of September 30, 2020, all remaining shares of 4C Insights (f/k/a The Echo System) held by us had been sold, subject to an escrow receivable of $56,124.</w:t>
      </w:r>
    </w:p>
    <w:p>
      <w:pPr>
        <w:ind w:left="500" w:right="20" w:hanging="492"/>
        <w:spacing w:after="0" w:line="258"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we held 5,373,690 Class A common shares of Palantir Technologies, Inc. Of the remaining shares, 754,738 were unrestricted and 4,618,952 were subject to lock-up restrictions.</w:t>
      </w:r>
    </w:p>
    <w:p>
      <w:pPr>
        <w:spacing w:after="0" w:line="209" w:lineRule="exact"/>
        <w:rPr>
          <w:sz w:val="20"/>
          <w:szCs w:val="20"/>
          <w:color w:val="auto"/>
        </w:rPr>
      </w:pPr>
    </w:p>
    <w:p>
      <w:pPr>
        <w:ind w:firstLine="20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did not write-off any investments and our CUX, Inc. (d/b/a CorpU) Series D preferred warrants with a strike price of $4.59, expired on February 14, 2020.</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w:t>
      </w:r>
    </w:p>
    <w:p>
      <w:pPr>
        <w:spacing w:after="0" w:line="256" w:lineRule="exact"/>
        <w:rPr>
          <w:sz w:val="20"/>
          <w:szCs w:val="20"/>
          <w:color w:val="auto"/>
        </w:rPr>
      </w:pPr>
    </w:p>
    <w:p>
      <w:pPr>
        <w:ind w:right="40" w:firstLine="1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funded investments in an aggregate amount of $25,280,000 (not including capitalized transaction costs) as shown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Transaction Date</w:t>
            </w:r>
          </w:p>
        </w:tc>
        <w:tc>
          <w:tcPr>
            <w:tcW w:w="18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21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1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Preferred Shares, Series 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1/25/2019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r>
      <w:tr>
        <w:trPr>
          <w:trHeight w:val="21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Convertible Promissory Note 5% Due 1/31/2021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8/12/2019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GreenAcreage Real Estate Corp.</w:t>
            </w: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7,500,000</w:t>
            </w:r>
          </w:p>
        </w:tc>
      </w:tr>
      <w:tr>
        <w:trPr>
          <w:trHeight w:val="21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Treehouse Real Estate Investment Trust, Inc.</w:t>
            </w:r>
          </w:p>
        </w:tc>
        <w:tc>
          <w:tcPr>
            <w:tcW w:w="41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9/11/2019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7,500,000</w:t>
            </w:r>
          </w:p>
        </w:tc>
      </w:tr>
      <w:tr>
        <w:trPr>
          <w:trHeight w:val="237"/>
        </w:trPr>
        <w:tc>
          <w:tcPr>
            <w:tcW w:w="3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25,280,000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the nine months ended September 30, 2019, we capitalized fees of $29,145.</w:t>
      </w:r>
    </w:p>
    <w:p>
      <w:pPr>
        <w:spacing w:after="0" w:line="252"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sold investments in an amount of $52,322,735, net of transaction costs, and realized a net gain on investments of approximately $9,524,540 (including U.S. Treasury investments) as shown in following table: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Investment</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1720" w:type="dxa"/>
            <w:vAlign w:val="bottom"/>
            <w:gridSpan w:val="3"/>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Shares Sold</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Average Net Share</w:t>
            </w:r>
          </w:p>
        </w:tc>
        <w:tc>
          <w:tcPr>
            <w:tcW w:w="200" w:type="dxa"/>
            <w:vAlign w:val="bottom"/>
          </w:tcPr>
          <w:p>
            <w:pPr>
              <w:spacing w:after="0"/>
              <w:rPr>
                <w:sz w:val="20"/>
                <w:szCs w:val="20"/>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Realized Gain/(Loss)</w:t>
            </w:r>
          </w:p>
        </w:tc>
        <w:tc>
          <w:tcPr>
            <w:tcW w:w="0" w:type="dxa"/>
            <w:vAlign w:val="bottom"/>
          </w:tcPr>
          <w:p>
            <w:pPr>
              <w:spacing w:after="0"/>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right"/>
              <w:ind w:right="624"/>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1"/>
                <w:szCs w:val="21"/>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3/11/2019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(12,334,151)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Spotify Technologies S.A.</w:t>
            </w:r>
            <w:r>
              <w:rPr>
                <w:rFonts w:ascii="Times New Roman" w:cs="Times New Roman" w:eastAsia="Times New Roman" w:hAnsi="Times New Roman"/>
                <w:sz w:val="21"/>
                <w:szCs w:val="21"/>
                <w:color w:val="auto"/>
                <w:vertAlign w:val="superscript"/>
              </w:rPr>
              <w:t>(4)</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32,547,633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22,545,550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1"/>
                <w:szCs w:val="21"/>
                <w:color w:val="auto"/>
                <w:vertAlign w:val="superscript"/>
              </w:rPr>
              <w:t>(5)</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19,723,591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6,066,664</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Knewton, Inc.</w:t>
            </w:r>
            <w:r>
              <w:rPr>
                <w:rFonts w:ascii="Times New Roman" w:cs="Times New Roman" w:eastAsia="Times New Roman" w:hAnsi="Times New Roman"/>
                <w:sz w:val="21"/>
                <w:szCs w:val="21"/>
                <w:color w:val="auto"/>
                <w:vertAlign w:val="superscript"/>
              </w:rPr>
              <w:t>(6)</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5/31/2019</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(5,083,701)</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52,322,735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11,194,362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w:t>
      </w:r>
    </w:p>
    <w:p>
      <w:pPr>
        <w:spacing w:after="0" w:line="19"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gain/(loss) does not include amounts held in escrow or any realized gain or loss incurred on the maturity of our U.S. Treasury investments.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58"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w:t>
      </w:r>
    </w:p>
    <w:p>
      <w:pPr>
        <w:sectPr>
          <w:pgSz w:w="11900" w:h="16838" w:orient="portrait"/>
          <w:cols w:equalWidth="0" w:num="1">
            <w:col w:w="11240"/>
          </w:cols>
          <w:pgMar w:left="320" w:top="118" w:right="339" w:bottom="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4"/>
          <w:szCs w:val="14"/>
          <w:color w:val="auto"/>
        </w:rPr>
        <w:t>value of $2,334,152.</w:t>
      </w:r>
    </w:p>
    <w:p>
      <w:pPr>
        <w:spacing w:after="0" w:line="16" w:lineRule="exact"/>
        <w:rPr>
          <w:sz w:val="20"/>
          <w:szCs w:val="20"/>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we held 0 remaining shares of Spotify Technologies S.A.</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we held 0 remaining shares of Dropbox, Inc.</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31, 2019, a sale of substantially all of Knewton, Inc. to Wiley Education was completed.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the nine months ended September 30, 2019, we did not write-off any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2020 and 2019</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2020 and 2019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0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408,107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901,384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1,095,428</w:t>
            </w: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895,428</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2,995,998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5,082,430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11,161,216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7,983,161</w:t>
            </w:r>
          </w:p>
        </w:tc>
      </w:tr>
      <w:tr>
        <w:trPr>
          <w:trHeight w:val="218"/>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Management fees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848,723</w:t>
            </w: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fees/(Reversal of incentive fee accrual)</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(4,660,472)</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Costs incurred under Administration Agreement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306,084</w:t>
            </w: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Directors’ fees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272,120</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4,179,093</w:t>
            </w: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1,030,239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4,960,679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3,702,517</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1,795,885</w:t>
            </w: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1,504,545</w:t>
            </w: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(2,587,891)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(4,702,204)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(10,259,832)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(6,887,733)</w:t>
            </w:r>
          </w:p>
        </w:tc>
      </w:tr>
      <w:tr>
        <w:trPr>
          <w:trHeight w:val="218"/>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9,332,643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11,297,501</w:t>
            </w: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16,129,442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8,190,695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14,985,703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16,450,126</w:t>
            </w:r>
          </w:p>
        </w:tc>
      </w:tr>
      <w:tr>
        <w:trPr>
          <w:trHeight w:val="219"/>
        </w:trPr>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885,566</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15,919,941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5,261,452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14,058,514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21,745,460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-2474595</wp:posOffset>
            </wp:positionV>
            <wp:extent cx="3180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Investment income increased to $408,107 for the three months ended September 30, 2020 from $380,226 for the three months ended September 30, 2019. The net increase between periods was not material and was generally due to an increase in dividend income received from GreenAcreage Real Estate Investment Trust, Inc. partially offset by a decrease in accrued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due to the placement of some debt investments on non-accrual status during the three months ended September 30, 2020, relative to the three months ended September 30, 2019.</w:t>
      </w:r>
    </w:p>
    <w:p>
      <w:pPr>
        <w:spacing w:after="0" w:line="18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Investment income decreased to $901,384 for the nine months ended September 30, 2020 from $1,095,428 for the nine months ended September 30, 2019. The net decrease between periods was generally due to a decrease in accrued interest income due to renegotiation of certain debt investments and the placement of some debt investments on non-accrual status partially offest by an increase in dividend income received from Treehouse Real Estate Investment Trust, Inc. and GreenAcreage Real Estate Corp. during the nine months ended September 30, 2020, relative to the nine months ended September 30,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Total operating expenses decreased to $2,995,998 for the three months ended September 30, 2020, from $5,082,430 in net operating expense for the three months ended September 30, 2019. The decrease in operating expense was primarily due to the recognition of vested compensation cost related to the stock-based compensation plan upon initial grant and immediate vesting of 1/3 of granted options on July 17, 2019 and not subsequently recognized during the three months ended September 30, 2020 due to the cancellation of all outstanding options on April 28, 2020. The notable decrease was partially offset by a reduction in professional fees and interest expense for the three months ended September 30, 2020 compared to the three months ended September 30, 2019.</w:t>
      </w:r>
    </w:p>
    <w:p>
      <w:pPr>
        <w:spacing w:after="0" w:line="21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Total operating expenses increased to $11,161,216 for the nine months ended September 30, 2020, from $7,983,161 in net operating expense for the nine months ended September 30, 2019. The increase in operating expenses was primarily due to the reversal of the incentive fee accrual as a result of our Internalization during the nine months ended September 30, 2019 and the recognition of all unvested and unrecognized compensation cost related to the stock-based compensation plan upon cancellation of all outstanding options on April 28, 2020 during the nine months ended September 30, 2020. The notable increases are partially offset by the removal of fees and expenses related to the Investment Advisory Agreement and Administration Agreements and a significant reduction in professional fees for the nine months ended September 30, 2020 compared to the nine months ended September 30,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recognized net investment loss of $2,587,891, compared to net investment loss of $4,702,204 for the three months ended September 30, 2019. The change between periods resulted from the increase in operating expenses, and to a lesser extent, the decrease in total investment income between periods, as discussed above.</w:t>
      </w:r>
    </w:p>
    <w:p>
      <w:pPr>
        <w:spacing w:after="0" w:line="20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recognized net investment loss of $10,259,832, compared to net investment loss of $6,887,733 for the nine months ended September 30, 2019. The change between periods resulted from the increase in operating expenses, and to a lesser extent, the decrease in total investment income between periods, as discussed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on Investments</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recognized a net realized gain on our investments of $2,378,390, compared to net realized gain of $1,772,961 for the three months ended September 30, 2019. The components of our net realized gains/losses on portfolio investments for the three months ended September 30, 2020 and 2019, excluding U.S. Treasury investments, are reflected in the tables above, under “—Portfolio and Investment Activity.”</w:t>
      </w:r>
    </w:p>
    <w:p>
      <w:pPr>
        <w:spacing w:after="0" w:line="20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recognized a net realized gain on our investments of $9,332,643, compared to net realized gain of $11,297,501 for the nine months ended September 30, 2019. The components of our net realized gains/losses on portfolio investments for the nine months ended September 30, 2020 and 2019, excluding U.S. Treasury investments, are reflected in the tables above, under “—Portfolio and Investment Activity.”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we had a net increase in unrealized appreciation/depreciation of $16,129,442. For the three months ended September 30, 2019, we had a net increase in unrealized appreciation/depreciation of $8,190,695. The following tables summarize, by portfolio company, the significant changes in unrealized appreciation and/or depreciation of our investment portfolio for the three months ended September 30, 2020 and 2019.</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Appreciation/(Depreciation) For the</w:t>
            </w:r>
          </w:p>
        </w:tc>
        <w:tc>
          <w:tcPr>
            <w:tcW w:w="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Appreciation/(Depreciation) For the</w:t>
            </w: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1"/>
                <w:szCs w:val="11"/>
                <w:color w:val="auto"/>
              </w:rPr>
            </w:pPr>
          </w:p>
        </w:tc>
        <w:tc>
          <w:tcPr>
            <w:tcW w:w="32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9"/>
        </w:trPr>
        <w:tc>
          <w:tcPr>
            <w:tcW w:w="3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17,207,689</w:t>
            </w:r>
          </w:p>
        </w:tc>
        <w:tc>
          <w:tcPr>
            <w:tcW w:w="10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Ozy Media, Inc.</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15,923,894</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Palantir Lending Trust SPV I</w:t>
            </w:r>
          </w:p>
        </w:tc>
        <w:tc>
          <w:tcPr>
            <w:tcW w:w="22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1,684,485</w:t>
            </w:r>
          </w:p>
        </w:tc>
        <w:tc>
          <w:tcPr>
            <w:tcW w:w="1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Coursera, Inc.</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4,134,653</w:t>
            </w: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Aspiration Partners, Inc.</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(1,385,751)</w:t>
            </w: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Aspiration Partners, Inc.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1,781,970</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Course Hero, Inc.</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(1,412,210)</w:t>
            </w:r>
          </w:p>
        </w:tc>
        <w:tc>
          <w:tcPr>
            <w:tcW w:w="1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Enjoy, Inc.</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(1,179,097)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(1,395,434)</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Course Hero, Inc.</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(2,795,495)</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(3,497,620)</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Lyft, Inc.</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(6,579,582)</w:t>
            </w:r>
          </w:p>
        </w:tc>
        <w:tc>
          <w:tcPr>
            <w:tcW w:w="0" w:type="dxa"/>
            <w:vAlign w:val="bottom"/>
          </w:tcPr>
          <w:p>
            <w:pPr>
              <w:spacing w:after="0"/>
              <w:rPr>
                <w:sz w:val="1"/>
                <w:szCs w:val="1"/>
                <w:color w:val="auto"/>
              </w:rPr>
            </w:pPr>
          </w:p>
        </w:tc>
      </w:tr>
      <w:tr>
        <w:trPr>
          <w:trHeight w:val="219"/>
        </w:trPr>
        <w:tc>
          <w:tcPr>
            <w:tcW w:w="326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35,229</w:t>
            </w: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1,797,406</w:t>
            </w: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16,129,442</w:t>
            </w:r>
          </w:p>
        </w:tc>
        <w:tc>
          <w:tcPr>
            <w:tcW w:w="1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8,190,695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7" w:lineRule="exact"/>
        <w:rPr>
          <w:sz w:val="20"/>
          <w:szCs w:val="20"/>
          <w:color w:val="auto"/>
        </w:rPr>
      </w:pPr>
    </w:p>
    <w:p>
      <w:pPr>
        <w:ind w:left="500" w:hanging="492"/>
        <w:spacing w:after="0" w:line="24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ind w:left="500" w:hanging="492"/>
        <w:spacing w:after="0" w:line="258"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investments (including U.S. Treasury bills) for which individual change in unrealized appreciation/(depreciation) was less than $1.0 million for the three months ended September 30, 2020 and 2019.</w:t>
      </w:r>
    </w:p>
    <w:p>
      <w:pPr>
        <w:spacing w:after="0" w:line="20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2020, we had a net increase in unrealized appreciation/depreciation of $14,985,703. For the nine months ended September 30, 2019, we had a net increase in unrealized appreciation/depreciation of $16,450,126. The following tables summarize, by portfolio company, the significant changes in unrealized appreciation and/or depreciation of our investment portfolio for the nine months ended September 30, 2020 and 2019.</w:t>
      </w:r>
    </w:p>
    <w:tbl>
      <w:tblPr>
        <w:tblLayout w:type="fixed"/>
        <w:tblInd w:w="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Appreciation/(Depreciation) For the</w:t>
            </w:r>
          </w:p>
        </w:tc>
        <w:tc>
          <w:tcPr>
            <w:tcW w:w="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Appreciation/(Depreciation) For the</w:t>
            </w: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1"/>
                <w:szCs w:val="11"/>
                <w:color w:val="auto"/>
              </w:rPr>
            </w:pPr>
          </w:p>
        </w:tc>
        <w:tc>
          <w:tcPr>
            <w:tcW w:w="32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3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Coursera, Inc.</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16,287,974</w:t>
            </w:r>
          </w:p>
        </w:tc>
        <w:tc>
          <w:tcPr>
            <w:tcW w:w="1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Ozy Media, Inc.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13,401,030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16,168,424</w:t>
            </w:r>
          </w:p>
        </w:tc>
        <w:tc>
          <w:tcPr>
            <w:tcW w:w="1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12,334,151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6,144,812</w:t>
            </w: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Coursera, Inc.</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11,656,879</w:t>
            </w:r>
          </w:p>
        </w:tc>
        <w:tc>
          <w:tcPr>
            <w:tcW w:w="0" w:type="dxa"/>
            <w:vAlign w:val="bottom"/>
          </w:tcPr>
          <w:p>
            <w:pPr>
              <w:spacing w:after="0"/>
              <w:rPr>
                <w:sz w:val="1"/>
                <w:szCs w:val="1"/>
                <w:color w:val="auto"/>
              </w:rPr>
            </w:pPr>
          </w:p>
        </w:tc>
      </w:tr>
      <w:tr>
        <w:trPr>
          <w:trHeight w:val="21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SharesPost, Inc.</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2,369,329</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Aspiration Partners, Inc.</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6,814,794</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Palantir Lending Trust SPV I</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1,684,056</w:t>
            </w: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Parchment, Inc.</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3,098,469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4C Insights (f/k/a The Echo Systems Corp.)</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1,414,905</w:t>
            </w:r>
          </w:p>
        </w:tc>
        <w:tc>
          <w:tcPr>
            <w:tcW w:w="1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Knewton, Inc.</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2,979,116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StormWind, LLC</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(1,221,858)</w:t>
            </w: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Enjoy Technology, Inc.</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2,445,855</w:t>
            </w:r>
          </w:p>
        </w:tc>
        <w:tc>
          <w:tcPr>
            <w:tcW w:w="0" w:type="dxa"/>
            <w:vAlign w:val="bottom"/>
          </w:tcPr>
          <w:p>
            <w:pPr>
              <w:spacing w:after="0"/>
              <w:rPr>
                <w:sz w:val="1"/>
                <w:szCs w:val="1"/>
                <w:color w:val="auto"/>
              </w:rPr>
            </w:pPr>
          </w:p>
        </w:tc>
      </w:tr>
      <w:tr>
        <w:trPr>
          <w:trHeight w:val="21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(1,307,690)</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SharesPost, Inc.</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1,896,703</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(1,334,699)</w:t>
            </w: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Course Hero, Inc.</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1,867,480</w:t>
            </w:r>
          </w:p>
        </w:tc>
        <w:tc>
          <w:tcPr>
            <w:tcW w:w="0" w:type="dxa"/>
            <w:vAlign w:val="bottom"/>
          </w:tcPr>
          <w:p>
            <w:pPr>
              <w:spacing w:after="0"/>
              <w:rPr>
                <w:sz w:val="1"/>
                <w:szCs w:val="1"/>
                <w:color w:val="auto"/>
              </w:rPr>
            </w:pPr>
          </w:p>
        </w:tc>
      </w:tr>
      <w:tr>
        <w:trPr>
          <w:trHeight w:val="21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(2,374,341)</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Nextdoor.com, Inc.</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1,026,754</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Treehouse Real Estate Investment Trust, Inc.</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(3,501,442)</w:t>
            </w: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CUX, Inc. (d/b/a CorpU)</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(1,918,228)</w:t>
            </w:r>
          </w:p>
        </w:tc>
        <w:tc>
          <w:tcPr>
            <w:tcW w:w="0" w:type="dxa"/>
            <w:vAlign w:val="bottom"/>
          </w:tcPr>
          <w:p>
            <w:pPr>
              <w:spacing w:after="0"/>
              <w:rPr>
                <w:sz w:val="1"/>
                <w:szCs w:val="1"/>
                <w:color w:val="auto"/>
              </w:rPr>
            </w:pPr>
          </w:p>
        </w:tc>
      </w:tr>
      <w:tr>
        <w:trPr>
          <w:trHeight w:val="21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Ozy Media, Inc.</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(5,364,897)</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(2,433,599)</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(6,515,508)</w:t>
            </w: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Lyft, Inc.</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(3,161,096)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Parchment, Inc.</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(6,895,603)</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Palantir Technologies, Inc.</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(3,683,785)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(3,749,441)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Dropbox, Inc.</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(4,219,119)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(6,015,388)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(16,711,276)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(567,759)</w:t>
            </w: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820,827</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14,985,703</w:t>
            </w:r>
          </w:p>
        </w:tc>
        <w:tc>
          <w:tcPr>
            <w:tcW w:w="1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16,450,126</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1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58"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hanging="492"/>
        <w:spacing w:after="0" w:line="282"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investments (including U.S. Treasury bills) for which individual change in unrealized appreciation/(depreciation) was less than $1.0 million for the nine months ended September 30, 2020 and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condensed consolidated financial statements as of September 30, 2020 for details regarding activity in our investment portfolio from October 1, 2020 through November 6, 2020.</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8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25, 2020, the Company’s Board of Directors declared a dividend of $0.25 per share paid, in cash, on October 20, 2020 to stockholders of record as of the close of business on October 5, 2020.</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28, 2020, the Company’s Board of Directors declared a dividend of $0.25 per share payable on November 30, 2020 to stockholders of record as of the close of business on November 10, 2020. The dividend will be paid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4.75% Convertible Senior Notes due 2023</w:t>
      </w:r>
    </w:p>
    <w:p>
      <w:pPr>
        <w:spacing w:after="0" w:line="25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Effective as of October 5, 2020, the conversion price applicable to the 4.75% Convertible Senior Notes due 2023 was adjusted to $9.84 per share (101.6664 shares of the Company’s common stock per $1,000 principal amount of the 4.75% Convertible Senior Notes due 2023) from the most recent conversion price of $10.10 per share (99.0298 shares of the Company’s common stock per $1,000 principal amount of the 4.75% Convertible Senior Notes due 2023), which had been in effect since August 11, 2020. The adjustment to the conversion rate of the 4.75% Convertible Senior Notes due 2023 was made pursuant to the supplemental indenture governing the 4.75% Convertible Senior Notes due 2023 as a result of the Company’s cash dividend of $0.25 per share, paid on October 20, 2020 to stockholders of record as of the close of business on October 5, 2020.</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through November 6, 2020, the Company issued 495 shares of its common stock and cash for fractional shares upon the conversion of $5,000 in aggregate principal amount of the 4.75% Convertible Senior Notes due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shares our common stock.</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 — Common Stock" for additional information on the Share Repurchase Program.</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October 1, 2020 through November 6, 2020, the Company repurchased 371,283 additional shares under the Share Repurchase Program for an aggregate purchase price of $3.1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through November 6, 2020, the Company did not sell or issue any Shares under the ATM Program (as defined below). As of November 6, 2020, up to approximately $99.1 million in aggregate amount of the Shares remain available for sale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been closely monitoring the COVID-19 pandemic, its broader impact on the global economy and the more recent impacts on the U.S. economy. Subsequent to September 30,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6, 2020, there is no indication of a reportable subsequent event impacting the Company’s financial statements for the three months ended September 30, 2020. The Company continues to observe and respond to the evolving COVID-19 environment and its potential impact on areas across its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the net proceeds from public offerings of our equity and debt securities. Our $12.0 million Credit Facility matured and expired on May 31, 2019 and no amounts were outstanding under the Credit Facility as of such date. See “Note 10—Debt Capital Activities.” In addition, on March 28, 2018, we issued $40.0 million aggregate principal amount of 4.75% Convertible Senior Notes due 2023, as discussed further below and in “Note 10—Debt Capital Activities” to our condensed consolidated financial statements as of September 30, 2020.</w:t>
      </w:r>
    </w:p>
    <w:p>
      <w:pPr>
        <w:spacing w:after="0" w:line="210"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nine months ended September 30, 2020, our operating expenses were $11,161,216, including compensation expense related to the cancellation of the options granted under the 2019 Equity Incentive Plan. For the nine months ended September 30, 2019, our operating expenses were $7,983,161, net of incentive fee accrual.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22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6"/>
                <w:szCs w:val="16"/>
                <w:color w:val="auto"/>
              </w:rPr>
            </w:pPr>
          </w:p>
        </w:tc>
        <w:tc>
          <w:tcPr>
            <w:tcW w:w="16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5"/>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60,595,499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44,861,263</w:t>
            </w:r>
          </w:p>
        </w:tc>
      </w:tr>
      <w:tr>
        <w:trPr>
          <w:trHeight w:val="21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Unrestricted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Subject to other sales restrictions</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39,492,040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46,662,051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107,257,550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44,861,263</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cash increased to $60,595,499 from $44,861,263 at the beginning of the year. The increase in cash was primarily due to proceeds from the sale of our common stock and proceeds and other escrow receipts, interest income, and dividends received from our investments, offset by cash used to purchase investments, pay dividends, repurchase our common stock under the Share Repurchase Program, make interest payments related to our 4.75% Convertible Senior Notes due 2023, and pay operating expenses.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September 30,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xml:space="preserve">Payments Due By Period </w:t>
            </w:r>
            <w:r>
              <w:rPr>
                <w:rFonts w:ascii="Times New Roman" w:cs="Times New Roman" w:eastAsia="Times New Roman" w:hAnsi="Times New Roman"/>
                <w:sz w:val="16"/>
                <w:szCs w:val="16"/>
                <w:b w:val="1"/>
                <w:bCs w:val="1"/>
                <w:i w:val="1"/>
                <w:iCs w:val="1"/>
                <w:color w:val="auto"/>
              </w:rPr>
              <w:t>( in millions)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20" w:type="dxa"/>
            <w:vAlign w:val="bottom"/>
          </w:tcPr>
          <w:p>
            <w:pPr>
              <w:spacing w:after="0"/>
              <w:rPr>
                <w:sz w:val="13"/>
                <w:szCs w:val="13"/>
                <w:color w:val="auto"/>
              </w:rPr>
            </w:pPr>
          </w:p>
        </w:tc>
        <w:tc>
          <w:tcPr>
            <w:tcW w:w="12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Payable for securities purchased</w:t>
            </w:r>
            <w:r>
              <w:rPr>
                <w:rFonts w:ascii="Times New Roman" w:cs="Times New Roman" w:eastAsia="Times New Roman" w:hAnsi="Times New Roman"/>
                <w:sz w:val="21"/>
                <w:szCs w:val="21"/>
                <w:color w:val="auto"/>
                <w:vertAlign w:val="superscript"/>
              </w:rPr>
              <w:t>(1)</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Convertible Senior Notes</w:t>
            </w:r>
            <w:r>
              <w:rPr>
                <w:rFonts w:ascii="Times New Roman" w:cs="Times New Roman" w:eastAsia="Times New Roman" w:hAnsi="Times New Roman"/>
                <w:sz w:val="21"/>
                <w:szCs w:val="21"/>
                <w:color w:val="auto"/>
                <w:vertAlign w:val="superscript"/>
              </w:rPr>
              <w:t>(2)</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7" w:lineRule="exact"/>
        <w:rPr>
          <w:sz w:val="20"/>
          <w:szCs w:val="20"/>
          <w:color w:val="auto"/>
        </w:rPr>
      </w:pPr>
    </w:p>
    <w:p>
      <w:pPr>
        <w:ind w:left="500" w:hanging="492"/>
        <w:spacing w:after="0" w:line="241"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for securities purchased” relates to the purchase of U.S. Treasury bills on margin and repurchase of our common stock under the Share Repurchase Program. This balance was subsequently repaid in early October 2020, when the $150.0 million United States Treasury bill matured and the $15.8 million margin deposit that we posted as collateral was returned.</w:t>
      </w:r>
    </w:p>
    <w:p>
      <w:pPr>
        <w:ind w:left="500" w:hanging="492"/>
        <w:spacing w:after="0" w:line="258"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shown for the "Convertible Senior Notes" reflects the principal balance payable to investors for the 4.75% Convertible Senior Notes due 2023 as of September 30, 2020. Refer to “Note 10—Debt Capital Activities” to our condensed consolidated financial statements as of September 30, 2020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repurchased 1,284,565 shares of our common stock pursuant to the Share Repurchase Program. As of September 30, 2020, the dollar value of shares that remained available to be purchased under the Share Repurchase Program was approximately $2.7 million.</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Recent Developments" and "Part II. Item 2. Unregistered Sales of Equity Securities and Use of Proceeds".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of September 30, 2020, we had no off-balance sheet arrangements, including any risk management of commodity pricing or other hedging practices. However, we may employ hedging and other risk management techniques in the future.</w:t>
      </w:r>
    </w:p>
    <w:p>
      <w:pPr>
        <w:spacing w:after="0" w:line="185"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5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$50,000,000 in aggregate amount of shares of its common stock (the "Shares") from time to time through the Agents or to them as principal for their own account (the "ATM Program"). On September 23, 2020, the Company increased the maximum amount of Shares to be sold through the ATM Program to $150,000,000 from $50,000,000. In connection with the upsize of the ATM Program to $150,000,000,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issued and sold 3,808,979 Shares under the ATM Program at a weighted-average price of $13.36 per share, for gross proceeds of $50,900,326 and net proceeds of $49,882,319, after deducting commissions to the Agents on Shares sold. As of September 30, 2020, up to approximately $99.1 million in aggregate amount of the Shares remain available for sale under the ATM Program. Refer to “—Recent Developments” and “Note 5—Common Stock” to our condensed consolidated financial statements as of September 30, 2020 for more information regarding the ATM Program.</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$37.3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 Refer to “—Recent Developments” and “Note 10—Debt Capital Activities” to our condensed consolidated financial statements as of September 30, 2020 for more information regarding the 4.75% Convertible Senior Notes due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2020. Refer to “—Recent Developments” for additional information regarding our distributions.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 per Share</w:t>
            </w:r>
          </w:p>
        </w:tc>
      </w:tr>
      <w:tr>
        <w:trPr>
          <w:trHeight w:val="212"/>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2015:</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16"/>
        </w:trPr>
        <w:tc>
          <w:tcPr>
            <w:tcW w:w="48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1"/>
                <w:szCs w:val="21"/>
                <w:color w:val="auto"/>
                <w:vertAlign w:val="superscript"/>
              </w:rPr>
              <w:t>(1)</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16, 2015</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6"/>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1"/>
                <w:szCs w:val="21"/>
                <w:color w:val="auto"/>
                <w:vertAlign w:val="superscript"/>
              </w:rPr>
              <w:t>(2)</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2016</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24, 2016</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6"/>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November 5, 2019</w:t>
            </w:r>
            <w:r>
              <w:rPr>
                <w:rFonts w:ascii="Times New Roman" w:cs="Times New Roman" w:eastAsia="Times New Roman" w:hAnsi="Times New Roman"/>
                <w:sz w:val="21"/>
                <w:szCs w:val="21"/>
                <w:color w:val="auto"/>
                <w:vertAlign w:val="superscript"/>
              </w:rPr>
              <w:t>(3)</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 2019</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12, 2019</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16"/>
        </w:trPr>
        <w:tc>
          <w:tcPr>
            <w:tcW w:w="48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December 20, 2019</w:t>
            </w:r>
            <w:r>
              <w:rPr>
                <w:rFonts w:ascii="Times New Roman" w:cs="Times New Roman" w:eastAsia="Times New Roman" w:hAnsi="Times New Roman"/>
                <w:sz w:val="21"/>
                <w:szCs w:val="21"/>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2019</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January 15, 2020</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4800" w:type="dxa"/>
            <w:vAlign w:val="bottom"/>
            <w:gridSpan w:val="2"/>
            <w:shd w:val="clear" w:color="auto" w:fill="CCEEFF"/>
          </w:tcPr>
          <w:p>
            <w:pPr>
              <w:ind w:left="180"/>
              <w:spacing w:after="0" w:line="218" w:lineRule="exact"/>
              <w:rPr>
                <w:sz w:val="20"/>
                <w:szCs w:val="20"/>
                <w:color w:val="auto"/>
              </w:rPr>
            </w:pPr>
            <w:r>
              <w:rPr>
                <w:rFonts w:ascii="Times New Roman" w:cs="Times New Roman" w:eastAsia="Times New Roman" w:hAnsi="Times New Roman"/>
                <w:sz w:val="16"/>
                <w:szCs w:val="16"/>
                <w:color w:val="auto"/>
              </w:rPr>
              <w:t>July 29, 2020</w:t>
            </w:r>
            <w:r>
              <w:rPr>
                <w:rFonts w:ascii="Times New Roman" w:cs="Times New Roman" w:eastAsia="Times New Roman" w:hAnsi="Times New Roman"/>
                <w:sz w:val="21"/>
                <w:szCs w:val="21"/>
                <w:color w:val="auto"/>
                <w:vertAlign w:val="superscript"/>
              </w:rPr>
              <w:t>(5)</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11, 2020</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25, 2020</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6"/>
        </w:trPr>
        <w:tc>
          <w:tcPr>
            <w:tcW w:w="4800" w:type="dxa"/>
            <w:vAlign w:val="bottom"/>
            <w:tcBorders>
              <w:bottom w:val="single" w:sz="8" w:color="CCEEFF"/>
            </w:tcBorders>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September 25, 2020</w:t>
            </w:r>
            <w:r>
              <w:rPr>
                <w:rFonts w:ascii="Times New Roman" w:cs="Times New Roman" w:eastAsia="Times New Roman" w:hAnsi="Times New Roman"/>
                <w:sz w:val="21"/>
                <w:szCs w:val="21"/>
                <w:color w:val="auto"/>
                <w:vertAlign w:val="superscript"/>
              </w:rPr>
              <w:t>(6)</w:t>
            </w:r>
          </w:p>
        </w:tc>
        <w:tc>
          <w:tcPr>
            <w:tcW w:w="2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5, 2020</w:t>
            </w:r>
          </w:p>
        </w:tc>
        <w:tc>
          <w:tcPr>
            <w:tcW w:w="22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 2020</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3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jc w:val="both"/>
        <w:ind w:left="340" w:hanging="332"/>
        <w:spacing w:after="0" w:line="241" w:lineRule="auto"/>
        <w:tabs>
          <w:tab w:leader="none" w:pos="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distribution of $887,240 paid on August 24, 2016, $820,753 represented a distribution from realized gains, and $66,487 represented a return of capital.</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$3,512,849 distribution paid on December 12, 2019 represented a distribution from realized gains. None of the distribution represented a return of capital.</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$2,107,709 distribution paid on January 15, 2020 represented a distribution from realized gains. None of the distribution represented a return of capital.</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$2,516,453 distribution paid on August 25, 2020 represented a distribution from realized gains related to 2019 investment activity. None of the distribution represented a return of capital.</w:t>
      </w: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$5,071,327 distribution paid on October 20, 2020 represented a distribution from realized gains. None of the distribution represented a return of capital.</w:t>
      </w:r>
    </w:p>
    <w:p>
      <w:pPr>
        <w:spacing w:after="0" w:line="23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21"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condensed consolidated financial statements as of September 30, 2020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2020 for further detail regarding our critical accounting policies and recently issued or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September 30, 2020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2020, all of our debt investments and outstanding borrowings bore fixed rates of interest.</w:t>
      </w:r>
    </w:p>
    <w:p>
      <w:pPr>
        <w:spacing w:after="0" w:line="2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As of September 30, 2020,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34"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lawsuits and claims incidental to the conduct of our business. Our business is also subject to extensive regulation, which may result in regulatory proceedings against us. We are not currently a party to any material legal proceedings.</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2019, filed with the SEC on March 13, 2020, which could materially affect our business, financial condition and/or operating results. Although the risks described below and in our annual report on Form 10-K for the fiscal year ended December 31, 2019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nine months ended September 30, 2020, there have been no material changes to the risk factors discussed in "Item 1A. Risk Factors" of Part I of our annual report on Form 10-K for the fiscal year ended December 31, 2019.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materially and adversely affect our portfolio companies and the results of our operations.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late 2019 and early 2020, SARS-CoV-2 and COVID-19 emerged in China and spread rapidly across the world, including the U.S. This outbreak has led, and for an unknown period of time will continue to lead, to disruptions in local, regional, national and global markets and economies affected thereby. The spread of COVID-19 has caused quarantines, cancellation of events and travel, business and school shutdowns, reduction in business activity and financial transactions, labor shortages, supply chain interruptions and overall economic and financial market instability. The COVID-19 outbreak may disrupt our operations through its impact on our employees, our portfolio companies and their businesses, and certain industries in which our portfolio companies operate.</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outbreak has resulted in, and until fully resolved is likely to continue to result in, among other things, government imposition of various forms of “stay at home” orders and the closing of “non-essential” businesses, resulting in significant disruption to many businesses including supply chains, demand and practical aspects of their operations, as well as in lay-offs of employees. While these effects are hoped to be temporary, some effects could be persistent or even permanent. Rapidly evolving proposals and/or actions by state and federal governments to address problems being experienced by the markets and by businesses and the economy in general may not necessarily be adequate to address the problems facing impacted businesses. This outbreak and any future outbreaks could have an adverse impact on our portfolio companies and us and on the markets and the economy in general, and that impact could be material.</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from an operational perspective, our employees are currently working remotely. An extended period of remote work arrangements could strain our business continuity plans, introduce operational risk, including but not limited to cybersecurity risks, and impair our ability to manage our business. In addition, we are highly dependent on third party service providers for certain communication and information systems. As a result, we rely upon the successful implementation and execution of the business continuity planning of such providers in the current environment. If one or more of these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travel and transportation, all of which are uncertain and cannot be predicted. An extended period of global supply chain and economic disruption could materially affect our business, results of operations, access to sources of liquidity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global outbreak of COVID-19 that began in early 2020. The global impact of the outbreak is rapidly evolving, and many countries have reacted by instituting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assess.Some economists and major investment banks have expressed concern that the continued spread of the virus globally could lead to a world-wide economic downturn.</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Disruptions in the capital markets have increased the spread between the yields realized on risk-free and higher risk securities, resulting in illiquidity in parts of the capital markets. These and future market disruptions and/or illiquidity could have an adverse effect on our business, financial condition, results of operations and cash flows. Unfavorable economic conditions could also increase our funding costs, limit our access to the capital markets or result in a decision by lenders not to extend credit to us. These events could limit our investment originations and ability to grow, and have a material negative impact on our operating results and the fair values of our investments.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recent disruption in economic activity caused by the COVID-19 pandemic may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developments in the credit markets may impair our ability to secure debt financing.</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including entering into credit facilities, to enhance our liquidity and/or finance the growth of our investments on acceptable economic terms, or at all, which could have an adverse impact on us and our operations.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 far, the COVID-19 pandemic has resulted in, and until fully resolved is likely to continue to result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able to consummate a credit facility, but unable to repay amounts outstanding thereunder and are declared in default or are unable to renew or refinance any such credit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nine months ended September 30, 2020 is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38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20" w:type="dxa"/>
            <w:vAlign w:val="bottom"/>
            <w:gridSpan w:val="3"/>
          </w:tcPr>
          <w:p>
            <w:pPr>
              <w:jc w:val="center"/>
              <w:ind w:right="210"/>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Under the Share</w:t>
            </w: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20" w:type="dxa"/>
            <w:vAlign w:val="bottom"/>
            <w:gridSpan w:val="3"/>
          </w:tcPr>
          <w:p>
            <w:pPr>
              <w:jc w:val="center"/>
              <w:ind w:right="210"/>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2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3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4,997,307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through February 28,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4,997,307</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6,288,063</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through April 30,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2,846,049</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through May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through June 30,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through July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2,671,455</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through August 31,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September 1 through September 30, 2020</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2,671,455</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we repurchased 1,284,565 shares of our common stock pursuant to the Share Repurchase Program.</w:t>
      </w: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8" w:lineRule="exact"/>
        <w:rPr>
          <w:sz w:val="20"/>
          <w:szCs w:val="20"/>
          <w:color w:val="auto"/>
        </w:rPr>
      </w:pPr>
    </w:p>
    <w:p>
      <w:pPr>
        <w:jc w:val="both"/>
        <w:ind w:left="500" w:hanging="492"/>
        <w:spacing w:after="0" w:line="241"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2020, the Company repurchased 0 and 1,284,565, respectively, shares of the Company’s common stock pursuant to the Share Repurchase Program. As of September 30, 2020, the dollar value of shares that remained available to be purchased by the Company under the Share Repurchase Program was approximately $2.7 million.</w:t>
      </w:r>
    </w:p>
    <w:p>
      <w:pPr>
        <w:spacing w:after="0" w:line="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purchases of our common stock made on the open market by or on behalf of any “affiliated purchaser,” as defined in Exchange Act Rule 10b-18(a)(3), of the Company.</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44"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quarter-end, on October 28, 2020, our Board of Directors authorized a $10.0 million increase in the amount of shares of our common stock that may be repurchased under the discretionary Share Repurchase Program until the earlier of (i) October 28, 2021 or (ii) the repurchase of $40.0 million in aggregate amount of our common stock. This additional $10.0 million allocation is not included in the approximate dollar value of shares that may yet be purchased under the Share Repurchase Program as of September 30, 2020. From October 1, 2020 through November 6, 2020, we repurchased an additional 371,283 shares under the Share Repurchase Program for an aggregate purchase price of $3.1 million. As of November 6, 2020, the dollar value of shares that may yet be purchased by us under the Share Repurchase Program is approximately $9.6 million. Refer to “Part I, Item 2. Management’s Discussion and Analysis of Financial Condition and Results of Operations—Recent Developments”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139"/>
          </w:cols>
          <w:pgMar w:left="320" w:top="118" w:right="1440" w:bottom="1440" w:gutter="0" w:footer="0" w:header="0"/>
        </w:sectPr>
      </w:pPr>
    </w:p>
    <w:bookmarkStart w:id="75" w:name="page76"/>
    <w:bookmarkEnd w:id="75"/>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29" w:lineRule="exact"/>
        <w:rPr>
          <w:sz w:val="20"/>
          <w:szCs w:val="20"/>
          <w:color w:val="auto"/>
        </w:rPr>
      </w:pPr>
    </w:p>
    <w:p>
      <w:pPr>
        <w:ind w:left="220"/>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93">
        <w:r>
          <w:rPr>
            <w:rFonts w:ascii="Times New Roman" w:cs="Times New Roman" w:eastAsia="Times New Roman" w:hAnsi="Times New Roman"/>
            <w:sz w:val="17"/>
            <w:szCs w:val="17"/>
            <w:u w:val="single" w:color="auto"/>
            <w:color w:val="0000FF"/>
          </w:rPr>
          <w:t>Articles of Amendment and Restatement</w:t>
        </w:r>
      </w:hyperlink>
      <w:r>
        <w:rPr>
          <w:rFonts w:ascii="Times New Roman" w:cs="Times New Roman" w:eastAsia="Times New Roman" w:hAnsi="Times New Roman"/>
          <w:sz w:val="22"/>
          <w:szCs w:val="22"/>
          <w:color w:val="000000"/>
          <w:vertAlign w:val="superscript"/>
        </w:rPr>
        <w:t>(1)</w:t>
      </w:r>
    </w:p>
    <w:p>
      <w:pPr>
        <w:ind w:left="220"/>
        <w:spacing w:after="0" w:line="217" w:lineRule="auto"/>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94">
        <w:r>
          <w:rPr>
            <w:rFonts w:ascii="Times New Roman" w:cs="Times New Roman" w:eastAsia="Times New Roman" w:hAnsi="Times New Roman"/>
            <w:sz w:val="17"/>
            <w:szCs w:val="17"/>
            <w:u w:val="single" w:color="auto"/>
            <w:color w:val="0000FF"/>
          </w:rPr>
          <w:t>Articles of Amendment</w:t>
        </w:r>
      </w:hyperlink>
      <w:r>
        <w:rPr>
          <w:rFonts w:ascii="Times New Roman" w:cs="Times New Roman" w:eastAsia="Times New Roman" w:hAnsi="Times New Roman"/>
          <w:sz w:val="22"/>
          <w:szCs w:val="22"/>
          <w:color w:val="000000"/>
          <w:vertAlign w:val="superscript"/>
        </w:rPr>
        <w:t>(2)</w:t>
      </w:r>
    </w:p>
    <w:p>
      <w:pPr>
        <w:ind w:left="220"/>
        <w:spacing w:after="0" w:line="218" w:lineRule="auto"/>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95">
        <w:r>
          <w:rPr>
            <w:rFonts w:ascii="Times New Roman" w:cs="Times New Roman" w:eastAsia="Times New Roman" w:hAnsi="Times New Roman"/>
            <w:sz w:val="17"/>
            <w:szCs w:val="17"/>
            <w:u w:val="single" w:color="auto"/>
            <w:color w:val="0000FF"/>
          </w:rPr>
          <w:t>Articles of Amendment</w:t>
        </w:r>
      </w:hyperlink>
      <w:r>
        <w:rPr>
          <w:rFonts w:ascii="Times New Roman" w:cs="Times New Roman" w:eastAsia="Times New Roman" w:hAnsi="Times New Roman"/>
          <w:sz w:val="22"/>
          <w:szCs w:val="22"/>
          <w:color w:val="000000"/>
          <w:vertAlign w:val="superscript"/>
        </w:rPr>
        <w:t>(3)</w:t>
      </w:r>
    </w:p>
    <w:p>
      <w:pPr>
        <w:ind w:left="220"/>
        <w:spacing w:after="0" w:line="189" w:lineRule="auto"/>
        <w:tabs>
          <w:tab w:leader="none" w:pos="66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96">
        <w:r>
          <w:rPr>
            <w:rFonts w:ascii="Times New Roman" w:cs="Times New Roman" w:eastAsia="Times New Roman" w:hAnsi="Times New Roman"/>
            <w:sz w:val="15"/>
            <w:szCs w:val="15"/>
            <w:u w:val="single" w:color="auto"/>
            <w:color w:val="0000FF"/>
          </w:rPr>
          <w:t>Articles of Amendment</w:t>
        </w:r>
      </w:hyperlink>
      <w:r>
        <w:rPr>
          <w:rFonts w:ascii="Times New Roman" w:cs="Times New Roman" w:eastAsia="Times New Roman" w:hAnsi="Times New Roman"/>
          <w:sz w:val="19"/>
          <w:szCs w:val="19"/>
          <w:color w:val="000000"/>
          <w:vertAlign w:val="superscript"/>
        </w:rPr>
        <w:t>(4)</w:t>
      </w:r>
    </w:p>
    <w:p>
      <w:pPr>
        <w:ind w:left="220"/>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97">
        <w:r>
          <w:rPr>
            <w:rFonts w:ascii="Times New Roman" w:cs="Times New Roman" w:eastAsia="Times New Roman" w:hAnsi="Times New Roman"/>
            <w:sz w:val="17"/>
            <w:szCs w:val="17"/>
            <w:u w:val="single" w:color="auto"/>
            <w:color w:val="0000FF"/>
          </w:rPr>
          <w:t>Second Amended and Restated Bylaws</w:t>
        </w:r>
      </w:hyperlink>
      <w:r>
        <w:rPr>
          <w:rFonts w:ascii="Times New Roman" w:cs="Times New Roman" w:eastAsia="Times New Roman" w:hAnsi="Times New Roman"/>
          <w:sz w:val="22"/>
          <w:szCs w:val="22"/>
          <w:u w:val="single" w:color="auto"/>
          <w:color w:val="0000FF"/>
          <w:vertAlign w:val="superscript"/>
        </w:rPr>
        <w:t>(4)</w:t>
      </w:r>
    </w:p>
    <w:p>
      <w:pPr>
        <w:spacing w:after="0" w:line="31" w:lineRule="exact"/>
        <w:rPr>
          <w:sz w:val="20"/>
          <w:szCs w:val="20"/>
          <w:color w:val="auto"/>
        </w:rPr>
      </w:pPr>
    </w:p>
    <w:p>
      <w:pPr>
        <w:ind w:left="680" w:right="120" w:hanging="505"/>
        <w:spacing w:after="0" w:line="213" w:lineRule="auto"/>
        <w:tabs>
          <w:tab w:leader="none" w:pos="6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w:t>
      </w:r>
      <w:r>
        <w:rPr>
          <w:sz w:val="20"/>
          <w:szCs w:val="20"/>
          <w:color w:val="auto"/>
        </w:rPr>
        <w:tab/>
      </w:r>
      <w:hyperlink r:id="rId98">
        <w:r>
          <w:rPr>
            <w:rFonts w:ascii="Times New Roman" w:cs="Times New Roman" w:eastAsia="Times New Roman" w:hAnsi="Times New Roman"/>
            <w:sz w:val="18"/>
            <w:szCs w:val="18"/>
            <w:u w:val="single" w:color="auto"/>
            <w:color w:val="0000FF"/>
          </w:rPr>
          <w:t>Amendment No. 1 to the At-the-Market Sales Agreement, dated as of September 23, 2020, by and among SuRo Capital Corp., BTIG, LLC, JMP</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Securities LLC, and Ladenburg Thalmann &amp; Co., Inc.</w:t>
        </w:r>
        <w:r>
          <w:rPr>
            <w:rFonts w:ascii="Times New Roman" w:cs="Times New Roman" w:eastAsia="Times New Roman" w:hAnsi="Times New Roman"/>
            <w:sz w:val="23"/>
            <w:szCs w:val="23"/>
            <w:color w:val="000000"/>
            <w:vertAlign w:val="superscript"/>
          </w:rPr>
          <w:t>(5)</w:t>
        </w:r>
      </w:hyperlink>
    </w:p>
    <w:p>
      <w:pPr>
        <w:spacing w:after="0" w:line="2" w:lineRule="exact"/>
        <w:rPr>
          <w:sz w:val="20"/>
          <w:szCs w:val="20"/>
          <w:color w:val="auto"/>
        </w:rPr>
      </w:pPr>
    </w:p>
    <w:p>
      <w:pPr>
        <w:ind w:left="180"/>
        <w:spacing w:after="0"/>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78">
        <w:r>
          <w:rPr>
            <w:rFonts w:ascii="Times New Roman" w:cs="Times New Roman" w:eastAsia="Times New Roman" w:hAnsi="Times New Roman"/>
            <w:sz w:val="18"/>
            <w:szCs w:val="18"/>
            <w:u w:val="single" w:color="auto"/>
            <w:color w:val="0000FF"/>
          </w:rPr>
          <w:t>Certification of Chief Executive Officer pursuant to Rule 13a-14 of the Securities Exchange Act of 1934, as amended*</w:t>
        </w:r>
      </w:hyperlink>
    </w:p>
    <w:p>
      <w:pPr>
        <w:spacing w:after="0" w:line="7" w:lineRule="exact"/>
        <w:rPr>
          <w:sz w:val="20"/>
          <w:szCs w:val="20"/>
          <w:color w:val="auto"/>
        </w:rPr>
      </w:pPr>
    </w:p>
    <w:p>
      <w:pPr>
        <w:ind w:left="180"/>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79">
        <w:r>
          <w:rPr>
            <w:rFonts w:ascii="Times New Roman" w:cs="Times New Roman" w:eastAsia="Times New Roman" w:hAnsi="Times New Roman"/>
            <w:sz w:val="17"/>
            <w:szCs w:val="17"/>
            <w:u w:val="single" w:color="auto"/>
            <w:color w:val="0000FF"/>
          </w:rPr>
          <w:t>Certification of Chief Financial Officer pursuant to Rule 13a-14 of the Securities Exchange Act of 1934, as amended*</w:t>
        </w:r>
      </w:hyperlink>
    </w:p>
    <w:p>
      <w:pPr>
        <w:spacing w:after="0" w:line="23" w:lineRule="exact"/>
        <w:rPr>
          <w:sz w:val="20"/>
          <w:szCs w:val="20"/>
          <w:color w:val="auto"/>
        </w:rPr>
      </w:pPr>
    </w:p>
    <w:p>
      <w:pPr>
        <w:ind w:left="180"/>
        <w:spacing w:after="0"/>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80">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p>
      <w:pPr>
        <w:spacing w:after="0" w:line="23" w:lineRule="exact"/>
        <w:rPr>
          <w:sz w:val="20"/>
          <w:szCs w:val="20"/>
          <w:color w:val="auto"/>
        </w:rPr>
      </w:pPr>
    </w:p>
    <w:p>
      <w:pPr>
        <w:ind w:left="180"/>
        <w:spacing w:after="0"/>
        <w:tabs>
          <w:tab w:leader="none" w:pos="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hyperlink w:anchor="page81">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hyperlink>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0"/>
          <w:szCs w:val="20"/>
          <w:color w:val="auto"/>
        </w:rPr>
      </w:pPr>
    </w:p>
    <w:p>
      <w:pPr>
        <w:ind w:left="500" w:hanging="492"/>
        <w:spacing w:after="0" w:line="258" w:lineRule="auto"/>
        <w:tabs>
          <w:tab w:leader="none" w:pos="4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ind w:left="500" w:hanging="49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ind w:left="500" w:right="20" w:hanging="492"/>
        <w:spacing w:after="0" w:line="250" w:lineRule="auto"/>
        <w:tabs>
          <w:tab w:leader="none" w:pos="4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ind w:left="500" w:hanging="492"/>
        <w:spacing w:after="0" w:line="250" w:lineRule="auto"/>
        <w:tabs>
          <w:tab w:leader="none" w:pos="4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conjunction with the Registrant's Current Report on Form 8-K (File No. 814-00852) filed on June 16, 2020, and incorporated by reference herein.</w:t>
      </w:r>
    </w:p>
    <w:p>
      <w:pPr>
        <w:ind w:left="500" w:hanging="492"/>
        <w:spacing w:after="0" w:line="245" w:lineRule="auto"/>
        <w:tabs>
          <w:tab w:leader="none" w:pos="4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September 23, 2020 and incorporated by reference herein.</w:t>
      </w:r>
    </w:p>
    <w:p>
      <w:pPr>
        <w:spacing w:after="0" w:line="2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97"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w:t>
        <w:tab/>
        <w:t>November 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w:t>
        <w:tab/>
        <w:t>November 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ind w:left="60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60"/>
          </w:cols>
          <w:pgMar w:left="320" w:top="118" w:right="8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Sutter Rock Capital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5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November, 2020.</w:t>
      </w:r>
    </w:p>
    <w:p>
      <w:pPr>
        <w:spacing w:after="0" w:line="171"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14141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Sutter Rock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5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6th day of November, 2020.</w:t>
      </w:r>
    </w:p>
    <w:p>
      <w:pPr>
        <w:spacing w:after="0" w:line="171"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1671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nine months ended September 30, 2020 (the “Report”) of SuRo Capital Corp. (the “Registrant”), as filed with the Securities and Exchange Commission on the date hereof, I, Mark D. Klein, the Chief Executive Officer of the Registrant, hereby certify, to the best of my knowledge, that:</w:t>
      </w:r>
    </w:p>
    <w:p>
      <w:pPr>
        <w:spacing w:after="0" w:line="203"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97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Date: November 6, 2020</w:t>
      </w:r>
    </w:p>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nine months ended September 30, 2020 (the “Report”) of SuRo Capital Corp. (the “Registrant”), as filed with the Securities and Exchange Commission on the date hereof, I, Allison Green, the Chief Financial Officer of the Registrant, hereby certify, to the best of my knowledge, that:</w:t>
      </w:r>
    </w:p>
    <w:p>
      <w:pPr>
        <w:spacing w:after="0" w:line="203"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Date: November 6,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8"/>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5"/>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3"/>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3"/>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4"/>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6"/>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4"/>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2"/>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93" Type="http://schemas.openxmlformats.org/officeDocument/2006/relationships/hyperlink" Target="http://www.sec.gov/Archives/edgar/data/1509470/000113379611000069/k216228_ex99-2a.htm" TargetMode="External"/><Relationship Id="rId94" Type="http://schemas.openxmlformats.org/officeDocument/2006/relationships/hyperlink" Target="http://www.sec.gov/Archives/edgar/data/1509470/000114420411033389/v224342_ex3-1.htm" TargetMode="External"/><Relationship Id="rId95" Type="http://schemas.openxmlformats.org/officeDocument/2006/relationships/hyperlink" Target="http://www.sec.gov/Archives/edgar/data/1509470/000114420419037014/tv526412_ex3-1.htm" TargetMode="External"/><Relationship Id="rId96" Type="http://schemas.openxmlformats.org/officeDocument/2006/relationships/hyperlink" Target="https://www.sec.gov/Archives/edgar/data/1509470/000110465920073783/tm2022743d1_ex3-1.htm" TargetMode="External"/><Relationship Id="rId97" Type="http://schemas.openxmlformats.org/officeDocument/2006/relationships/hyperlink" Target="https://www.sec.gov/Archives/edgar/data/1509470/000110465920073783/tm2022743d1_ex3-2.htm" TargetMode="External"/><Relationship Id="rId98" Type="http://schemas.openxmlformats.org/officeDocument/2006/relationships/hyperlink" Target="https://www.sec.gov/Archives/edgar/data/1509470/000110465920107576/tm203157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2020-11-06T12:10:27Z</dcterms:created>
  <dcterms:modified xsi:type="dcterms:W3CDTF">2020-11-06T12:10:27Z</dcterms:modified>
</cp:coreProperties>
</file>