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195580</wp:posOffset>
            </wp:positionH>
            <wp:positionV relativeFrom="page">
              <wp:posOffset>257175</wp:posOffset>
            </wp:positionV>
            <wp:extent cx="71577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3492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299085</wp:posOffset>
            </wp:positionV>
            <wp:extent cx="715772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1397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108585</wp:posOffset>
            </wp:positionV>
            <wp:extent cx="21431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698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135890</wp:posOffset>
            </wp:positionV>
            <wp:extent cx="21431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6985"/>
                    </a:xfrm>
                    <a:prstGeom prst="rect">
                      <a:avLst/>
                    </a:prstGeom>
                    <a:noFill/>
                  </pic:spPr>
                </pic:pic>
              </a:graphicData>
            </a:graphic>
          </wp:anchor>
        </w:drawing>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7" w:lineRule="exact"/>
        <w:rPr>
          <w:sz w:val="24"/>
          <w:szCs w:val="24"/>
          <w:color w:val="auto"/>
        </w:rPr>
      </w:pPr>
    </w:p>
    <w:p>
      <w:pPr>
        <w:ind w:left="3760" w:right="3540" w:hanging="3752"/>
        <w:spacing w:after="0" w:line="493" w:lineRule="auto"/>
        <w:tabs>
          <w:tab w:leader="none" w:pos="28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2025</w:t>
      </w:r>
    </w:p>
    <w:p>
      <w:pPr>
        <w:spacing w:after="0" w:line="32" w:lineRule="exact"/>
        <w:rPr>
          <w:sz w:val="24"/>
          <w:szCs w:val="24"/>
          <w:color w:val="auto"/>
        </w:rPr>
      </w:pPr>
    </w:p>
    <w:p>
      <w:pPr>
        <w:ind w:left="4240" w:right="3520" w:hanging="4232"/>
        <w:spacing w:after="0" w:line="519" w:lineRule="auto"/>
        <w:tabs>
          <w:tab w:leader="none" w:pos="263"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-14605</wp:posOffset>
            </wp:positionV>
            <wp:extent cx="21431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698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SuRo Capital Corp.</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113665</wp:posOffset>
            </wp:positionV>
            <wp:extent cx="21431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698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jc w:val="center"/>
              <w:ind w:left="1666"/>
              <w:spacing w:after="0"/>
              <w:rPr>
                <w:sz w:val="20"/>
                <w:szCs w:val="20"/>
                <w:color w:val="auto"/>
              </w:rPr>
            </w:pPr>
            <w:r>
              <w:rPr>
                <w:rFonts w:ascii="Times New Roman" w:cs="Times New Roman" w:eastAsia="Times New Roman" w:hAnsi="Times New Roman"/>
                <w:sz w:val="15"/>
                <w:szCs w:val="15"/>
                <w:b w:val="1"/>
                <w:bCs w:val="1"/>
                <w:color w:val="auto"/>
                <w:w w:val="96"/>
              </w:rPr>
              <w:t>Maryland</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60" w:type="dxa"/>
            <w:vAlign w:val="bottom"/>
          </w:tcPr>
          <w:p>
            <w:pPr>
              <w:jc w:val="right"/>
              <w:ind w:right="2326"/>
              <w:spacing w:after="0"/>
              <w:rPr>
                <w:sz w:val="20"/>
                <w:szCs w:val="20"/>
                <w:color w:val="auto"/>
              </w:rPr>
            </w:pPr>
            <w:r>
              <w:rPr>
                <w:rFonts w:ascii="Times New Roman" w:cs="Times New Roman" w:eastAsia="Times New Roman" w:hAnsi="Times New Roman"/>
                <w:sz w:val="15"/>
                <w:szCs w:val="15"/>
                <w:b w:val="1"/>
                <w:bCs w:val="1"/>
                <w:color w:val="auto"/>
              </w:rPr>
              <w:t>27-4443543</w:t>
            </w:r>
          </w:p>
        </w:tc>
      </w:tr>
      <w:tr>
        <w:trPr>
          <w:trHeight w:val="176"/>
        </w:trPr>
        <w:tc>
          <w:tcPr>
            <w:tcW w:w="3800" w:type="dxa"/>
            <w:vAlign w:val="bottom"/>
          </w:tcPr>
          <w:p>
            <w:pPr>
              <w:jc w:val="center"/>
              <w:ind w:left="1666"/>
              <w:spacing w:after="0"/>
              <w:rPr>
                <w:sz w:val="20"/>
                <w:szCs w:val="20"/>
                <w:color w:val="auto"/>
              </w:rPr>
            </w:pPr>
            <w:r>
              <w:rPr>
                <w:rFonts w:ascii="Times New Roman" w:cs="Times New Roman" w:eastAsia="Times New Roman" w:hAnsi="Times New Roman"/>
                <w:sz w:val="15"/>
                <w:szCs w:val="15"/>
                <w:color w:val="auto"/>
                <w:w w:val="97"/>
              </w:rPr>
              <w:t>(State or other jurisdiction</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60" w:type="dxa"/>
            <w:vAlign w:val="bottom"/>
          </w:tcPr>
          <w:p>
            <w:pPr>
              <w:jc w:val="center"/>
              <w:ind w:right="1686"/>
              <w:spacing w:after="0"/>
              <w:rPr>
                <w:sz w:val="20"/>
                <w:szCs w:val="20"/>
                <w:color w:val="auto"/>
              </w:rPr>
            </w:pPr>
            <w:r>
              <w:rPr>
                <w:rFonts w:ascii="Times New Roman" w:cs="Times New Roman" w:eastAsia="Times New Roman" w:hAnsi="Times New Roman"/>
                <w:sz w:val="15"/>
                <w:szCs w:val="15"/>
                <w:color w:val="auto"/>
                <w:w w:val="97"/>
              </w:rPr>
              <w:t>(I.R.S. Employer</w:t>
            </w:r>
          </w:p>
        </w:tc>
      </w:tr>
      <w:tr>
        <w:trPr>
          <w:trHeight w:val="174"/>
        </w:trPr>
        <w:tc>
          <w:tcPr>
            <w:tcW w:w="3800" w:type="dxa"/>
            <w:vAlign w:val="bottom"/>
          </w:tcPr>
          <w:p>
            <w:pPr>
              <w:jc w:val="center"/>
              <w:ind w:left="1666"/>
              <w:spacing w:after="0"/>
              <w:rPr>
                <w:sz w:val="20"/>
                <w:szCs w:val="20"/>
                <w:color w:val="auto"/>
              </w:rPr>
            </w:pPr>
            <w:r>
              <w:rPr>
                <w:rFonts w:ascii="Times New Roman" w:cs="Times New Roman" w:eastAsia="Times New Roman" w:hAnsi="Times New Roman"/>
                <w:sz w:val="15"/>
                <w:szCs w:val="15"/>
                <w:color w:val="auto"/>
                <w:w w:val="98"/>
              </w:rPr>
              <w:t>of incorporation or organization)</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60" w:type="dxa"/>
            <w:vAlign w:val="bottom"/>
          </w:tcPr>
          <w:p>
            <w:pPr>
              <w:jc w:val="center"/>
              <w:ind w:right="1686"/>
              <w:spacing w:after="0"/>
              <w:rPr>
                <w:sz w:val="20"/>
                <w:szCs w:val="20"/>
                <w:color w:val="auto"/>
              </w:rPr>
            </w:pPr>
            <w:r>
              <w:rPr>
                <w:rFonts w:ascii="Times New Roman" w:cs="Times New Roman" w:eastAsia="Times New Roman" w:hAnsi="Times New Roman"/>
                <w:sz w:val="15"/>
                <w:szCs w:val="15"/>
                <w:color w:val="auto"/>
                <w:w w:val="96"/>
              </w:rPr>
              <w:t>Identification No.)</w:t>
            </w:r>
          </w:p>
        </w:tc>
      </w:tr>
      <w:tr>
        <w:trPr>
          <w:trHeight w:val="178"/>
        </w:trPr>
        <w:tc>
          <w:tcPr>
            <w:tcW w:w="7520" w:type="dxa"/>
            <w:vAlign w:val="bottom"/>
            <w:gridSpan w:val="6"/>
          </w:tcPr>
          <w:p>
            <w:pPr>
              <w:jc w:val="center"/>
              <w:ind w:right="1980"/>
              <w:spacing w:after="0"/>
              <w:rPr>
                <w:sz w:val="20"/>
                <w:szCs w:val="20"/>
                <w:color w:val="auto"/>
              </w:rPr>
            </w:pPr>
            <w:r>
              <w:rPr>
                <w:rFonts w:ascii="Times New Roman" w:cs="Times New Roman" w:eastAsia="Times New Roman" w:hAnsi="Times New Roman"/>
                <w:sz w:val="15"/>
                <w:szCs w:val="15"/>
                <w:b w:val="1"/>
                <w:bCs w:val="1"/>
                <w:color w:val="auto"/>
                <w:w w:val="96"/>
              </w:rPr>
              <w:t>640 Fifth Avenue, 12th Floor, New York, NY</w:t>
            </w:r>
          </w:p>
        </w:tc>
        <w:tc>
          <w:tcPr>
            <w:tcW w:w="3760" w:type="dxa"/>
            <w:vAlign w:val="bottom"/>
          </w:tcPr>
          <w:p>
            <w:pPr>
              <w:jc w:val="right"/>
              <w:ind w:right="2506"/>
              <w:spacing w:after="0"/>
              <w:rPr>
                <w:sz w:val="20"/>
                <w:szCs w:val="20"/>
                <w:color w:val="auto"/>
              </w:rPr>
            </w:pPr>
            <w:r>
              <w:rPr>
                <w:rFonts w:ascii="Times New Roman" w:cs="Times New Roman" w:eastAsia="Times New Roman" w:hAnsi="Times New Roman"/>
                <w:sz w:val="15"/>
                <w:szCs w:val="15"/>
                <w:b w:val="1"/>
                <w:bCs w:val="1"/>
                <w:color w:val="auto"/>
              </w:rPr>
              <w:t>10019</w:t>
            </w:r>
          </w:p>
        </w:tc>
      </w:tr>
      <w:tr>
        <w:trPr>
          <w:trHeight w:val="191"/>
        </w:trPr>
        <w:tc>
          <w:tcPr>
            <w:tcW w:w="7520" w:type="dxa"/>
            <w:vAlign w:val="bottom"/>
            <w:gridSpan w:val="6"/>
          </w:tcPr>
          <w:p>
            <w:pPr>
              <w:jc w:val="center"/>
              <w:ind w:right="1980"/>
              <w:spacing w:after="0"/>
              <w:rPr>
                <w:sz w:val="20"/>
                <w:szCs w:val="20"/>
                <w:color w:val="auto"/>
              </w:rPr>
            </w:pPr>
            <w:r>
              <w:rPr>
                <w:rFonts w:ascii="Times New Roman" w:cs="Times New Roman" w:eastAsia="Times New Roman" w:hAnsi="Times New Roman"/>
                <w:sz w:val="15"/>
                <w:szCs w:val="15"/>
                <w:color w:val="auto"/>
                <w:w w:val="98"/>
              </w:rPr>
              <w:t>(Address of principal executive offices)</w:t>
            </w:r>
          </w:p>
        </w:tc>
        <w:tc>
          <w:tcPr>
            <w:tcW w:w="3760" w:type="dxa"/>
            <w:vAlign w:val="bottom"/>
          </w:tcPr>
          <w:p>
            <w:pPr>
              <w:jc w:val="center"/>
              <w:ind w:right="1686"/>
              <w:spacing w:after="0"/>
              <w:rPr>
                <w:sz w:val="20"/>
                <w:szCs w:val="20"/>
                <w:color w:val="auto"/>
              </w:rPr>
            </w:pPr>
            <w:r>
              <w:rPr>
                <w:rFonts w:ascii="Times New Roman" w:cs="Times New Roman" w:eastAsia="Times New Roman" w:hAnsi="Times New Roman"/>
                <w:sz w:val="15"/>
                <w:szCs w:val="15"/>
                <w:color w:val="auto"/>
                <w:w w:val="96"/>
              </w:rPr>
              <w:t>(Zip Code)</w:t>
            </w:r>
          </w:p>
        </w:tc>
      </w:tr>
      <w:tr>
        <w:trPr>
          <w:trHeight w:val="338"/>
        </w:trPr>
        <w:tc>
          <w:tcPr>
            <w:tcW w:w="3800" w:type="dxa"/>
            <w:vAlign w:val="bottom"/>
          </w:tcPr>
          <w:p>
            <w:pPr>
              <w:spacing w:after="0"/>
              <w:rPr>
                <w:sz w:val="24"/>
                <w:szCs w:val="24"/>
                <w:color w:val="auto"/>
              </w:rPr>
            </w:pPr>
          </w:p>
        </w:tc>
        <w:tc>
          <w:tcPr>
            <w:tcW w:w="2760" w:type="dxa"/>
            <w:vAlign w:val="bottom"/>
            <w:gridSpan w:val="3"/>
          </w:tcPr>
          <w:p>
            <w:pPr>
              <w:jc w:val="center"/>
              <w:ind w:left="846"/>
              <w:spacing w:after="0"/>
              <w:rPr>
                <w:sz w:val="20"/>
                <w:szCs w:val="20"/>
                <w:color w:val="auto"/>
              </w:rPr>
            </w:pPr>
            <w:r>
              <w:rPr>
                <w:rFonts w:ascii="Times New Roman" w:cs="Times New Roman" w:eastAsia="Times New Roman" w:hAnsi="Times New Roman"/>
                <w:sz w:val="15"/>
                <w:szCs w:val="15"/>
                <w:b w:val="1"/>
                <w:bCs w:val="1"/>
                <w:color w:val="auto"/>
                <w:w w:val="98"/>
              </w:rPr>
              <w:t>(212) 931-6331</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1"/>
        </w:trPr>
        <w:tc>
          <w:tcPr>
            <w:tcW w:w="3800" w:type="dxa"/>
            <w:vAlign w:val="bottom"/>
          </w:tcPr>
          <w:p>
            <w:pPr>
              <w:spacing w:after="0"/>
              <w:rPr>
                <w:sz w:val="16"/>
                <w:szCs w:val="16"/>
                <w:color w:val="auto"/>
              </w:rPr>
            </w:pPr>
          </w:p>
        </w:tc>
        <w:tc>
          <w:tcPr>
            <w:tcW w:w="372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color w:val="auto"/>
                <w:w w:val="97"/>
              </w:rPr>
              <w:t>(Registrant’s telephone number, including area code)</w:t>
            </w:r>
          </w:p>
        </w:tc>
        <w:tc>
          <w:tcPr>
            <w:tcW w:w="3760" w:type="dxa"/>
            <w:vAlign w:val="bottom"/>
          </w:tcPr>
          <w:p>
            <w:pPr>
              <w:spacing w:after="0"/>
              <w:rPr>
                <w:sz w:val="16"/>
                <w:szCs w:val="16"/>
                <w:color w:val="auto"/>
              </w:rPr>
            </w:pPr>
          </w:p>
        </w:tc>
      </w:tr>
      <w:tr>
        <w:trPr>
          <w:trHeight w:val="353"/>
        </w:trPr>
        <w:tc>
          <w:tcPr>
            <w:tcW w:w="3800" w:type="dxa"/>
            <w:vAlign w:val="bottom"/>
          </w:tcPr>
          <w:p>
            <w:pPr>
              <w:spacing w:after="0"/>
              <w:rPr>
                <w:sz w:val="24"/>
                <w:szCs w:val="24"/>
                <w:color w:val="auto"/>
              </w:rPr>
            </w:pPr>
          </w:p>
        </w:tc>
        <w:tc>
          <w:tcPr>
            <w:tcW w:w="372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12(b) of the Act:</w:t>
            </w:r>
          </w:p>
        </w:tc>
        <w:tc>
          <w:tcPr>
            <w:tcW w:w="3760" w:type="dxa"/>
            <w:vAlign w:val="bottom"/>
          </w:tcPr>
          <w:p>
            <w:pPr>
              <w:spacing w:after="0"/>
              <w:rPr>
                <w:sz w:val="24"/>
                <w:szCs w:val="24"/>
                <w:color w:val="auto"/>
              </w:rPr>
            </w:pPr>
          </w:p>
        </w:tc>
      </w:tr>
      <w:tr>
        <w:trPr>
          <w:trHeight w:val="353"/>
        </w:trPr>
        <w:tc>
          <w:tcPr>
            <w:tcW w:w="3800" w:type="dxa"/>
            <w:vAlign w:val="bottom"/>
          </w:tcPr>
          <w:p>
            <w:pPr>
              <w:jc w:val="center"/>
              <w:ind w:left="426"/>
              <w:spacing w:after="0"/>
              <w:rPr>
                <w:sz w:val="20"/>
                <w:szCs w:val="20"/>
                <w:color w:val="auto"/>
              </w:rPr>
            </w:pPr>
            <w:r>
              <w:rPr>
                <w:rFonts w:ascii="Times New Roman" w:cs="Times New Roman" w:eastAsia="Times New Roman" w:hAnsi="Times New Roman"/>
                <w:sz w:val="15"/>
                <w:szCs w:val="15"/>
                <w:b w:val="1"/>
                <w:bCs w:val="1"/>
                <w:color w:val="auto"/>
                <w:w w:val="97"/>
              </w:rPr>
              <w:t>Title of Each Class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jc w:val="center"/>
              <w:ind w:right="960"/>
              <w:spacing w:after="0"/>
              <w:rPr>
                <w:sz w:val="20"/>
                <w:szCs w:val="20"/>
                <w:color w:val="auto"/>
              </w:rPr>
            </w:pPr>
            <w:r>
              <w:rPr>
                <w:rFonts w:ascii="Times New Roman" w:cs="Times New Roman" w:eastAsia="Times New Roman" w:hAnsi="Times New Roman"/>
                <w:sz w:val="15"/>
                <w:szCs w:val="15"/>
                <w:b w:val="1"/>
                <w:bCs w:val="1"/>
                <w:color w:val="auto"/>
                <w:w w:val="97"/>
              </w:rPr>
              <w:t>Trading Symbol</w:t>
            </w:r>
          </w:p>
        </w:tc>
        <w:tc>
          <w:tcPr>
            <w:tcW w:w="37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53"/>
        </w:trPr>
        <w:tc>
          <w:tcPr>
            <w:tcW w:w="3800" w:type="dxa"/>
            <w:vAlign w:val="bottom"/>
            <w:tcBorders>
              <w:top w:val="single" w:sz="8" w:color="auto"/>
            </w:tcBorders>
          </w:tcPr>
          <w:p>
            <w:pPr>
              <w:jc w:val="center"/>
              <w:ind w:left="446"/>
              <w:spacing w:after="0" w:line="153" w:lineRule="exact"/>
              <w:rPr>
                <w:sz w:val="20"/>
                <w:szCs w:val="20"/>
                <w:color w:val="auto"/>
              </w:rPr>
            </w:pPr>
            <w:r>
              <w:rPr>
                <w:rFonts w:ascii="Times New Roman" w:cs="Times New Roman" w:eastAsia="Times New Roman" w:hAnsi="Times New Roman"/>
                <w:sz w:val="15"/>
                <w:szCs w:val="15"/>
                <w:color w:val="auto"/>
                <w:w w:val="98"/>
              </w:rPr>
              <w:t>Common Stock, par value $0.01 per share</w:t>
            </w: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5"/>
                <w:szCs w:val="15"/>
                <w:color w:val="auto"/>
                <w:w w:val="95"/>
              </w:rPr>
              <w:t>SSSS</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760" w:type="dxa"/>
            <w:vAlign w:val="bottom"/>
            <w:tcBorders>
              <w:top w:val="single" w:sz="8" w:color="auto"/>
            </w:tcBorders>
          </w:tcPr>
          <w:p>
            <w:pPr>
              <w:ind w:left="780"/>
              <w:spacing w:after="0" w:line="153" w:lineRule="exact"/>
              <w:rPr>
                <w:sz w:val="20"/>
                <w:szCs w:val="20"/>
                <w:color w:val="auto"/>
              </w:rPr>
            </w:pPr>
            <w:r>
              <w:rPr>
                <w:rFonts w:ascii="Times New Roman" w:cs="Times New Roman" w:eastAsia="Times New Roman" w:hAnsi="Times New Roman"/>
                <w:sz w:val="15"/>
                <w:szCs w:val="15"/>
                <w:color w:val="auto"/>
              </w:rPr>
              <w:t>Nasdaq Global Select Market</w:t>
            </w:r>
          </w:p>
        </w:tc>
      </w:tr>
      <w:tr>
        <w:trPr>
          <w:trHeight w:val="191"/>
        </w:trPr>
        <w:tc>
          <w:tcPr>
            <w:tcW w:w="3800" w:type="dxa"/>
            <w:vAlign w:val="bottom"/>
          </w:tcPr>
          <w:p>
            <w:pPr>
              <w:jc w:val="center"/>
              <w:ind w:left="426"/>
              <w:spacing w:after="0"/>
              <w:rPr>
                <w:sz w:val="20"/>
                <w:szCs w:val="20"/>
                <w:color w:val="auto"/>
              </w:rPr>
            </w:pPr>
            <w:r>
              <w:rPr>
                <w:rFonts w:ascii="Times New Roman" w:cs="Times New Roman" w:eastAsia="Times New Roman" w:hAnsi="Times New Roman"/>
                <w:sz w:val="15"/>
                <w:szCs w:val="15"/>
                <w:color w:val="auto"/>
                <w:w w:val="98"/>
              </w:rPr>
              <w:t>6.00% Notes due 2026</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3"/>
          </w:tcPr>
          <w:p>
            <w:pPr>
              <w:jc w:val="center"/>
              <w:ind w:right="960"/>
              <w:spacing w:after="0"/>
              <w:rPr>
                <w:sz w:val="20"/>
                <w:szCs w:val="20"/>
                <w:color w:val="auto"/>
              </w:rPr>
            </w:pPr>
            <w:r>
              <w:rPr>
                <w:rFonts w:ascii="Times New Roman" w:cs="Times New Roman" w:eastAsia="Times New Roman" w:hAnsi="Times New Roman"/>
                <w:sz w:val="15"/>
                <w:szCs w:val="15"/>
                <w:color w:val="auto"/>
                <w:w w:val="98"/>
              </w:rPr>
              <w:t>SSSSL</w:t>
            </w:r>
          </w:p>
        </w:tc>
        <w:tc>
          <w:tcPr>
            <w:tcW w:w="376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162" w:lineRule="exact"/>
        <w:rPr>
          <w:sz w:val="24"/>
          <w:szCs w:val="24"/>
          <w:color w:val="auto"/>
        </w:rPr>
      </w:pPr>
    </w:p>
    <w:p>
      <w:pPr>
        <w:jc w:val="both"/>
        <w:ind w:firstLine="265"/>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ind w:right="20" w:firstLine="265"/>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631" w:right="319" w:bottom="1440" w:gutter="0" w:footer="0" w:header="0"/>
        </w:sectPr>
      </w:pPr>
    </w:p>
    <w:p>
      <w:pPr>
        <w:spacing w:after="0" w:line="10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5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352" w:lineRule="exact"/>
        <w:rPr>
          <w:sz w:val="24"/>
          <w:szCs w:val="24"/>
          <w:color w:val="auto"/>
        </w:rPr>
      </w:pPr>
    </w:p>
    <w:p>
      <w:pPr>
        <w:sectPr>
          <w:pgSz w:w="11900" w:h="16838" w:orient="portrait"/>
          <w:cols w:equalWidth="0" w:num="2">
            <w:col w:w="7180" w:space="720"/>
            <w:col w:w="3380"/>
          </w:cols>
          <w:pgMar w:left="300" w:top="631" w:right="319" w:bottom="1440" w:gutter="0" w:footer="0" w:header="0"/>
          <w:type w:val="continuous"/>
        </w:sectPr>
      </w:pPr>
    </w:p>
    <w:p>
      <w:pPr>
        <w:ind w:firstLine="265"/>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8"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5"/>
          <w:szCs w:val="15"/>
          <w:color w:val="auto"/>
        </w:rPr>
        <w:t>The issuer had 23,551,859 shares of common stock, $0.01 par value per share, outstanding as of May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5772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139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57720"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349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403860</wp:posOffset>
            </wp:positionV>
            <wp:extent cx="71577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80" w:type="dxa"/>
            <w:vAlign w:val="bottom"/>
            <w:gridSpan w:val="9"/>
          </w:tcPr>
          <w:p>
            <w:pPr>
              <w:ind w:left="480"/>
              <w:spacing w:after="0"/>
              <w:rPr>
                <w:sz w:val="20"/>
                <w:szCs w:val="20"/>
                <w:color w:val="auto"/>
              </w:rPr>
            </w:pPr>
            <w:r>
              <w:rPr>
                <w:rFonts w:ascii="Times New Roman" w:cs="Times New Roman" w:eastAsia="Times New Roman" w:hAnsi="Times New Roman"/>
                <w:sz w:val="15"/>
                <w:szCs w:val="15"/>
                <w:b w:val="1"/>
                <w:bCs w:val="1"/>
                <w:color w:val="auto"/>
              </w:rPr>
              <w:t>SURO CAPITAL CORP.</w:t>
            </w:r>
          </w:p>
        </w:tc>
        <w:tc>
          <w:tcPr>
            <w:tcW w:w="52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gridSpan w:val="9"/>
          </w:tcPr>
          <w:p>
            <w:pPr>
              <w:ind w:left="4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2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6"/>
        </w:trPr>
        <w:tc>
          <w:tcPr>
            <w:tcW w:w="20" w:type="dxa"/>
            <w:vAlign w:val="bottom"/>
          </w:tcPr>
          <w:p>
            <w:pPr>
              <w:spacing w:after="0"/>
              <w:rPr>
                <w:sz w:val="13"/>
                <w:szCs w:val="13"/>
                <w:color w:val="auto"/>
              </w:rPr>
            </w:pPr>
          </w:p>
        </w:tc>
        <w:tc>
          <w:tcPr>
            <w:tcW w:w="2500" w:type="dxa"/>
            <w:vAlign w:val="bottom"/>
            <w:tcBorders>
              <w:bottom w:val="single" w:sz="8" w:color="0000EE"/>
            </w:tcBorders>
            <w:gridSpan w:val="9"/>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0000EE"/>
                <w:w w:val="95"/>
              </w:rPr>
              <w:t>PART I. FINANCIAL INFORMATION</w:t>
            </w:r>
          </w:p>
        </w:tc>
        <w:tc>
          <w:tcPr>
            <w:tcW w:w="8240" w:type="dxa"/>
            <w:vAlign w:val="bottom"/>
            <w:tcBorders>
              <w:bottom w:val="single" w:sz="8" w:color="CCEEFF"/>
            </w:tcBorders>
            <w:gridSpan w:val="12"/>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1.</w:t>
            </w:r>
          </w:p>
        </w:tc>
        <w:tc>
          <w:tcPr>
            <w:tcW w:w="9940" w:type="dxa"/>
            <w:vAlign w:val="bottom"/>
            <w:gridSpan w:val="19"/>
          </w:tcPr>
          <w:p>
            <w:pPr>
              <w:spacing w:after="0" w:line="144" w:lineRule="exact"/>
              <w:rPr>
                <w:sz w:val="20"/>
                <w:szCs w:val="20"/>
                <w:color w:val="auto"/>
              </w:rPr>
            </w:pPr>
            <w:r>
              <w:rPr>
                <w:rFonts w:ascii="Times New Roman" w:cs="Times New Roman" w:eastAsia="Times New Roman" w:hAnsi="Times New Roman"/>
                <w:sz w:val="15"/>
                <w:szCs w:val="15"/>
                <w:color w:val="0000EE"/>
              </w:rPr>
              <w:t>Financial Statements</w:t>
            </w: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rPr>
              <w:t>1</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94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Condensed Consolidated Statements of Assets and Liabilities as of March 31, 2025 (Unaudited) and December 31, 2024</w:t>
            </w:r>
          </w:p>
        </w:tc>
        <w:tc>
          <w:tcPr>
            <w:tcW w:w="5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1</w:t>
            </w:r>
          </w:p>
        </w:tc>
      </w:tr>
      <w:tr>
        <w:trPr>
          <w:trHeight w:val="143"/>
        </w:trPr>
        <w:tc>
          <w:tcPr>
            <w:tcW w:w="20" w:type="dxa"/>
            <w:vAlign w:val="bottom"/>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080" w:type="dxa"/>
            <w:vAlign w:val="bottom"/>
            <w:tcBorders>
              <w:top w:val="single" w:sz="8" w:color="0000EE"/>
            </w:tcBorders>
            <w:gridSpan w:val="17"/>
          </w:tcPr>
          <w:p>
            <w:pPr>
              <w:spacing w:after="0" w:line="144" w:lineRule="exact"/>
              <w:rPr>
                <w:sz w:val="20"/>
                <w:szCs w:val="20"/>
                <w:color w:val="auto"/>
              </w:rPr>
            </w:pPr>
            <w:r>
              <w:rPr>
                <w:rFonts w:ascii="Times New Roman" w:cs="Times New Roman" w:eastAsia="Times New Roman" w:hAnsi="Times New Roman"/>
                <w:sz w:val="15"/>
                <w:szCs w:val="15"/>
                <w:color w:val="0000EE"/>
                <w:w w:val="98"/>
              </w:rPr>
              <w:t>Condensed Consolidated Statements of Operations for the Three Months Ended March 31, 2025 and 2024 (Unaudited)</w:t>
            </w:r>
          </w:p>
        </w:tc>
        <w:tc>
          <w:tcPr>
            <w:tcW w:w="286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CCEEFF"/>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rPr>
              <w:t>2</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940" w:type="dxa"/>
            <w:vAlign w:val="bottom"/>
            <w:gridSpan w:val="19"/>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Condensed Consolidated Statements of Changes in Net Assets for the Three Months Ended March 31, 2025 and 2024 (Unaudited)</w:t>
            </w:r>
          </w:p>
        </w:tc>
        <w:tc>
          <w:tcPr>
            <w:tcW w:w="52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3</w:t>
            </w:r>
          </w:p>
        </w:tc>
      </w:tr>
      <w:tr>
        <w:trPr>
          <w:trHeight w:val="150"/>
        </w:trPr>
        <w:tc>
          <w:tcPr>
            <w:tcW w:w="20" w:type="dxa"/>
            <w:vAlign w:val="bottom"/>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660" w:type="dxa"/>
            <w:vAlign w:val="bottom"/>
            <w:tcBorders>
              <w:top w:val="single" w:sz="8" w:color="0000EE"/>
            </w:tcBorders>
            <w:gridSpan w:val="18"/>
          </w:tcPr>
          <w:p>
            <w:pPr>
              <w:spacing w:after="0" w:line="144" w:lineRule="exact"/>
              <w:rPr>
                <w:sz w:val="20"/>
                <w:szCs w:val="20"/>
                <w:color w:val="auto"/>
              </w:rPr>
            </w:pPr>
            <w:r>
              <w:rPr>
                <w:rFonts w:ascii="Times New Roman" w:cs="Times New Roman" w:eastAsia="Times New Roman" w:hAnsi="Times New Roman"/>
                <w:sz w:val="15"/>
                <w:szCs w:val="15"/>
                <w:color w:val="0000EE"/>
              </w:rPr>
              <w:t>Condensed Consolidated Statements of Cash Flows for the Three Months Ended March 31, 2025 and 2024 (Unaudited)</w:t>
            </w:r>
          </w:p>
        </w:tc>
        <w:tc>
          <w:tcPr>
            <w:tcW w:w="228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rPr>
              <w:t>4</w:t>
            </w:r>
          </w:p>
        </w:tc>
      </w:tr>
      <w:tr>
        <w:trPr>
          <w:trHeight w:val="163"/>
        </w:trPr>
        <w:tc>
          <w:tcPr>
            <w:tcW w:w="20" w:type="dxa"/>
            <w:vAlign w:val="bottom"/>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980" w:type="dxa"/>
            <w:vAlign w:val="bottom"/>
            <w:tcBorders>
              <w:top w:val="single" w:sz="8" w:color="0000EE"/>
              <w:bottom w:val="single" w:sz="8" w:color="0000EE"/>
            </w:tcBorders>
            <w:gridSpan w:val="1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w w:val="97"/>
              </w:rPr>
              <w:t>Condensed Consolidated Schedule of Investments as of March 31, 2025 (Unaudited)</w:t>
            </w:r>
          </w:p>
        </w:tc>
        <w:tc>
          <w:tcPr>
            <w:tcW w:w="2040" w:type="dxa"/>
            <w:vAlign w:val="bottom"/>
            <w:tcBorders>
              <w:top w:val="single" w:sz="8" w:color="0000EE"/>
              <w:bottom w:val="single" w:sz="8" w:color="CCEEFF"/>
            </w:tcBorders>
            <w:gridSpan w:val="4"/>
            <w:shd w:val="clear" w:color="auto" w:fill="CCEEFF"/>
          </w:tcPr>
          <w:p>
            <w:pPr>
              <w:spacing w:after="0"/>
              <w:rPr>
                <w:sz w:val="14"/>
                <w:szCs w:val="14"/>
                <w:color w:val="auto"/>
              </w:rPr>
            </w:pPr>
          </w:p>
        </w:tc>
        <w:tc>
          <w:tcPr>
            <w:tcW w:w="2920" w:type="dxa"/>
            <w:vAlign w:val="bottom"/>
            <w:tcBorders>
              <w:bottom w:val="single" w:sz="8" w:color="CCEEFF"/>
            </w:tcBorders>
            <w:gridSpan w:val="3"/>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rPr>
              <w:t>5</w:t>
            </w:r>
          </w:p>
        </w:tc>
      </w:tr>
      <w:tr>
        <w:trPr>
          <w:trHeight w:val="15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60" w:type="dxa"/>
            <w:vAlign w:val="bottom"/>
            <w:tcBorders>
              <w:bottom w:val="single" w:sz="8" w:color="0000EE"/>
            </w:tcBorders>
            <w:gridSpan w:val="11"/>
          </w:tcPr>
          <w:p>
            <w:pPr>
              <w:spacing w:after="0" w:line="144" w:lineRule="exact"/>
              <w:rPr>
                <w:sz w:val="20"/>
                <w:szCs w:val="20"/>
                <w:color w:val="auto"/>
              </w:rPr>
            </w:pPr>
            <w:r>
              <w:rPr>
                <w:rFonts w:ascii="Times New Roman" w:cs="Times New Roman" w:eastAsia="Times New Roman" w:hAnsi="Times New Roman"/>
                <w:sz w:val="15"/>
                <w:szCs w:val="15"/>
                <w:color w:val="0000EE"/>
                <w:w w:val="97"/>
              </w:rPr>
              <w:t>Condensed Consolidated Schedule of Investments as of December 31, 2024</w:t>
            </w:r>
          </w:p>
        </w:tc>
        <w:tc>
          <w:tcPr>
            <w:tcW w:w="5480" w:type="dxa"/>
            <w:vAlign w:val="bottom"/>
            <w:gridSpan w:val="8"/>
          </w:tcPr>
          <w:p>
            <w:pPr>
              <w:spacing w:after="0"/>
              <w:rPr>
                <w:sz w:val="13"/>
                <w:szCs w:val="13"/>
                <w:color w:val="auto"/>
              </w:rPr>
            </w:pP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rPr>
              <w:t>9</w:t>
            </w:r>
          </w:p>
        </w:tc>
      </w:tr>
      <w:tr>
        <w:trPr>
          <w:trHeight w:val="163"/>
        </w:trPr>
        <w:tc>
          <w:tcPr>
            <w:tcW w:w="20" w:type="dxa"/>
            <w:vAlign w:val="bottom"/>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300" w:type="dxa"/>
            <w:vAlign w:val="bottom"/>
            <w:tcBorders>
              <w:bottom w:val="single" w:sz="8" w:color="0000EE"/>
            </w:tcBorders>
            <w:gridSpan w:val="14"/>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w w:val="97"/>
              </w:rPr>
              <w:t>Notes to Condensed Consolidated Financial Statements as of March 31, 2025 (Unaudited)</w:t>
            </w:r>
          </w:p>
        </w:tc>
        <w:tc>
          <w:tcPr>
            <w:tcW w:w="4640" w:type="dxa"/>
            <w:vAlign w:val="bottom"/>
            <w:tcBorders>
              <w:bottom w:val="single" w:sz="8" w:color="CCEEFF"/>
            </w:tcBorders>
            <w:gridSpan w:val="5"/>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0" w:lineRule="exact"/>
              <w:rPr>
                <w:sz w:val="20"/>
                <w:szCs w:val="20"/>
                <w:color w:val="auto"/>
              </w:rPr>
            </w:pPr>
            <w:r>
              <w:rPr>
                <w:rFonts w:ascii="Times New Roman" w:cs="Times New Roman" w:eastAsia="Times New Roman" w:hAnsi="Times New Roman"/>
                <w:sz w:val="15"/>
                <w:szCs w:val="15"/>
                <w:color w:val="auto"/>
                <w:w w:val="93"/>
              </w:rPr>
              <w:t>13</w:t>
            </w:r>
          </w:p>
        </w:tc>
      </w:tr>
      <w:tr>
        <w:trPr>
          <w:trHeight w:val="143"/>
        </w:trPr>
        <w:tc>
          <w:tcPr>
            <w:tcW w:w="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2.</w:t>
            </w:r>
          </w:p>
        </w:tc>
        <w:tc>
          <w:tcPr>
            <w:tcW w:w="9940" w:type="dxa"/>
            <w:vAlign w:val="bottom"/>
            <w:gridSpan w:val="19"/>
          </w:tcPr>
          <w:p>
            <w:pPr>
              <w:spacing w:after="0" w:line="144"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43</w:t>
            </w:r>
          </w:p>
        </w:tc>
      </w:tr>
      <w:tr>
        <w:trPr>
          <w:trHeight w:val="170"/>
        </w:trPr>
        <w:tc>
          <w:tcPr>
            <w:tcW w:w="20" w:type="dxa"/>
            <w:vAlign w:val="bottom"/>
          </w:tcPr>
          <w:p>
            <w:pPr>
              <w:spacing w:after="0"/>
              <w:rPr>
                <w:sz w:val="14"/>
                <w:szCs w:val="14"/>
                <w:color w:val="auto"/>
              </w:rPr>
            </w:pPr>
          </w:p>
        </w:tc>
        <w:tc>
          <w:tcPr>
            <w:tcW w:w="8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Item 3.</w:t>
            </w:r>
          </w:p>
        </w:tc>
        <w:tc>
          <w:tcPr>
            <w:tcW w:w="3560" w:type="dxa"/>
            <w:vAlign w:val="bottom"/>
            <w:tcBorders>
              <w:top w:val="single" w:sz="8" w:color="0000EE"/>
              <w:bottom w:val="single" w:sz="8" w:color="0000EE"/>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7"/>
              </w:rPr>
              <w:t>Quantitative and Qualitative Disclosures About Market Risk</w:t>
            </w:r>
          </w:p>
        </w:tc>
        <w:tc>
          <w:tcPr>
            <w:tcW w:w="170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4680" w:type="dxa"/>
            <w:vAlign w:val="bottom"/>
            <w:tcBorders>
              <w:bottom w:val="single" w:sz="8" w:color="CCEEFF"/>
            </w:tcBorders>
            <w:gridSpan w:val="6"/>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53</w:t>
            </w:r>
          </w:p>
        </w:tc>
      </w:tr>
      <w:tr>
        <w:trPr>
          <w:trHeight w:val="143"/>
        </w:trPr>
        <w:tc>
          <w:tcPr>
            <w:tcW w:w="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4.</w:t>
            </w:r>
          </w:p>
        </w:tc>
        <w:tc>
          <w:tcPr>
            <w:tcW w:w="1440" w:type="dxa"/>
            <w:vAlign w:val="bottom"/>
            <w:tcBorders>
              <w:bottom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5"/>
                <w:szCs w:val="15"/>
                <w:color w:val="0000EE"/>
                <w:w w:val="96"/>
              </w:rPr>
              <w:t>Controls and Procedures</w:t>
            </w:r>
          </w:p>
        </w:tc>
        <w:tc>
          <w:tcPr>
            <w:tcW w:w="8500" w:type="dxa"/>
            <w:vAlign w:val="bottom"/>
            <w:gridSpan w:val="13"/>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54</w:t>
            </w:r>
          </w:p>
        </w:tc>
      </w:tr>
      <w:tr>
        <w:trPr>
          <w:trHeight w:val="170"/>
        </w:trPr>
        <w:tc>
          <w:tcPr>
            <w:tcW w:w="20" w:type="dxa"/>
            <w:vAlign w:val="bottom"/>
          </w:tcPr>
          <w:p>
            <w:pPr>
              <w:spacing w:after="0"/>
              <w:rPr>
                <w:sz w:val="14"/>
                <w:szCs w:val="14"/>
                <w:color w:val="auto"/>
              </w:rPr>
            </w:pPr>
          </w:p>
        </w:tc>
        <w:tc>
          <w:tcPr>
            <w:tcW w:w="10740" w:type="dxa"/>
            <w:vAlign w:val="bottom"/>
            <w:gridSpan w:val="21"/>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0000EE"/>
              </w:rPr>
              <w:t>PART II. OTHER INFORMATION</w:t>
            </w:r>
          </w:p>
        </w:tc>
        <w:tc>
          <w:tcPr>
            <w:tcW w:w="520" w:type="dxa"/>
            <w:vAlign w:val="bottom"/>
            <w:shd w:val="clear" w:color="auto" w:fill="CCEEFF"/>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800" w:type="dxa"/>
            <w:vAlign w:val="bottom"/>
            <w:tcBorders>
              <w:top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1.</w:t>
            </w:r>
          </w:p>
        </w:tc>
        <w:tc>
          <w:tcPr>
            <w:tcW w:w="1440" w:type="dxa"/>
            <w:vAlign w:val="bottom"/>
            <w:tcBorders>
              <w:top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5"/>
                <w:szCs w:val="15"/>
                <w:color w:val="0000EE"/>
              </w:rPr>
              <w:t>Legal Proceedings</w:t>
            </w:r>
          </w:p>
        </w:tc>
        <w:tc>
          <w:tcPr>
            <w:tcW w:w="8500" w:type="dxa"/>
            <w:vAlign w:val="bottom"/>
            <w:tcBorders>
              <w:top w:val="single" w:sz="8" w:color="CCEEFF"/>
            </w:tcBorders>
            <w:gridSpan w:val="13"/>
          </w:tcPr>
          <w:p>
            <w:pPr>
              <w:spacing w:after="0"/>
              <w:rPr>
                <w:sz w:val="12"/>
                <w:szCs w:val="12"/>
                <w:color w:val="auto"/>
              </w:rPr>
            </w:pPr>
          </w:p>
        </w:tc>
        <w:tc>
          <w:tcPr>
            <w:tcW w:w="520" w:type="dxa"/>
            <w:vAlign w:val="bottom"/>
            <w:tcBorders>
              <w:top w:val="single" w:sz="8" w:color="CCEEFF"/>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55</w:t>
            </w:r>
          </w:p>
        </w:tc>
      </w:tr>
      <w:tr>
        <w:trPr>
          <w:trHeight w:val="170"/>
        </w:trPr>
        <w:tc>
          <w:tcPr>
            <w:tcW w:w="20" w:type="dxa"/>
            <w:vAlign w:val="bottom"/>
          </w:tcPr>
          <w:p>
            <w:pPr>
              <w:spacing w:after="0"/>
              <w:rPr>
                <w:sz w:val="14"/>
                <w:szCs w:val="14"/>
                <w:color w:val="auto"/>
              </w:rPr>
            </w:pPr>
          </w:p>
        </w:tc>
        <w:tc>
          <w:tcPr>
            <w:tcW w:w="8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Item 1A.</w:t>
            </w:r>
          </w:p>
        </w:tc>
        <w:tc>
          <w:tcPr>
            <w:tcW w:w="740" w:type="dxa"/>
            <w:vAlign w:val="bottom"/>
            <w:tcBorders>
              <w:top w:val="single" w:sz="8" w:color="0000EE"/>
              <w:bottom w:val="single" w:sz="8" w:color="0000EE"/>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5"/>
              </w:rPr>
              <w:t>Risk Factors</w:t>
            </w:r>
          </w:p>
        </w:tc>
        <w:tc>
          <w:tcPr>
            <w:tcW w:w="340" w:type="dxa"/>
            <w:vAlign w:val="bottom"/>
            <w:tcBorders>
              <w:top w:val="single" w:sz="8" w:color="0000EE"/>
              <w:bottom w:val="single" w:sz="8" w:color="CCEEFF"/>
            </w:tcBorders>
            <w:gridSpan w:val="2"/>
            <w:shd w:val="clear" w:color="auto" w:fill="CCEEFF"/>
          </w:tcPr>
          <w:p>
            <w:pPr>
              <w:spacing w:after="0"/>
              <w:rPr>
                <w:sz w:val="14"/>
                <w:szCs w:val="14"/>
                <w:color w:val="auto"/>
              </w:rPr>
            </w:pPr>
          </w:p>
        </w:tc>
        <w:tc>
          <w:tcPr>
            <w:tcW w:w="8860" w:type="dxa"/>
            <w:vAlign w:val="bottom"/>
            <w:tcBorders>
              <w:bottom w:val="single" w:sz="8" w:color="CCEEFF"/>
            </w:tcBorders>
            <w:gridSpan w:val="15"/>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55</w:t>
            </w:r>
          </w:p>
        </w:tc>
      </w:tr>
      <w:tr>
        <w:trPr>
          <w:trHeight w:val="143"/>
        </w:trPr>
        <w:tc>
          <w:tcPr>
            <w:tcW w:w="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2.</w:t>
            </w:r>
          </w:p>
        </w:tc>
        <w:tc>
          <w:tcPr>
            <w:tcW w:w="9940" w:type="dxa"/>
            <w:vAlign w:val="bottom"/>
            <w:gridSpan w:val="19"/>
          </w:tcPr>
          <w:p>
            <w:pPr>
              <w:spacing w:after="0" w:line="144" w:lineRule="exact"/>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55</w:t>
            </w:r>
          </w:p>
        </w:tc>
      </w:tr>
      <w:tr>
        <w:trPr>
          <w:trHeight w:val="170"/>
        </w:trPr>
        <w:tc>
          <w:tcPr>
            <w:tcW w:w="20" w:type="dxa"/>
            <w:vAlign w:val="bottom"/>
          </w:tcPr>
          <w:p>
            <w:pPr>
              <w:spacing w:after="0"/>
              <w:rPr>
                <w:sz w:val="14"/>
                <w:szCs w:val="14"/>
                <w:color w:val="auto"/>
              </w:rPr>
            </w:pPr>
          </w:p>
        </w:tc>
        <w:tc>
          <w:tcPr>
            <w:tcW w:w="8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Item 3.</w:t>
            </w:r>
          </w:p>
        </w:tc>
        <w:tc>
          <w:tcPr>
            <w:tcW w:w="1900" w:type="dxa"/>
            <w:vAlign w:val="bottom"/>
            <w:tcBorders>
              <w:top w:val="single" w:sz="8" w:color="0000EE"/>
              <w:bottom w:val="single" w:sz="8" w:color="0000EE"/>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7"/>
              </w:rPr>
              <w:t>Defaults Upon Senior Securities</w:t>
            </w:r>
          </w:p>
        </w:tc>
        <w:tc>
          <w:tcPr>
            <w:tcW w:w="1640" w:type="dxa"/>
            <w:vAlign w:val="bottom"/>
            <w:tcBorders>
              <w:top w:val="single" w:sz="8" w:color="0000EE"/>
              <w:bottom w:val="single" w:sz="8" w:color="CCEEFF"/>
            </w:tcBorders>
            <w:shd w:val="clear" w:color="auto" w:fill="CCEEFF"/>
          </w:tcPr>
          <w:p>
            <w:pPr>
              <w:spacing w:after="0"/>
              <w:rPr>
                <w:sz w:val="14"/>
                <w:szCs w:val="14"/>
                <w:color w:val="auto"/>
              </w:rPr>
            </w:pPr>
          </w:p>
        </w:tc>
        <w:tc>
          <w:tcPr>
            <w:tcW w:w="6400" w:type="dxa"/>
            <w:vAlign w:val="bottom"/>
            <w:tcBorders>
              <w:bottom w:val="single" w:sz="8" w:color="CCEEFF"/>
            </w:tcBorders>
            <w:gridSpan w:val="10"/>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56</w:t>
            </w:r>
          </w:p>
        </w:tc>
      </w:tr>
      <w:tr>
        <w:trPr>
          <w:trHeight w:val="143"/>
        </w:trPr>
        <w:tc>
          <w:tcPr>
            <w:tcW w:w="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4.</w:t>
            </w:r>
          </w:p>
        </w:tc>
        <w:tc>
          <w:tcPr>
            <w:tcW w:w="1440" w:type="dxa"/>
            <w:vAlign w:val="bottom"/>
            <w:tcBorders>
              <w:bottom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5"/>
                <w:szCs w:val="15"/>
                <w:color w:val="0000EE"/>
                <w:w w:val="96"/>
              </w:rPr>
              <w:t>Mine Safety Disclosures</w:t>
            </w:r>
          </w:p>
        </w:tc>
        <w:tc>
          <w:tcPr>
            <w:tcW w:w="8500" w:type="dxa"/>
            <w:vAlign w:val="bottom"/>
            <w:gridSpan w:val="13"/>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56</w:t>
            </w:r>
          </w:p>
        </w:tc>
      </w:tr>
      <w:tr>
        <w:trPr>
          <w:trHeight w:val="170"/>
        </w:trPr>
        <w:tc>
          <w:tcPr>
            <w:tcW w:w="20" w:type="dxa"/>
            <w:vAlign w:val="bottom"/>
          </w:tcPr>
          <w:p>
            <w:pPr>
              <w:spacing w:after="0"/>
              <w:rPr>
                <w:sz w:val="14"/>
                <w:szCs w:val="14"/>
                <w:color w:val="auto"/>
              </w:rPr>
            </w:pPr>
          </w:p>
        </w:tc>
        <w:tc>
          <w:tcPr>
            <w:tcW w:w="8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Item 5.</w:t>
            </w:r>
          </w:p>
        </w:tc>
        <w:tc>
          <w:tcPr>
            <w:tcW w:w="9940" w:type="dxa"/>
            <w:vAlign w:val="bottom"/>
            <w:gridSpan w:val="19"/>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Other Information</w:t>
            </w:r>
          </w:p>
        </w:tc>
        <w:tc>
          <w:tcPr>
            <w:tcW w:w="5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56</w:t>
            </w:r>
          </w:p>
        </w:tc>
      </w:tr>
      <w:tr>
        <w:trPr>
          <w:trHeight w:val="143"/>
        </w:trPr>
        <w:tc>
          <w:tcPr>
            <w:tcW w:w="20" w:type="dxa"/>
            <w:vAlign w:val="bottom"/>
          </w:tcPr>
          <w:p>
            <w:pPr>
              <w:spacing w:after="0"/>
              <w:rPr>
                <w:sz w:val="12"/>
                <w:szCs w:val="12"/>
                <w:color w:val="auto"/>
              </w:rPr>
            </w:pPr>
          </w:p>
        </w:tc>
        <w:tc>
          <w:tcPr>
            <w:tcW w:w="800" w:type="dxa"/>
            <w:vAlign w:val="bottom"/>
            <w:tcBorders>
              <w:top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5"/>
                <w:szCs w:val="15"/>
                <w:color w:val="auto"/>
              </w:rPr>
              <w:t>Item 6.</w:t>
            </w:r>
          </w:p>
        </w:tc>
        <w:tc>
          <w:tcPr>
            <w:tcW w:w="1060" w:type="dxa"/>
            <w:vAlign w:val="bottom"/>
            <w:tcBorders>
              <w:top w:val="single" w:sz="8" w:color="0000EE"/>
            </w:tcBorders>
            <w:gridSpan w:val="3"/>
          </w:tcPr>
          <w:p>
            <w:pPr>
              <w:spacing w:after="0" w:line="144" w:lineRule="exact"/>
              <w:rPr>
                <w:sz w:val="20"/>
                <w:szCs w:val="20"/>
                <w:color w:val="auto"/>
              </w:rPr>
            </w:pPr>
            <w:r>
              <w:rPr>
                <w:rFonts w:ascii="Times New Roman" w:cs="Times New Roman" w:eastAsia="Times New Roman" w:hAnsi="Times New Roman"/>
                <w:sz w:val="15"/>
                <w:szCs w:val="15"/>
                <w:color w:val="0000EE"/>
              </w:rPr>
              <w:t>Exhibits</w:t>
            </w:r>
          </w:p>
        </w:tc>
        <w:tc>
          <w:tcPr>
            <w:tcW w:w="8880" w:type="dxa"/>
            <w:vAlign w:val="bottom"/>
            <w:tcBorders>
              <w:top w:val="single" w:sz="8" w:color="CCEEFF"/>
            </w:tcBorders>
            <w:gridSpan w:val="16"/>
          </w:tcPr>
          <w:p>
            <w:pPr>
              <w:spacing w:after="0"/>
              <w:rPr>
                <w:sz w:val="12"/>
                <w:szCs w:val="12"/>
                <w:color w:val="auto"/>
              </w:rPr>
            </w:pPr>
          </w:p>
        </w:tc>
        <w:tc>
          <w:tcPr>
            <w:tcW w:w="520" w:type="dxa"/>
            <w:vAlign w:val="bottom"/>
            <w:tcBorders>
              <w:top w:val="single" w:sz="8" w:color="CCEEFF"/>
            </w:tcBorders>
          </w:tcPr>
          <w:p>
            <w:pPr>
              <w:jc w:val="center"/>
              <w:spacing w:after="0" w:line="144" w:lineRule="exact"/>
              <w:rPr>
                <w:sz w:val="20"/>
                <w:szCs w:val="20"/>
                <w:color w:val="auto"/>
              </w:rPr>
            </w:pPr>
            <w:r>
              <w:rPr>
                <w:rFonts w:ascii="Times New Roman" w:cs="Times New Roman" w:eastAsia="Times New Roman" w:hAnsi="Times New Roman"/>
                <w:sz w:val="15"/>
                <w:szCs w:val="15"/>
                <w:color w:val="auto"/>
                <w:w w:val="93"/>
              </w:rPr>
              <w:t>57</w:t>
            </w:r>
          </w:p>
        </w:tc>
      </w:tr>
      <w:tr>
        <w:trPr>
          <w:trHeight w:val="156"/>
        </w:trPr>
        <w:tc>
          <w:tcPr>
            <w:tcW w:w="20" w:type="dxa"/>
            <w:vAlign w:val="bottom"/>
          </w:tcPr>
          <w:p>
            <w:pPr>
              <w:spacing w:after="0"/>
              <w:rPr>
                <w:sz w:val="13"/>
                <w:szCs w:val="13"/>
                <w:color w:val="auto"/>
              </w:rPr>
            </w:pPr>
          </w:p>
        </w:tc>
        <w:tc>
          <w:tcPr>
            <w:tcW w:w="8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Signatures</w:t>
            </w:r>
          </w:p>
        </w:tc>
        <w:tc>
          <w:tcPr>
            <w:tcW w:w="480" w:type="dxa"/>
            <w:vAlign w:val="bottom"/>
            <w:tcBorders>
              <w:top w:val="single" w:sz="8" w:color="0000EE"/>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58</w:t>
            </w:r>
          </w:p>
        </w:tc>
      </w:tr>
      <w:tr>
        <w:trPr>
          <w:trHeight w:val="33"/>
        </w:trPr>
        <w:tc>
          <w:tcPr>
            <w:tcW w:w="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58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93"/>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(AUDITED)</w:t>
            </w:r>
          </w:p>
        </w:tc>
        <w:tc>
          <w:tcPr>
            <w:tcW w:w="0" w:type="dxa"/>
            <w:vAlign w:val="bottom"/>
          </w:tcPr>
          <w:p>
            <w:pPr>
              <w:spacing w:after="0"/>
              <w:rPr>
                <w:sz w:val="1"/>
                <w:szCs w:val="1"/>
                <w:color w:val="auto"/>
              </w:rPr>
            </w:pPr>
          </w:p>
        </w:tc>
      </w:tr>
      <w:tr>
        <w:trPr>
          <w:trHeight w:val="168"/>
        </w:trPr>
        <w:tc>
          <w:tcPr>
            <w:tcW w:w="70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 investments (cost of $235,908,892 and $234,601,314, respectively)</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194,570,607</w:t>
            </w: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198,511,915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Non-controlled/affiliate investments (cost of $20,605,400 and $20,605,400, respectively)</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8,796,115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9,268,827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 (cost of $1,602,940 and $1,602,940, respectively)</w:t>
            </w:r>
          </w:p>
        </w:tc>
        <w:tc>
          <w:tcPr>
            <w:tcW w:w="2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10,210,476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02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Total Investments (cost of $258,117,232 and $256,809,654, respectively)</w:t>
            </w: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213,577,198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209,380,742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2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16,180,542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20,035,640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260" w:type="dxa"/>
            <w:vAlign w:val="bottom"/>
          </w:tcPr>
          <w:p>
            <w:pPr>
              <w:spacing w:after="0"/>
              <w:rPr>
                <w:sz w:val="15"/>
                <w:szCs w:val="15"/>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27,347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45,298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447,496</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756,022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538,413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526,261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Prepaid expenses and other assets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896,163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855,630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CCEEFF"/>
            </w:tcBorders>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6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231,667,159</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231,599,593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6.00% Notes due December 30, 2026</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39,302,906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44,198,838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6.50% Convertible Notes due August 14, 2029</w:t>
            </w:r>
            <w:r>
              <w:rPr>
                <w:rFonts w:ascii="Times New Roman" w:cs="Times New Roman" w:eastAsia="Times New Roman" w:hAnsi="Times New Roman"/>
                <w:sz w:val="24"/>
                <w:szCs w:val="24"/>
                <w:color w:val="auto"/>
                <w:vertAlign w:val="superscript"/>
              </w:rPr>
              <w:t>(3)</w:t>
            </w: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33,950,859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29,051,408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Accounts payable and accrued expenses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1,609,239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768,394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Dividends payable</w:t>
            </w:r>
          </w:p>
        </w:tc>
        <w:tc>
          <w:tcPr>
            <w:tcW w:w="26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8,867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74,863,004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74,027,507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(Notes 7 and 10)</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156,804,155</w:t>
            </w:r>
          </w:p>
        </w:tc>
        <w:tc>
          <w:tcPr>
            <w:tcW w:w="320" w:type="dxa"/>
            <w:vAlign w:val="bottom"/>
          </w:tcPr>
          <w:p>
            <w:pPr>
              <w:spacing w:after="0"/>
              <w:rPr>
                <w:sz w:val="20"/>
                <w:szCs w:val="20"/>
                <w:color w:val="auto"/>
              </w:rPr>
            </w:pP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702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NET ASSETS</w:t>
            </w:r>
          </w:p>
        </w:tc>
        <w:tc>
          <w:tcPr>
            <w:tcW w:w="2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Common stock, par value $0.01 per share (100,000,000 authorized; 23,551,859 and 23,601,566 issued and</w:t>
            </w: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outstanding, respectively)</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235,519</w:t>
            </w:r>
          </w:p>
        </w:tc>
        <w:tc>
          <w:tcPr>
            <w:tcW w:w="320" w:type="dxa"/>
            <w:vAlign w:val="bottom"/>
          </w:tcPr>
          <w:p>
            <w:pPr>
              <w:spacing w:after="0"/>
              <w:rPr>
                <w:sz w:val="16"/>
                <w:szCs w:val="16"/>
                <w:color w:val="auto"/>
              </w:rPr>
            </w:pP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236,016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Paid-in capital in excess of par</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226,618,713</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226,579,432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net investment loss</w:t>
            </w:r>
          </w:p>
        </w:tc>
        <w:tc>
          <w:tcPr>
            <w:tcW w:w="260" w:type="dxa"/>
            <w:vAlign w:val="bottom"/>
          </w:tcPr>
          <w:p>
            <w:pPr>
              <w:spacing w:after="0"/>
              <w:rPr>
                <w:sz w:val="15"/>
                <w:szCs w:val="15"/>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(7,963,961)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(4,302,192)</w:t>
            </w: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net realized loss on investments, net of distributions</w:t>
            </w:r>
          </w:p>
        </w:tc>
        <w:tc>
          <w:tcPr>
            <w:tcW w:w="26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(17,442,921)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(17,409,097)</w:t>
            </w:r>
          </w:p>
        </w:tc>
        <w:tc>
          <w:tcPr>
            <w:tcW w:w="0" w:type="dxa"/>
            <w:vAlign w:val="bottom"/>
          </w:tcPr>
          <w:p>
            <w:pPr>
              <w:spacing w:after="0"/>
              <w:rPr>
                <w:sz w:val="1"/>
                <w:szCs w:val="1"/>
                <w:color w:val="auto"/>
              </w:rPr>
            </w:pPr>
          </w:p>
        </w:tc>
      </w:t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net unrealized appreciation/(depreciation) of investments</w:t>
            </w:r>
          </w:p>
        </w:tc>
        <w:tc>
          <w:tcPr>
            <w:tcW w:w="260" w:type="dxa"/>
            <w:vAlign w:val="bottom"/>
          </w:tcPr>
          <w:p>
            <w:pPr>
              <w:spacing w:after="0"/>
              <w:rPr>
                <w:sz w:val="16"/>
                <w:szCs w:val="16"/>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(44,643,195)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(47,532,073)</w:t>
            </w:r>
          </w:p>
        </w:tc>
        <w:tc>
          <w:tcPr>
            <w:tcW w:w="0" w:type="dxa"/>
            <w:vAlign w:val="bottom"/>
          </w:tcPr>
          <w:p>
            <w:pPr>
              <w:spacing w:after="0"/>
              <w:rPr>
                <w:sz w:val="1"/>
                <w:szCs w:val="1"/>
                <w:color w:val="auto"/>
              </w:rPr>
            </w:pPr>
          </w:p>
        </w:tc>
      </w:tr>
      <w:tr>
        <w:trPr>
          <w:trHeight w:val="179"/>
        </w:trPr>
        <w:tc>
          <w:tcPr>
            <w:tcW w:w="7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156,804,155</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Net Asset Value Per Share</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6.66</w:t>
            </w:r>
          </w:p>
        </w:tc>
        <w:tc>
          <w:tcPr>
            <w:tcW w:w="320" w:type="dxa"/>
            <w:vAlign w:val="bottom"/>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6.68</w:t>
            </w: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926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82" w:lineRule="exact"/>
        <w:rPr>
          <w:sz w:val="20"/>
          <w:szCs w:val="20"/>
          <w:color w:val="auto"/>
        </w:rPr>
      </w:pPr>
    </w:p>
    <w:p>
      <w:pPr>
        <w:ind w:left="280" w:right="20" w:hanging="272"/>
        <w:spacing w:after="0" w:line="257" w:lineRule="auto"/>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5"/>
          <w:szCs w:val="15"/>
          <w:i w:val="1"/>
          <w:iCs w:val="1"/>
          <w:color w:val="auto"/>
        </w:rPr>
        <w:t>Operating Leases and Related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Deposits</w:t>
      </w:r>
      <w:r>
        <w:rPr>
          <w:rFonts w:ascii="Times New Roman" w:cs="Times New Roman" w:eastAsia="Times New Roman" w:hAnsi="Times New Roman"/>
          <w:sz w:val="15"/>
          <w:szCs w:val="15"/>
          <w:color w:val="auto"/>
        </w:rPr>
        <w:t>” for more detail.</w:t>
      </w:r>
    </w:p>
    <w:p>
      <w:pPr>
        <w:jc w:val="both"/>
        <w:ind w:left="280" w:hanging="272"/>
        <w:spacing w:after="0" w:line="245" w:lineRule="auto"/>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the 6.00% Notes due December 30, 2026 (the “6.00% Notes due 2026”) (effective interest rate of 6.52%) had a face value $39,667,650. As of December 31, 2024, the 6.00% Notes due 2026 (effective interest rate of 6.48%) had a face value $44,667,400. Refer to “Note 10—Debt Capital Activities” for a reconciliation of the carrying value to the face value.</w:t>
      </w:r>
    </w:p>
    <w:p>
      <w:pPr>
        <w:spacing w:after="0" w:line="1" w:lineRule="exact"/>
        <w:rPr>
          <w:rFonts w:ascii="Times New Roman" w:cs="Times New Roman" w:eastAsia="Times New Roman" w:hAnsi="Times New Roman"/>
          <w:sz w:val="15"/>
          <w:szCs w:val="15"/>
          <w:color w:val="auto"/>
        </w:rPr>
      </w:pPr>
    </w:p>
    <w:p>
      <w:pPr>
        <w:jc w:val="both"/>
        <w:ind w:left="280" w:hanging="272"/>
        <w:spacing w:after="0" w:line="248" w:lineRule="auto"/>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the 6.50% Convertible Notes due August 14, 2029 (the “6.50% Convertible Notes due 2029”) (effective interest rate of 7.01%) had a face value $35,000,000. As of December 31, 2024, the 6.50% Convertible Notes due 2029 (effective interest rate of 7.06%) had a face value $30,000,000.Refer to “Note 10—Debt Capital Activities” for a reconciliation of the carrying value to the face value.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1500" w:type="dxa"/>
            <w:vAlign w:val="bottom"/>
            <w:tcBorders>
              <w:top w:val="single" w:sz="8" w:color="0000EE"/>
            </w:tcBorders>
          </w:tcPr>
          <w:p>
            <w:pPr>
              <w:spacing w:after="0"/>
              <w:rPr>
                <w:sz w:val="24"/>
                <w:szCs w:val="24"/>
                <w:color w:val="auto"/>
              </w:rPr>
            </w:pPr>
          </w:p>
        </w:tc>
        <w:tc>
          <w:tcPr>
            <w:tcW w:w="5960" w:type="dxa"/>
            <w:vAlign w:val="bottom"/>
          </w:tcPr>
          <w:p>
            <w:pPr>
              <w:ind w:left="26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698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(UNAUDITED)</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5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20" w:type="dxa"/>
            <w:vAlign w:val="bottom"/>
            <w:gridSpan w:val="7"/>
          </w:tcPr>
          <w:p>
            <w:pPr>
              <w:jc w:val="right"/>
              <w:ind w:right="88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79"/>
        </w:trPr>
        <w:tc>
          <w:tcPr>
            <w:tcW w:w="150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4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INVESTMENT INCOME</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gridSpan w:val="2"/>
            <w:shd w:val="clear" w:color="auto" w:fill="CCEEFF"/>
          </w:tcPr>
          <w:p>
            <w:pPr>
              <w:ind w:left="300"/>
              <w:spacing w:after="0" w:line="210" w:lineRule="exact"/>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150,647</w:t>
            </w:r>
          </w:p>
        </w:tc>
        <w:tc>
          <w:tcPr>
            <w:tcW w:w="5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242,007</w:t>
            </w:r>
          </w:p>
        </w:tc>
        <w:tc>
          <w:tcPr>
            <w:tcW w:w="0" w:type="dxa"/>
            <w:vAlign w:val="bottom"/>
          </w:tcPr>
          <w:p>
            <w:pPr>
              <w:spacing w:after="0"/>
              <w:rPr>
                <w:sz w:val="1"/>
                <w:szCs w:val="1"/>
                <w:color w:val="auto"/>
              </w:rPr>
            </w:pPr>
          </w:p>
        </w:tc>
      </w:tr>
      <w:tr>
        <w:trPr>
          <w:trHeight w:val="176"/>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Dividend income</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348,447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21,875</w:t>
            </w: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Interest income</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435,000</w:t>
            </w:r>
          </w:p>
        </w:tc>
        <w:tc>
          <w:tcPr>
            <w:tcW w:w="0" w:type="dxa"/>
            <w:vAlign w:val="bottom"/>
          </w:tcPr>
          <w:p>
            <w:pPr>
              <w:spacing w:after="0"/>
              <w:rPr>
                <w:sz w:val="1"/>
                <w:szCs w:val="1"/>
                <w:color w:val="auto"/>
              </w:rPr>
            </w:pPr>
          </w:p>
        </w:tc>
      </w:tr>
      <w:tr>
        <w:trPr>
          <w:trHeight w:val="187"/>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 from U.S. Treasury bills</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829,209</w:t>
            </w:r>
          </w:p>
        </w:tc>
        <w:tc>
          <w:tcPr>
            <w:tcW w:w="0" w:type="dxa"/>
            <w:vAlign w:val="bottom"/>
          </w:tcPr>
          <w:p>
            <w:pPr>
              <w:spacing w:after="0"/>
              <w:rPr>
                <w:sz w:val="1"/>
                <w:szCs w:val="1"/>
                <w:color w:val="auto"/>
              </w:rPr>
            </w:pPr>
          </w:p>
        </w:tc>
      </w:tr>
      <w:tr>
        <w:trPr>
          <w:trHeight w:val="167"/>
        </w:trPr>
        <w:tc>
          <w:tcPr>
            <w:tcW w:w="7460" w:type="dxa"/>
            <w:vAlign w:val="bottom"/>
            <w:tcBorders>
              <w:bottom w:val="single" w:sz="8" w:color="CCEEFF"/>
            </w:tcBorders>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 Investment Income</w:t>
            </w:r>
          </w:p>
        </w:tc>
        <w:tc>
          <w:tcPr>
            <w:tcW w:w="10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499,094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1,528,091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1,667,835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2,185,318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1,259,849</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1,214,267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750,224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728,559</w:t>
            </w: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170,565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171,113</w:t>
            </w:r>
          </w:p>
        </w:tc>
        <w:tc>
          <w:tcPr>
            <w:tcW w:w="0" w:type="dxa"/>
            <w:vAlign w:val="bottom"/>
          </w:tcPr>
          <w:p>
            <w:pPr>
              <w:spacing w:after="0"/>
              <w:rPr>
                <w:sz w:val="1"/>
                <w:szCs w:val="1"/>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2,796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2,100</w:t>
            </w:r>
          </w:p>
        </w:tc>
        <w:tc>
          <w:tcPr>
            <w:tcW w:w="0" w:type="dxa"/>
            <w:vAlign w:val="bottom"/>
          </w:tcPr>
          <w:p>
            <w:pPr>
              <w:spacing w:after="0"/>
              <w:rPr>
                <w:sz w:val="1"/>
                <w:szCs w:val="1"/>
                <w:color w:val="auto"/>
              </w:rPr>
            </w:pPr>
          </w:p>
        </w:tc>
      </w:tr>
      <w:tr>
        <w:trPr>
          <w:trHeight w:val="187"/>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309,594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449,636</w:t>
            </w:r>
          </w:p>
        </w:tc>
        <w:tc>
          <w:tcPr>
            <w:tcW w:w="0" w:type="dxa"/>
            <w:vAlign w:val="bottom"/>
          </w:tcPr>
          <w:p>
            <w:pPr>
              <w:spacing w:after="0"/>
              <w:rPr>
                <w:sz w:val="1"/>
                <w:szCs w:val="1"/>
                <w:color w:val="auto"/>
              </w:rPr>
            </w:pPr>
          </w:p>
        </w:tc>
      </w:tr>
      <w:tr>
        <w:trPr>
          <w:trHeight w:val="167"/>
        </w:trPr>
        <w:tc>
          <w:tcPr>
            <w:tcW w:w="7460" w:type="dxa"/>
            <w:vAlign w:val="bottom"/>
            <w:tcBorders>
              <w:bottom w:val="single" w:sz="8" w:color="CCEEFF"/>
            </w:tcBorders>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 Operating Expenses</w:t>
            </w:r>
          </w:p>
        </w:tc>
        <w:tc>
          <w:tcPr>
            <w:tcW w:w="10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4,160,863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4,750,993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60" w:type="dxa"/>
            <w:vAlign w:val="bottom"/>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Net Investment Loss</w:t>
            </w:r>
          </w:p>
        </w:tc>
        <w:tc>
          <w:tcPr>
            <w:tcW w:w="10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(3,661,769</w:t>
            </w:r>
          </w:p>
        </w:tc>
        <w:tc>
          <w:tcPr>
            <w:tcW w:w="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(3,222,902</w:t>
            </w:r>
          </w:p>
        </w:tc>
        <w:tc>
          <w:tcPr>
            <w:tcW w:w="1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7"/>
        </w:trPr>
        <w:tc>
          <w:tcPr>
            <w:tcW w:w="746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Realized Gain/(Loss) on Investments: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(484,141)</w:t>
            </w:r>
          </w:p>
        </w:tc>
        <w:tc>
          <w:tcPr>
            <w:tcW w:w="0" w:type="dxa"/>
            <w:vAlign w:val="bottom"/>
          </w:tcPr>
          <w:p>
            <w:pPr>
              <w:spacing w:after="0"/>
              <w:rPr>
                <w:sz w:val="1"/>
                <w:szCs w:val="1"/>
                <w:color w:val="auto"/>
              </w:rPr>
            </w:pPr>
          </w:p>
        </w:tc>
      </w:tr>
      <w:tr>
        <w:trPr>
          <w:trHeight w:val="187"/>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1020" w:type="dxa"/>
            <w:vAlign w:val="bottom"/>
          </w:tcPr>
          <w:p>
            <w:pPr>
              <w:spacing w:after="0"/>
              <w:rPr>
                <w:sz w:val="16"/>
                <w:szCs w:val="16"/>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60,067</w:t>
            </w:r>
          </w:p>
        </w:tc>
        <w:tc>
          <w:tcPr>
            <w:tcW w:w="0" w:type="dxa"/>
            <w:vAlign w:val="bottom"/>
          </w:tcPr>
          <w:p>
            <w:pPr>
              <w:spacing w:after="0"/>
              <w:rPr>
                <w:sz w:val="1"/>
                <w:szCs w:val="1"/>
                <w:color w:val="auto"/>
              </w:rPr>
            </w:pPr>
          </w:p>
        </w:tc>
      </w:tr>
      <w:tr>
        <w:trPr>
          <w:trHeight w:val="167"/>
        </w:trPr>
        <w:tc>
          <w:tcPr>
            <w:tcW w:w="7460" w:type="dxa"/>
            <w:vAlign w:val="bottom"/>
            <w:tcBorders>
              <w:top w:val="single" w:sz="8" w:color="CCEEFF"/>
            </w:tcBorders>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Net Realized Loss on Investments</w:t>
            </w:r>
          </w:p>
        </w:tc>
        <w:tc>
          <w:tcPr>
            <w:tcW w:w="10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(17,951)</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(424,074)</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Realized loss on partial repurchase of 6.00% Notes due December 30, 2026</w:t>
            </w:r>
          </w:p>
        </w:tc>
        <w:tc>
          <w:tcPr>
            <w:tcW w:w="102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(15,873)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Unrealized Appreciation/(Depreciation) of Investments:</w:t>
            </w: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102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w w:val="99"/>
              </w:rPr>
              <w:t>(5,248,885)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(16,395,171)</w:t>
            </w:r>
          </w:p>
        </w:tc>
        <w:tc>
          <w:tcPr>
            <w:tcW w:w="0" w:type="dxa"/>
            <w:vAlign w:val="bottom"/>
          </w:tcPr>
          <w:p>
            <w:pPr>
              <w:spacing w:after="0"/>
              <w:rPr>
                <w:sz w:val="1"/>
                <w:szCs w:val="1"/>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(472,713)</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(2,016,699)</w:t>
            </w:r>
          </w:p>
        </w:tc>
        <w:tc>
          <w:tcPr>
            <w:tcW w:w="0" w:type="dxa"/>
            <w:vAlign w:val="bottom"/>
          </w:tcPr>
          <w:p>
            <w:pPr>
              <w:spacing w:after="0"/>
              <w:rPr>
                <w:sz w:val="1"/>
                <w:szCs w:val="1"/>
                <w:color w:val="auto"/>
              </w:rPr>
            </w:pPr>
          </w:p>
        </w:tc>
      </w:tr>
      <w:tr>
        <w:trPr>
          <w:trHeight w:val="187"/>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1020" w:type="dxa"/>
            <w:vAlign w:val="bottom"/>
          </w:tcPr>
          <w:p>
            <w:pPr>
              <w:spacing w:after="0"/>
              <w:rPr>
                <w:sz w:val="16"/>
                <w:szCs w:val="16"/>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8,610,476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(6,500)</w:t>
            </w:r>
          </w:p>
        </w:tc>
        <w:tc>
          <w:tcPr>
            <w:tcW w:w="0" w:type="dxa"/>
            <w:vAlign w:val="bottom"/>
          </w:tcPr>
          <w:p>
            <w:pPr>
              <w:spacing w:after="0"/>
              <w:rPr>
                <w:sz w:val="1"/>
                <w:szCs w:val="1"/>
                <w:color w:val="auto"/>
              </w:rPr>
            </w:pPr>
          </w:p>
        </w:tc>
      </w:tr>
      <w:tr>
        <w:trPr>
          <w:trHeight w:val="167"/>
        </w:trPr>
        <w:tc>
          <w:tcPr>
            <w:tcW w:w="7460" w:type="dxa"/>
            <w:vAlign w:val="bottom"/>
            <w:tcBorders>
              <w:top w:val="single" w:sz="8" w:color="CCEEFF"/>
            </w:tcBorders>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Net Change in Unrealized Appreciation/(Depreciation) of Investments</w:t>
            </w: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2,888,878</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(18,418,370</w:t>
            </w:r>
          </w:p>
        </w:tc>
        <w:tc>
          <w:tcPr>
            <w:tcW w:w="12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02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(806,715</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(22,065,346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150"/>
        </w:trPr>
        <w:tc>
          <w:tcPr>
            <w:tcW w:w="7460" w:type="dxa"/>
            <w:vAlign w:val="bottom"/>
            <w:gridSpan w:val="2"/>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Operations per Common Share:</w:t>
            </w:r>
          </w:p>
        </w:tc>
        <w:tc>
          <w:tcPr>
            <w:tcW w:w="10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Basic</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(0.03)</w:t>
            </w:r>
          </w:p>
        </w:tc>
        <w:tc>
          <w:tcPr>
            <w:tcW w:w="520" w:type="dxa"/>
            <w:vAlign w:val="bottom"/>
            <w:gridSpan w:val="2"/>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0" w:type="dxa"/>
            <w:vAlign w:val="bottom"/>
          </w:tcPr>
          <w:p>
            <w:pPr>
              <w:spacing w:after="0"/>
              <w:rPr>
                <w:sz w:val="1"/>
                <w:szCs w:val="1"/>
                <w:color w:val="auto"/>
              </w:rPr>
            </w:pPr>
          </w:p>
        </w:tc>
      </w:tr>
      <w:tr>
        <w:trPr>
          <w:trHeight w:val="150"/>
        </w:trPr>
        <w:tc>
          <w:tcPr>
            <w:tcW w:w="7460" w:type="dxa"/>
            <w:vAlign w:val="bottom"/>
            <w:tcBorders>
              <w:top w:val="single" w:sz="8" w:color="CCEEFF"/>
              <w:bottom w:val="single" w:sz="8" w:color="CCEEFF"/>
            </w:tcBorders>
            <w:gridSpan w:val="2"/>
            <w:shd w:val="clear" w:color="auto" w:fill="CCEEFF"/>
          </w:tcPr>
          <w:p>
            <w:pPr>
              <w:ind w:left="300"/>
              <w:spacing w:after="0" w:line="150" w:lineRule="exact"/>
              <w:rPr>
                <w:sz w:val="20"/>
                <w:szCs w:val="20"/>
                <w:color w:val="auto"/>
              </w:rPr>
            </w:pPr>
            <w:r>
              <w:rPr>
                <w:rFonts w:ascii="Times New Roman" w:cs="Times New Roman" w:eastAsia="Times New Roman" w:hAnsi="Times New Roman"/>
                <w:sz w:val="11"/>
                <w:szCs w:val="11"/>
                <w:color w:val="auto"/>
              </w:rPr>
              <w:t>Diluted</w:t>
            </w:r>
            <w:r>
              <w:rPr>
                <w:rFonts w:ascii="Times New Roman" w:cs="Times New Roman" w:eastAsia="Times New Roman" w:hAnsi="Times New Roman"/>
                <w:sz w:val="17"/>
                <w:szCs w:val="17"/>
                <w:color w:val="auto"/>
                <w:vertAlign w:val="superscript"/>
              </w:rPr>
              <w:t>(2)</w:t>
            </w:r>
          </w:p>
        </w:tc>
        <w:tc>
          <w:tcPr>
            <w:tcW w:w="1020" w:type="dxa"/>
            <w:vAlign w:val="bottom"/>
            <w:tcBorders>
              <w:top w:val="single" w:sz="8" w:color="auto"/>
              <w:bottom w:val="single" w:sz="8" w:color="auto"/>
            </w:tcBorders>
            <w:shd w:val="clear" w:color="auto" w:fill="CCEEFF"/>
          </w:tcPr>
          <w:p>
            <w:pPr>
              <w:jc w:val="right"/>
              <w:ind w:right="866"/>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(0.03</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26"/>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Weighted-Average Common Shares Outstanding</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Basic</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w w:val="97"/>
              </w:rPr>
              <w:t>23,571,840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r>
        <w:trPr>
          <w:trHeight w:val="323"/>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4"/>
                <w:szCs w:val="24"/>
                <w:color w:val="auto"/>
                <w:vertAlign w:val="superscript"/>
              </w:rPr>
              <w:t>(2)</w:t>
            </w:r>
          </w:p>
        </w:tc>
        <w:tc>
          <w:tcPr>
            <w:tcW w:w="1020" w:type="dxa"/>
            <w:vAlign w:val="bottom"/>
          </w:tcPr>
          <w:p>
            <w:pPr>
              <w:spacing w:after="0"/>
              <w:rPr>
                <w:sz w:val="24"/>
                <w:szCs w:val="24"/>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w w:val="97"/>
              </w:rPr>
              <w:t>23,571,840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926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84"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income earned on cash.</w:t>
      </w:r>
    </w:p>
    <w:p>
      <w:pPr>
        <w:spacing w:after="0" w:line="18" w:lineRule="exact"/>
        <w:rPr>
          <w:rFonts w:ascii="Times New Roman" w:cs="Times New Roman" w:eastAsia="Times New Roman" w:hAnsi="Times New Roman"/>
          <w:sz w:val="15"/>
          <w:szCs w:val="15"/>
          <w:color w:val="auto"/>
        </w:rPr>
      </w:pPr>
    </w:p>
    <w:p>
      <w:pPr>
        <w:jc w:val="both"/>
        <w:ind w:left="280" w:hanging="272"/>
        <w:spacing w:after="0" w:line="248" w:lineRule="auto"/>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2025, 4,516,131 potentially dilutive common shares were excluded from the weighted-average common shares outstanding for diluted net change in net assets resulting from operations per common share because the effect of these shares would have been anti-dilutive. For the three months ended March 31, 2024, there were no potentially dilutive securities outstanding. Refer to “Note 6 — Net Change in Net Assets Resulting from Operations per Common Share — Basic and Diluted”.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74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5960" w:type="dxa"/>
            <w:vAlign w:val="bottom"/>
          </w:tcPr>
          <w:p>
            <w:pPr>
              <w:ind w:left="26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40" w:type="dxa"/>
            <w:vAlign w:val="bottom"/>
            <w:gridSpan w:val="4"/>
          </w:tcPr>
          <w:p>
            <w:pPr>
              <w:jc w:val="right"/>
              <w:ind w:right="498"/>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NET ASSETS (UNAUDITED)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6"/>
          </w:tcPr>
          <w:p>
            <w:pPr>
              <w:jc w:val="right"/>
              <w:ind w:right="88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2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Assets at Beginning of Year</w:t>
            </w:r>
          </w:p>
        </w:tc>
        <w:tc>
          <w:tcPr>
            <w:tcW w:w="380" w:type="dxa"/>
            <w:vAlign w:val="bottom"/>
            <w:shd w:val="clear" w:color="auto" w:fill="CCEEFF"/>
          </w:tcPr>
          <w:p>
            <w:pPr>
              <w:jc w:val="right"/>
              <w:ind w:right="22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157,572,086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203,357,646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4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Operations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investment loss</w:t>
            </w:r>
          </w:p>
        </w:tc>
        <w:tc>
          <w:tcPr>
            <w:tcW w:w="380" w:type="dxa"/>
            <w:vAlign w:val="bottom"/>
          </w:tcPr>
          <w:p>
            <w:pPr>
              <w:spacing w:after="0"/>
              <w:rPr>
                <w:sz w:val="15"/>
                <w:szCs w:val="15"/>
                <w:color w:val="auto"/>
              </w:rPr>
            </w:pPr>
          </w:p>
        </w:tc>
        <w:tc>
          <w:tcPr>
            <w:tcW w:w="150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(3,661,769)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(3,222,902)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(424,074)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380" w:type="dxa"/>
            <w:vAlign w:val="bottom"/>
          </w:tcPr>
          <w:p>
            <w:pPr>
              <w:spacing w:after="0"/>
              <w:rPr>
                <w:sz w:val="15"/>
                <w:szCs w:val="15"/>
                <w:color w:val="auto"/>
              </w:rPr>
            </w:pPr>
          </w:p>
        </w:tc>
        <w:tc>
          <w:tcPr>
            <w:tcW w:w="150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(15,873)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2,888,878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(18,418,370)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gridSpan w:val="2"/>
          </w:tcPr>
          <w:p>
            <w:pPr>
              <w:ind w:left="280"/>
              <w:spacing w:after="0" w:line="168"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(806,715)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(22,065,346)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Capital Transactions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380" w:type="dxa"/>
            <w:vAlign w:val="bottom"/>
          </w:tcPr>
          <w:p>
            <w:pPr>
              <w:spacing w:after="0"/>
              <w:rPr>
                <w:sz w:val="16"/>
                <w:szCs w:val="16"/>
                <w:color w:val="auto"/>
              </w:rPr>
            </w:pPr>
          </w:p>
        </w:tc>
        <w:tc>
          <w:tcPr>
            <w:tcW w:w="150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38,784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428,835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Borders>
              <w:top w:val="single" w:sz="8" w:color="CCEEFF"/>
            </w:tcBorders>
            <w:gridSpan w:val="2"/>
            <w:shd w:val="clear" w:color="auto" w:fill="CCEEFF"/>
          </w:tcPr>
          <w:p>
            <w:pPr>
              <w:ind w:left="280"/>
              <w:spacing w:after="0" w:line="168"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Capital Transactions</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38,784</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428,835</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40" w:type="dxa"/>
            <w:vAlign w:val="bottom"/>
            <w:tcBorders>
              <w:bottom w:val="single" w:sz="8" w:color="CCEEFF"/>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Change in Net Assets</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(767,931</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(21,636,511</w:t>
            </w:r>
          </w:p>
        </w:tc>
        <w:tc>
          <w:tcPr>
            <w:tcW w:w="12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 at March 31</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156,804,155</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181,721,135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1">
            <w:col w:w="11280"/>
          </w:cols>
          <w:pgMar w:left="300" w:top="199" w:right="31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Capital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577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111760"/>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Shares outstanding at beginning of year</w:t>
      </w:r>
    </w:p>
    <w:p>
      <w:pPr>
        <w:ind w:left="160"/>
        <w:spacing w:after="0" w:line="196" w:lineRule="auto"/>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57720" cy="14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140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Shares Outstanding at End of Period</w:t>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926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Refer to “Note 11 — Stock-Based Compensation” for more detail.</w:t>
      </w:r>
    </w:p>
    <w:p>
      <w:pPr>
        <w:spacing w:after="0" w:line="18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w w:val="97"/>
              </w:rPr>
              <w:t>23,601,566</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25,445,805</w:t>
            </w:r>
          </w:p>
        </w:tc>
        <w:tc>
          <w:tcPr>
            <w:tcW w:w="60" w:type="dxa"/>
            <w:vAlign w:val="bottom"/>
          </w:tcPr>
          <w:p>
            <w:pPr>
              <w:spacing w:after="0"/>
              <w:rPr>
                <w:sz w:val="16"/>
                <w:szCs w:val="16"/>
                <w:color w:val="auto"/>
              </w:rPr>
            </w:pPr>
          </w:p>
        </w:tc>
      </w:tr>
      <w:tr>
        <w:trPr>
          <w:trHeight w:val="221"/>
        </w:trPr>
        <w:tc>
          <w:tcPr>
            <w:tcW w:w="100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(49,707)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(92,521)</w:t>
            </w:r>
          </w:p>
        </w:tc>
      </w:tr>
      <w:tr>
        <w:trPr>
          <w:trHeight w:val="179"/>
        </w:trPr>
        <w:tc>
          <w:tcPr>
            <w:tcW w:w="100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w w:val="97"/>
              </w:rPr>
              <w:t>23,551,859</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25,353,284</w:t>
            </w:r>
          </w:p>
        </w:tc>
        <w:tc>
          <w:tcPr>
            <w:tcW w:w="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-20320</wp:posOffset>
            </wp:positionV>
            <wp:extent cx="10712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698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-6350</wp:posOffset>
            </wp:positionV>
            <wp:extent cx="10712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698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-146685</wp:posOffset>
            </wp:positionV>
            <wp:extent cx="107124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ectPr>
          <w:pgSz w:w="11900" w:h="16838" w:orient="portrait"/>
          <w:cols w:equalWidth="0" w:num="2">
            <w:col w:w="7800" w:space="680"/>
            <w:col w:w="2800"/>
          </w:cols>
          <w:pgMar w:left="300" w:top="199" w:right="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9"/>
        </w:trPr>
        <w:tc>
          <w:tcPr>
            <w:tcW w:w="1500" w:type="dxa"/>
            <w:vAlign w:val="bottom"/>
            <w:tcBorders>
              <w:top w:val="single" w:sz="8" w:color="0000EE"/>
            </w:tcBorders>
          </w:tcPr>
          <w:p>
            <w:pPr>
              <w:spacing w:after="0"/>
              <w:rPr>
                <w:sz w:val="24"/>
                <w:szCs w:val="24"/>
                <w:color w:val="auto"/>
              </w:rPr>
            </w:pPr>
          </w:p>
        </w:tc>
        <w:tc>
          <w:tcPr>
            <w:tcW w:w="5960" w:type="dxa"/>
            <w:vAlign w:val="bottom"/>
          </w:tcPr>
          <w:p>
            <w:pPr>
              <w:ind w:left="26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1500" w:type="dxa"/>
            <w:vAlign w:val="bottom"/>
          </w:tcPr>
          <w:p>
            <w:pPr>
              <w:spacing w:after="0"/>
              <w:rPr>
                <w:sz w:val="16"/>
                <w:szCs w:val="16"/>
                <w:color w:val="auto"/>
              </w:rPr>
            </w:pPr>
          </w:p>
        </w:tc>
        <w:tc>
          <w:tcPr>
            <w:tcW w:w="698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4"/>
        </w:trPr>
        <w:tc>
          <w:tcPr>
            <w:tcW w:w="15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20" w:type="dxa"/>
            <w:vAlign w:val="bottom"/>
            <w:gridSpan w:val="7"/>
          </w:tcPr>
          <w:p>
            <w:pPr>
              <w:jc w:val="right"/>
              <w:ind w:right="88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179"/>
        </w:trPr>
        <w:tc>
          <w:tcPr>
            <w:tcW w:w="150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56"/>
        </w:trPr>
        <w:tc>
          <w:tcPr>
            <w:tcW w:w="7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(806,715)</w:t>
            </w:r>
          </w:p>
        </w:tc>
        <w:tc>
          <w:tcPr>
            <w:tcW w:w="520" w:type="dxa"/>
            <w:vAlign w:val="bottom"/>
            <w:gridSpan w:val="2"/>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(22,065,346)</w:t>
            </w:r>
          </w:p>
        </w:tc>
      </w:tr>
      <w:tr>
        <w:trPr>
          <w:trHeight w:val="162"/>
        </w:trPr>
        <w:tc>
          <w:tcPr>
            <w:tcW w:w="74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Adjustments to reconcile net change in net assets resulting from operations to net cash provided by/(used in) operating</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activities:</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6"/>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424,074</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w w:val="99"/>
              </w:rPr>
              <w:t>(2,888,878)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18,418,370</w:t>
            </w:r>
          </w:p>
        </w:tc>
      </w:tr>
      <w:tr>
        <w:trPr>
          <w:trHeight w:val="176"/>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Amortization of discount on 6.00% Notes due 2026</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60,929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106,093</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discount on 6.50% Convertible Notes due 2029</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57,608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38,784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428,835</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Adjustments to escrow proceeds receivable</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(72,997)</w:t>
            </w:r>
          </w:p>
        </w:tc>
      </w:tr>
      <w:tr>
        <w:trPr>
          <w:trHeight w:val="176"/>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Accrued interest on U.S. Treasury bills</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(376,834)</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Purchases of investments in:</w:t>
            </w: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02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w w:val="99"/>
              </w:rPr>
              <w:t>(1,307,578)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(10,003,934)</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sales or maturity of investments in:</w:t>
            </w: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74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020" w:type="dxa"/>
            <w:vAlign w:val="bottom"/>
          </w:tcPr>
          <w:p>
            <w:pPr>
              <w:spacing w:after="0"/>
              <w:rPr>
                <w:sz w:val="15"/>
                <w:szCs w:val="15"/>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318,316</w:t>
            </w:r>
          </w:p>
        </w:tc>
      </w:tr>
      <w:tr>
        <w:trPr>
          <w:trHeight w:val="176"/>
        </w:trPr>
        <w:tc>
          <w:tcPr>
            <w:tcW w:w="7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Treasury bills</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34,547,625</w:t>
            </w: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72,990</w:t>
            </w:r>
          </w:p>
        </w:tc>
      </w:tr>
      <w:tr>
        <w:trPr>
          <w:trHeight w:val="176"/>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02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(40,533)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27,453</w:t>
            </w:r>
          </w:p>
        </w:tc>
      </w:tr>
      <w:tr>
        <w:trPr>
          <w:trHeight w:val="176"/>
        </w:trPr>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308,526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(5,050)</w:t>
            </w:r>
          </w:p>
        </w:tc>
      </w:tr>
      <w:tr>
        <w:trPr>
          <w:trHeight w:val="187"/>
        </w:trPr>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020" w:type="dxa"/>
            <w:vAlign w:val="bottom"/>
          </w:tcPr>
          <w:p>
            <w:pPr>
              <w:spacing w:after="0"/>
              <w:rPr>
                <w:sz w:val="16"/>
                <w:szCs w:val="16"/>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840,845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924,275</w:t>
            </w:r>
          </w:p>
        </w:tc>
      </w:tr>
      <w:tr>
        <w:trPr>
          <w:trHeight w:val="167"/>
        </w:trPr>
        <w:tc>
          <w:tcPr>
            <w:tcW w:w="746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Cash Provided by/(Used in) Operating Activities</w:t>
            </w: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(3,719,061</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22,743,870</w:t>
            </w:r>
          </w:p>
        </w:tc>
        <w:tc>
          <w:tcPr>
            <w:tcW w:w="120" w:type="dxa"/>
            <w:vAlign w:val="bottom"/>
            <w:tcBorders>
              <w:top w:val="single" w:sz="8" w:color="CCEEFF"/>
            </w:tcBorders>
            <w:shd w:val="clear" w:color="auto" w:fill="CCEEFF"/>
          </w:tcPr>
          <w:p>
            <w:pPr>
              <w:spacing w:after="0"/>
              <w:rPr>
                <w:sz w:val="14"/>
                <w:szCs w:val="14"/>
                <w:color w:val="auto"/>
              </w:rPr>
            </w:pPr>
          </w:p>
        </w:tc>
      </w:tr>
      <w:tr>
        <w:trPr>
          <w:trHeight w:val="167"/>
        </w:trPr>
        <w:tc>
          <w:tcPr>
            <w:tcW w:w="746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proceeds from the issuance of 6.50% Convertible Notes due 2029</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5,000,000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debt issuance costs</w:t>
            </w:r>
          </w:p>
        </w:tc>
        <w:tc>
          <w:tcPr>
            <w:tcW w:w="102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(158,157)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6.00% Notes due 2026</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w w:val="99"/>
              </w:rPr>
              <w:t>(4,954,950)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1020" w:type="dxa"/>
            <w:vAlign w:val="bottom"/>
          </w:tcPr>
          <w:p>
            <w:pPr>
              <w:spacing w:after="0"/>
              <w:rPr>
                <w:sz w:val="16"/>
                <w:szCs w:val="16"/>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15,875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(29,938)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dividends paid</w:t>
            </w:r>
          </w:p>
        </w:tc>
        <w:tc>
          <w:tcPr>
            <w:tcW w:w="1020" w:type="dxa"/>
            <w:vAlign w:val="bottom"/>
          </w:tcPr>
          <w:p>
            <w:pPr>
              <w:spacing w:after="0"/>
              <w:rPr>
                <w:sz w:val="16"/>
                <w:szCs w:val="16"/>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(8,867)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(107,823)</w:t>
            </w:r>
          </w:p>
        </w:tc>
      </w:tr>
      <w:tr>
        <w:trPr>
          <w:trHeight w:val="167"/>
        </w:trPr>
        <w:tc>
          <w:tcPr>
            <w:tcW w:w="746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(136,037</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(107,823</w:t>
            </w:r>
          </w:p>
        </w:tc>
        <w:tc>
          <w:tcPr>
            <w:tcW w:w="12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67"/>
        </w:trPr>
        <w:tc>
          <w:tcPr>
            <w:tcW w:w="7460" w:type="dxa"/>
            <w:vAlign w:val="bottom"/>
            <w:tcBorders>
              <w:bottom w:val="single" w:sz="8" w:color="CCEEFF"/>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Increase/(Decrease) in Cash Balance</w:t>
            </w: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(3,855,098</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22,636,047</w:t>
            </w:r>
          </w:p>
        </w:tc>
        <w:tc>
          <w:tcPr>
            <w:tcW w:w="120" w:type="dxa"/>
            <w:vAlign w:val="bottom"/>
            <w:tcBorders>
              <w:bottom w:val="single" w:sz="8" w:color="CCEEFF"/>
            </w:tcBorders>
          </w:tcPr>
          <w:p>
            <w:pPr>
              <w:spacing w:after="0"/>
              <w:rPr>
                <w:sz w:val="14"/>
                <w:szCs w:val="14"/>
                <w:color w:val="auto"/>
              </w:rPr>
            </w:pPr>
          </w:p>
        </w:tc>
      </w:tr>
      <w:tr>
        <w:trPr>
          <w:trHeight w:val="167"/>
        </w:trPr>
        <w:tc>
          <w:tcPr>
            <w:tcW w:w="74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Cash Balance at Beginning of Year</w:t>
            </w:r>
          </w:p>
        </w:tc>
        <w:tc>
          <w:tcPr>
            <w:tcW w:w="10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97"/>
              </w:rPr>
              <w:t>20,035,640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28,178,352</w:t>
            </w:r>
          </w:p>
        </w:tc>
        <w:tc>
          <w:tcPr>
            <w:tcW w:w="120" w:type="dxa"/>
            <w:vAlign w:val="bottom"/>
            <w:shd w:val="clear" w:color="auto" w:fill="CCEEFF"/>
          </w:tcPr>
          <w:p>
            <w:pPr>
              <w:spacing w:after="0"/>
              <w:rPr>
                <w:sz w:val="14"/>
                <w:szCs w:val="14"/>
                <w:color w:val="auto"/>
              </w:rPr>
            </w:pPr>
          </w:p>
        </w:tc>
      </w:tr>
      <w:tr>
        <w:trPr>
          <w:trHeight w:val="167"/>
        </w:trPr>
        <w:tc>
          <w:tcPr>
            <w:tcW w:w="746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Cash Balance at End of Period</w:t>
            </w:r>
          </w:p>
        </w:tc>
        <w:tc>
          <w:tcPr>
            <w:tcW w:w="1020" w:type="dxa"/>
            <w:vAlign w:val="bottom"/>
            <w:tcBorders>
              <w:bottom w:val="single" w:sz="8" w:color="auto"/>
            </w:tcBorders>
          </w:tcPr>
          <w:p>
            <w:pPr>
              <w:jc w:val="right"/>
              <w:ind w:right="8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97"/>
              </w:rPr>
              <w:t>16,180,542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50,814,399</w:t>
            </w:r>
          </w:p>
        </w:tc>
        <w:tc>
          <w:tcPr>
            <w:tcW w:w="120" w:type="dxa"/>
            <w:vAlign w:val="bottom"/>
          </w:tcPr>
          <w:p>
            <w:pPr>
              <w:spacing w:after="0"/>
              <w:rPr>
                <w:sz w:val="14"/>
                <w:szCs w:val="14"/>
                <w:color w:val="auto"/>
              </w:rPr>
            </w:pPr>
          </w:p>
        </w:tc>
      </w:tr>
      <w:tr>
        <w:trPr>
          <w:trHeight w:val="355"/>
        </w:trPr>
        <w:tc>
          <w:tcPr>
            <w:tcW w:w="150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24"/>
                <w:szCs w:val="24"/>
                <w:color w:val="auto"/>
              </w:rPr>
            </w:pPr>
          </w:p>
        </w:tc>
      </w:tr>
      <w:tr>
        <w:trPr>
          <w:trHeight w:val="168"/>
        </w:trPr>
        <w:tc>
          <w:tcPr>
            <w:tcW w:w="74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1,150,223</w:t>
            </w:r>
          </w:p>
        </w:tc>
        <w:tc>
          <w:tcPr>
            <w:tcW w:w="520" w:type="dxa"/>
            <w:vAlign w:val="bottom"/>
            <w:gridSpan w:val="2"/>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1,125,000</w:t>
            </w:r>
          </w:p>
        </w:tc>
        <w:tc>
          <w:tcPr>
            <w:tcW w:w="120" w:type="dxa"/>
            <w:vAlign w:val="bottom"/>
          </w:tcPr>
          <w:p>
            <w:pPr>
              <w:spacing w:after="0"/>
              <w:rPr>
                <w:sz w:val="15"/>
                <w:szCs w:val="15"/>
                <w:color w:val="auto"/>
              </w:rPr>
            </w:pPr>
          </w:p>
        </w:tc>
      </w:tr>
      <w:tr>
        <w:trPr>
          <w:trHeight w:val="17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Taxes paid</w:t>
            </w:r>
          </w:p>
        </w:tc>
        <w:tc>
          <w:tcPr>
            <w:tcW w:w="10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2,796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2,100</w:t>
            </w:r>
          </w:p>
        </w:tc>
      </w:tr>
      <w:tr>
        <w:trPr>
          <w:trHeight w:val="191"/>
        </w:trPr>
        <w:tc>
          <w:tcPr>
            <w:tcW w:w="7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 of use asset obtained in exchange for operating lease liabilities</w:t>
            </w:r>
          </w:p>
        </w:tc>
        <w:tc>
          <w:tcPr>
            <w:tcW w:w="1020" w:type="dxa"/>
            <w:vAlign w:val="bottom"/>
          </w:tcPr>
          <w:p>
            <w:pPr>
              <w:spacing w:after="0"/>
              <w:rPr>
                <w:sz w:val="16"/>
                <w:szCs w:val="16"/>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(2,006)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Headquarters/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21"/>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120" w:type="dxa"/>
            <w:vAlign w:val="bottom"/>
            <w:gridSpan w:val="3"/>
          </w:tcPr>
          <w:p>
            <w:pPr>
              <w:jc w:val="center"/>
              <w:ind w:right="340"/>
              <w:spacing w:after="0" w:line="220"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151"/>
        </w:trPr>
        <w:tc>
          <w:tcPr>
            <w:tcW w:w="2480" w:type="dxa"/>
            <w:vAlign w:val="bottom"/>
            <w:tcBorders>
              <w:top w:val="single" w:sz="8" w:color="auto"/>
            </w:tcBorders>
            <w:gridSpan w:val="15"/>
            <w:shd w:val="clear" w:color="auto" w:fill="CCEEFF"/>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240" w:type="dxa"/>
            <w:vAlign w:val="bottom"/>
            <w:tcBorders>
              <w:top w:val="single" w:sz="8" w:color="CCEEFF"/>
            </w:tcBorders>
            <w:shd w:val="clear" w:color="auto" w:fill="CCEEFF"/>
          </w:tcPr>
          <w:p>
            <w:pPr>
              <w:spacing w:after="0"/>
              <w:rPr>
                <w:sz w:val="13"/>
                <w:szCs w:val="13"/>
                <w:color w:val="auto"/>
              </w:rPr>
            </w:pPr>
          </w:p>
        </w:tc>
        <w:tc>
          <w:tcPr>
            <w:tcW w:w="2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193"/>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2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43"/>
        </w:trPr>
        <w:tc>
          <w:tcPr>
            <w:tcW w:w="2300" w:type="dxa"/>
            <w:vAlign w:val="bottom"/>
            <w:tcBorders>
              <w:bottom w:val="single" w:sz="8" w:color="auto"/>
            </w:tcBorders>
            <w:gridSpan w:val="1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ARK Type One Deep Ventures Fund</w:t>
            </w:r>
          </w:p>
        </w:tc>
        <w:tc>
          <w:tcPr>
            <w:tcW w:w="420" w:type="dxa"/>
            <w:vAlign w:val="bottom"/>
            <w:gridSpan w:val="4"/>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0"/>
        </w:trPr>
        <w:tc>
          <w:tcPr>
            <w:tcW w:w="2720" w:type="dxa"/>
            <w:vAlign w:val="bottom"/>
            <w:gridSpan w:val="16"/>
          </w:tcPr>
          <w:p>
            <w:pPr>
              <w:spacing w:after="0" w:line="190" w:lineRule="exact"/>
              <w:rPr>
                <w:sz w:val="20"/>
                <w:szCs w:val="20"/>
                <w:color w:val="auto"/>
              </w:rPr>
            </w:pPr>
            <w:r>
              <w:rPr>
                <w:rFonts w:ascii="Times New Roman" w:cs="Times New Roman" w:eastAsia="Times New Roman" w:hAnsi="Times New Roman"/>
                <w:sz w:val="21"/>
                <w:szCs w:val="21"/>
                <w:b w:val="1"/>
                <w:bCs w:val="1"/>
                <w:color w:val="auto"/>
                <w:vertAlign w:val="subscript"/>
              </w:rPr>
              <w:t>LLC</w:t>
            </w:r>
            <w:r>
              <w:rPr>
                <w:rFonts w:ascii="Times New Roman" w:cs="Times New Roman" w:eastAsia="Times New Roman" w:hAnsi="Times New Roman"/>
                <w:sz w:val="10"/>
                <w:szCs w:val="10"/>
                <w:b w:val="1"/>
                <w:bCs w:val="1"/>
                <w:color w:val="auto"/>
              </w:rPr>
              <w:t>**(8)</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St. Petersburg, FL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AI Application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9/25/2024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17,500,000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6"/>
              </w:rPr>
              <w:t>$ 17,696,568</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$ 27,803,214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17.73%</w:t>
            </w:r>
          </w:p>
        </w:tc>
      </w:tr>
      <w:tr>
        <w:trPr>
          <w:trHeight w:val="143"/>
        </w:trPr>
        <w:tc>
          <w:tcPr>
            <w:tcW w:w="272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Whoop, Inc.</w:t>
            </w:r>
          </w:p>
        </w:tc>
        <w:tc>
          <w:tcPr>
            <w:tcW w:w="29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5"/>
                <w:szCs w:val="15"/>
                <w:color w:val="auto"/>
                <w:w w:val="97"/>
              </w:rPr>
              <w:t>Boston, MA</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Fitness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13,293,450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10,011,460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20,346,939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w:t>
            </w:r>
          </w:p>
        </w:tc>
      </w:tr>
      <w:tr>
        <w:trPr>
          <w:trHeight w:val="187"/>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2/6/2025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1,001,628</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0.64%</w:t>
            </w:r>
          </w:p>
        </w:tc>
      </w:tr>
      <w:tr>
        <w:trPr>
          <w:trHeight w:val="167"/>
        </w:trPr>
        <w:tc>
          <w:tcPr>
            <w:tcW w:w="2720" w:type="dxa"/>
            <w:vAlign w:val="bottom"/>
            <w:tcBorders>
              <w:top w:val="single" w:sz="8" w:color="CCEEFF"/>
            </w:tcBorders>
            <w:gridSpan w:val="16"/>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11,013,088</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21,346,939</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13.61</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34"/>
        </w:trPr>
        <w:tc>
          <w:tcPr>
            <w:tcW w:w="2420" w:type="dxa"/>
            <w:vAlign w:val="bottom"/>
            <w:tcBorders>
              <w:bottom w:val="single" w:sz="8" w:color="auto"/>
            </w:tcBorders>
            <w:gridSpan w:val="14"/>
          </w:tcPr>
          <w:p>
            <w:pPr>
              <w:spacing w:after="0" w:line="135" w:lineRule="exact"/>
              <w:rPr>
                <w:sz w:val="20"/>
                <w:szCs w:val="20"/>
                <w:color w:val="auto"/>
              </w:rPr>
            </w:pPr>
            <w:r>
              <w:rPr>
                <w:rFonts w:ascii="Times New Roman" w:cs="Times New Roman" w:eastAsia="Times New Roman" w:hAnsi="Times New Roman"/>
                <w:sz w:val="15"/>
                <w:szCs w:val="15"/>
                <w:b w:val="1"/>
                <w:bCs w:val="1"/>
                <w:color w:val="auto"/>
                <w:w w:val="97"/>
              </w:rPr>
              <w:t>Learneo, Inc. (f/k/a Course Hero, Inc.)</w:t>
            </w:r>
          </w:p>
        </w:tc>
        <w:tc>
          <w:tcPr>
            <w:tcW w:w="300" w:type="dxa"/>
            <w:vAlign w:val="bottom"/>
            <w:gridSpan w:val="2"/>
          </w:tcPr>
          <w:p>
            <w:pPr>
              <w:spacing w:after="0"/>
              <w:rPr>
                <w:sz w:val="11"/>
                <w:szCs w:val="11"/>
                <w:color w:val="auto"/>
              </w:rPr>
            </w:pPr>
          </w:p>
        </w:tc>
        <w:tc>
          <w:tcPr>
            <w:tcW w:w="2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6"/>
              </w:rPr>
              <w:t>Redwood City, CA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9/18/2014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2,145,509</w:t>
            </w: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5,000,001</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5,517,268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187"/>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11/5/2021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275,659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9,999,971</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6.38%</w:t>
            </w:r>
          </w:p>
        </w:tc>
      </w:tr>
      <w:tr>
        <w:trPr>
          <w:trHeight w:val="167"/>
        </w:trPr>
        <w:tc>
          <w:tcPr>
            <w:tcW w:w="2720" w:type="dxa"/>
            <w:vAlign w:val="bottom"/>
            <w:tcBorders>
              <w:top w:val="single" w:sz="8" w:color="CCEEFF"/>
            </w:tcBorders>
            <w:gridSpan w:val="16"/>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14,999,972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15,517,239</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9.90</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56"/>
        </w:trPr>
        <w:tc>
          <w:tcPr>
            <w:tcW w:w="2720" w:type="dxa"/>
            <w:vAlign w:val="bottom"/>
            <w:gridSpan w:val="16"/>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ServiceTitan, Inc.</w:t>
            </w:r>
            <w:r>
              <w:rPr>
                <w:rFonts w:ascii="Times New Roman" w:cs="Times New Roman" w:eastAsia="Times New Roman" w:hAnsi="Times New Roman"/>
                <w:sz w:val="18"/>
                <w:szCs w:val="18"/>
                <w:b w:val="1"/>
                <w:bCs w:val="1"/>
                <w:color w:val="auto"/>
                <w:vertAlign w:val="superscript"/>
              </w:rPr>
              <w:t>**(9)</w:t>
            </w:r>
          </w:p>
        </w:tc>
        <w:tc>
          <w:tcPr>
            <w:tcW w:w="294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color w:val="auto"/>
                <w:w w:val="96"/>
              </w:rPr>
              <w:t>Glendale, CA</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720" w:type="dxa"/>
            <w:vAlign w:val="bottom"/>
            <w:gridSpan w:val="16"/>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Contractor Management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151,515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10,008,233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13,401,850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r>
      <w:tr>
        <w:trPr>
          <w:trHeight w:val="143"/>
        </w:trPr>
        <w:tc>
          <w:tcPr>
            <w:tcW w:w="272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Blink Health, Inc.</w:t>
            </w:r>
          </w:p>
        </w:tc>
        <w:tc>
          <w:tcPr>
            <w:tcW w:w="29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Pharmaceutical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238,095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5,000,423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3,164,471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r>
      <w:tr>
        <w:trPr>
          <w:trHeight w:val="187"/>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261,944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10,003,917</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10,047,013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6.41%</w:t>
            </w:r>
          </w:p>
        </w:tc>
      </w:tr>
      <w:tr>
        <w:trPr>
          <w:trHeight w:val="167"/>
        </w:trPr>
        <w:tc>
          <w:tcPr>
            <w:tcW w:w="2720" w:type="dxa"/>
            <w:vAlign w:val="bottom"/>
            <w:tcBorders>
              <w:top w:val="single" w:sz="8" w:color="CCEEFF"/>
            </w:tcBorders>
            <w:gridSpan w:val="16"/>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15,004,340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13,211,484</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8.43</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56"/>
        </w:trPr>
        <w:tc>
          <w:tcPr>
            <w:tcW w:w="2720" w:type="dxa"/>
            <w:vAlign w:val="bottom"/>
            <w:gridSpan w:val="16"/>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CW Opportunity 2 LP</w:t>
            </w:r>
            <w:r>
              <w:rPr>
                <w:rFonts w:ascii="Times New Roman" w:cs="Times New Roman" w:eastAsia="Times New Roman" w:hAnsi="Times New Roman"/>
                <w:sz w:val="18"/>
                <w:szCs w:val="18"/>
                <w:b w:val="1"/>
                <w:bCs w:val="1"/>
                <w:color w:val="auto"/>
                <w:vertAlign w:val="superscript"/>
              </w:rPr>
              <w:t>**(10)</w:t>
            </w:r>
          </w:p>
        </w:tc>
        <w:tc>
          <w:tcPr>
            <w:tcW w:w="294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color w:val="auto"/>
                <w:w w:val="98"/>
              </w:rPr>
              <w:t>Evanston, IL</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23"/>
        </w:trPr>
        <w:tc>
          <w:tcPr>
            <w:tcW w:w="1420" w:type="dxa"/>
            <w:vAlign w:val="bottom"/>
            <w:tcBorders>
              <w:top w:val="single" w:sz="8" w:color="auto"/>
            </w:tcBorders>
            <w:gridSpan w:val="9"/>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Class A Interest</w:t>
            </w:r>
            <w:r>
              <w:rPr>
                <w:rFonts w:ascii="Times New Roman" w:cs="Times New Roman" w:eastAsia="Times New Roman" w:hAnsi="Times New Roman"/>
                <w:sz w:val="24"/>
                <w:szCs w:val="24"/>
                <w:color w:val="auto"/>
                <w:vertAlign w:val="superscript"/>
              </w:rPr>
              <w:t>***</w:t>
            </w:r>
          </w:p>
        </w:tc>
        <w:tc>
          <w:tcPr>
            <w:tcW w:w="1300" w:type="dxa"/>
            <w:vAlign w:val="bottom"/>
            <w:gridSpan w:val="7"/>
            <w:shd w:val="clear" w:color="auto" w:fill="CCEEFF"/>
          </w:tcPr>
          <w:p>
            <w:pPr>
              <w:spacing w:after="0"/>
              <w:rPr>
                <w:sz w:val="19"/>
                <w:szCs w:val="19"/>
                <w:color w:val="auto"/>
              </w:rPr>
            </w:pP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5/7/2024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15,176,443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12,281,521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w:t>
            </w:r>
          </w:p>
        </w:tc>
      </w:tr>
      <w:tr>
        <w:trPr>
          <w:trHeight w:val="176"/>
        </w:trPr>
        <w:tc>
          <w:tcPr>
            <w:tcW w:w="2720" w:type="dxa"/>
            <w:vAlign w:val="bottom"/>
            <w:gridSpan w:val="16"/>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IH10, LLC</w:t>
            </w:r>
            <w:r>
              <w:rPr>
                <w:rFonts w:ascii="Times New Roman" w:cs="Times New Roman" w:eastAsia="Times New Roman" w:hAnsi="Times New Roman"/>
                <w:sz w:val="20"/>
                <w:szCs w:val="20"/>
                <w:b w:val="1"/>
                <w:bCs w:val="1"/>
                <w:color w:val="auto"/>
                <w:vertAlign w:val="superscript"/>
              </w:rPr>
              <w:t>**(11)</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10/9/2024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12,000,010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12,273,784</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12,207,897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w:t>
            </w:r>
          </w:p>
        </w:tc>
      </w:tr>
      <w:tr>
        <w:trPr>
          <w:trHeight w:val="176"/>
        </w:trPr>
        <w:tc>
          <w:tcPr>
            <w:tcW w:w="2720" w:type="dxa"/>
            <w:vAlign w:val="bottom"/>
            <w:gridSpan w:val="16"/>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Canva, Inc.</w:t>
            </w:r>
            <w:r>
              <w:rPr>
                <w:rFonts w:ascii="Times New Roman" w:cs="Times New Roman" w:eastAsia="Times New Roman" w:hAnsi="Times New Roman"/>
                <w:sz w:val="20"/>
                <w:szCs w:val="20"/>
                <w:b w:val="1"/>
                <w:bCs w:val="1"/>
                <w:color w:val="auto"/>
                <w:vertAlign w:val="superscript"/>
              </w:rPr>
              <w:t>**</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Sydney, Australia</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Productivity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4/17/2024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9,375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10,058,820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10,839,944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r>
      <w:tr>
        <w:trPr>
          <w:trHeight w:val="143"/>
        </w:trPr>
        <w:tc>
          <w:tcPr>
            <w:tcW w:w="272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Locus Robotics Corp.</w:t>
            </w:r>
          </w:p>
        </w:tc>
        <w:tc>
          <w:tcPr>
            <w:tcW w:w="29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5"/>
                <w:szCs w:val="15"/>
                <w:color w:val="auto"/>
                <w:w w:val="95"/>
              </w:rPr>
              <w:t>Wilmington, MA</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Warehouse Automation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11/30/2022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232,568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10,004,286</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10,214,647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w:t>
            </w:r>
          </w:p>
        </w:tc>
      </w:tr>
      <w:tr>
        <w:trPr>
          <w:trHeight w:val="143"/>
        </w:trPr>
        <w:tc>
          <w:tcPr>
            <w:tcW w:w="2400" w:type="dxa"/>
            <w:vAlign w:val="bottom"/>
            <w:tcBorders>
              <w:bottom w:val="single" w:sz="8" w:color="auto"/>
            </w:tcBorders>
            <w:gridSpan w:val="13"/>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Supplying Demand, Inc. (d/b/a Liquid</w:t>
            </w:r>
          </w:p>
        </w:tc>
        <w:tc>
          <w:tcPr>
            <w:tcW w:w="320" w:type="dxa"/>
            <w:vAlign w:val="bottom"/>
            <w:gridSpan w:val="3"/>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6"/>
        </w:trPr>
        <w:tc>
          <w:tcPr>
            <w:tcW w:w="50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Death)</w:t>
            </w:r>
          </w:p>
        </w:tc>
        <w:tc>
          <w:tcPr>
            <w:tcW w:w="2220" w:type="dxa"/>
            <w:vAlign w:val="bottom"/>
            <w:gridSpan w:val="14"/>
          </w:tcPr>
          <w:p>
            <w:pPr>
              <w:spacing w:after="0"/>
              <w:rPr>
                <w:sz w:val="13"/>
                <w:szCs w:val="13"/>
                <w:color w:val="auto"/>
              </w:rPr>
            </w:pPr>
          </w:p>
        </w:tc>
        <w:tc>
          <w:tcPr>
            <w:tcW w:w="29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color w:val="auto"/>
                <w:w w:val="98"/>
              </w:rPr>
              <w:t>Los Angeles, CA</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F-1</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Lifestyle Beverage Brand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1/18/2024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776,747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10,003,934</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9,999,996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w:t>
            </w:r>
          </w:p>
        </w:tc>
      </w:tr>
      <w:tr>
        <w:trPr>
          <w:trHeight w:val="143"/>
        </w:trPr>
        <w:tc>
          <w:tcPr>
            <w:tcW w:w="960" w:type="dxa"/>
            <w:vAlign w:val="bottom"/>
            <w:tcBorders>
              <w:bottom w:val="single" w:sz="8" w:color="auto"/>
            </w:tcBorders>
            <w:gridSpan w:val="5"/>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FourKites, Inc.</w:t>
            </w:r>
          </w:p>
        </w:tc>
        <w:tc>
          <w:tcPr>
            <w:tcW w:w="1760" w:type="dxa"/>
            <w:vAlign w:val="bottom"/>
            <w:gridSpan w:val="11"/>
          </w:tcPr>
          <w:p>
            <w:pPr>
              <w:spacing w:after="0"/>
              <w:rPr>
                <w:sz w:val="12"/>
                <w:szCs w:val="12"/>
                <w:color w:val="auto"/>
              </w:rPr>
            </w:pPr>
          </w:p>
        </w:tc>
        <w:tc>
          <w:tcPr>
            <w:tcW w:w="29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5"/>
                <w:szCs w:val="15"/>
                <w:color w:val="auto"/>
                <w:w w:val="97"/>
              </w:rPr>
              <w:t>Chicago, IL</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Supply Chain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7/7/2023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1,398,024</w:t>
            </w: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8,530,389</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7,080,308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r>
      <w:tr>
        <w:trPr>
          <w:trHeight w:val="176"/>
        </w:trPr>
        <w:tc>
          <w:tcPr>
            <w:tcW w:w="2720" w:type="dxa"/>
            <w:vAlign w:val="bottom"/>
            <w:gridSpan w:val="16"/>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CoreWeave, Inc.</w:t>
            </w:r>
            <w:r>
              <w:rPr>
                <w:rFonts w:ascii="Times New Roman" w:cs="Times New Roman" w:eastAsia="Times New Roman" w:hAnsi="Times New Roman"/>
                <w:sz w:val="20"/>
                <w:szCs w:val="20"/>
                <w:b w:val="1"/>
                <w:bCs w:val="1"/>
                <w:color w:val="auto"/>
                <w:vertAlign w:val="superscript"/>
              </w:rPr>
              <w:t>**(12)</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Roseland, NJ</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720" w:type="dxa"/>
            <w:vAlign w:val="bottom"/>
            <w:gridSpan w:val="16"/>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AI Infrastructure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10/8/2024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222,240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10,003,583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7,004,560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r>
      <w:tr>
        <w:trPr>
          <w:trHeight w:val="143"/>
        </w:trPr>
        <w:tc>
          <w:tcPr>
            <w:tcW w:w="2720" w:type="dxa"/>
            <w:vAlign w:val="bottom"/>
            <w:gridSpan w:val="16"/>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Shogun Enterprises, Inc. (d/b/a</w:t>
            </w: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6"/>
        </w:trPr>
        <w:tc>
          <w:tcPr>
            <w:tcW w:w="1960" w:type="dxa"/>
            <w:vAlign w:val="bottom"/>
            <w:tcBorders>
              <w:top w:val="single" w:sz="8" w:color="auto"/>
            </w:tcBorders>
            <w:gridSpan w:val="11"/>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Hearth)</w:t>
            </w:r>
          </w:p>
        </w:tc>
        <w:tc>
          <w:tcPr>
            <w:tcW w:w="760" w:type="dxa"/>
            <w:vAlign w:val="bottom"/>
            <w:gridSpan w:val="5"/>
          </w:tcPr>
          <w:p>
            <w:pPr>
              <w:spacing w:after="0"/>
              <w:rPr>
                <w:sz w:val="13"/>
                <w:szCs w:val="13"/>
                <w:color w:val="auto"/>
              </w:rPr>
            </w:pPr>
          </w:p>
        </w:tc>
        <w:tc>
          <w:tcPr>
            <w:tcW w:w="29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color w:val="auto"/>
                <w:w w:val="97"/>
              </w:rPr>
              <w:t>Austin, TX</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Home Improvement Finance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436,844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3,501,657</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2,686,696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176"/>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301,750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3,501,661</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2,686,699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176"/>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5/2/2022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56,936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530,822</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407,473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w:t>
            </w:r>
          </w:p>
        </w:tc>
      </w:tr>
      <w:tr>
        <w:trPr>
          <w:trHeight w:val="176"/>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48,267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366,606</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383,813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0.24%</w:t>
            </w:r>
          </w:p>
        </w:tc>
      </w:tr>
      <w:tr>
        <w:trPr>
          <w:trHeight w:val="162"/>
        </w:trPr>
        <w:tc>
          <w:tcPr>
            <w:tcW w:w="2720" w:type="dxa"/>
            <w:vAlign w:val="bottom"/>
            <w:gridSpan w:val="1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2"/>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7/12/2026</w:t>
            </w:r>
          </w:p>
        </w:tc>
        <w:tc>
          <w:tcPr>
            <w:tcW w:w="2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86,076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140,060</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2720" w:type="dxa"/>
            <w:vAlign w:val="bottom"/>
            <w:tcBorders>
              <w:bottom w:val="single" w:sz="8" w:color="CCEEFF"/>
            </w:tcBorders>
            <w:gridSpan w:val="16"/>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8,040,806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6,164,681</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3.93</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34"/>
        </w:trPr>
        <w:tc>
          <w:tcPr>
            <w:tcW w:w="27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Orchard Technologies, Inc.</w:t>
            </w:r>
          </w:p>
        </w:tc>
        <w:tc>
          <w:tcPr>
            <w:tcW w:w="294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33"/>
        </w:trPr>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76"/>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Real Estate Platform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558,052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Preferred Shares, Series 2 8%</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58,771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587,951</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Senior Preferred Shares, Series 1 7%</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463,449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4,642,772</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4,634,490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176"/>
        </w:trPr>
        <w:tc>
          <w:tcPr>
            <w:tcW w:w="2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558,053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2720" w:type="dxa"/>
            <w:vAlign w:val="bottom"/>
            <w:gridSpan w:val="16"/>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1/31/2025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80,800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81,584</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80,800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0.05%</w:t>
            </w:r>
          </w:p>
        </w:tc>
      </w:tr>
      <w:tr>
        <w:trPr>
          <w:trHeight w:val="167"/>
        </w:trPr>
        <w:tc>
          <w:tcPr>
            <w:tcW w:w="2720" w:type="dxa"/>
            <w:vAlign w:val="bottom"/>
            <w:tcBorders>
              <w:top w:val="single" w:sz="8" w:color="CCEEFF"/>
            </w:tcBorders>
            <w:gridSpan w:val="16"/>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12,815,343</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4,715,290</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3.01</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20" w:type="dxa"/>
            <w:vAlign w:val="bottom"/>
            <w:gridSpan w:val="8"/>
          </w:tcPr>
          <w:p>
            <w:pPr>
              <w:jc w:val="center"/>
              <w:ind w:left="346"/>
              <w:spacing w:after="0"/>
              <w:rPr>
                <w:sz w:val="20"/>
                <w:szCs w:val="20"/>
                <w:color w:val="auto"/>
              </w:rPr>
            </w:pPr>
            <w:r>
              <w:rPr>
                <w:rFonts w:ascii="Times New Roman" w:cs="Times New Roman" w:eastAsia="Times New Roman" w:hAnsi="Times New Roman"/>
                <w:sz w:val="15"/>
                <w:szCs w:val="15"/>
                <w:b w:val="1"/>
                <w:bCs w:val="1"/>
                <w:color w:val="auto"/>
                <w:w w:val="97"/>
              </w:rPr>
              <w:t>SURO CAPITAL CORP. AND SUBSIDIARIES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gridSpan w:val="11"/>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CONDENSED CONSOLIDATED SCHEDULE OF INVESTMENTS (UNAUDITED) - continued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gridSpan w:val="3"/>
          </w:tcPr>
          <w:p>
            <w:pPr>
              <w:jc w:val="center"/>
              <w:ind w:right="466"/>
              <w:spacing w:after="0"/>
              <w:rPr>
                <w:sz w:val="20"/>
                <w:szCs w:val="20"/>
                <w:color w:val="auto"/>
              </w:rPr>
            </w:pPr>
            <w:r>
              <w:rPr>
                <w:rFonts w:ascii="Times New Roman" w:cs="Times New Roman" w:eastAsia="Times New Roman" w:hAnsi="Times New Roman"/>
                <w:sz w:val="15"/>
                <w:szCs w:val="15"/>
                <w:b w:val="1"/>
                <w:bCs w:val="1"/>
                <w:color w:val="auto"/>
                <w:w w:val="98"/>
              </w:rPr>
              <w:t>March 31, 2025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b w:val="1"/>
                <w:bCs w:val="1"/>
                <w:color w:val="auto"/>
                <w:w w:val="98"/>
              </w:rPr>
              <w:t>Headquarters/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1"/>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40" w:type="dxa"/>
            <w:vAlign w:val="bottom"/>
          </w:tcPr>
          <w:p>
            <w:pPr>
              <w:spacing w:after="0"/>
              <w:rPr>
                <w:sz w:val="19"/>
                <w:szCs w:val="19"/>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120" w:type="dxa"/>
            <w:vAlign w:val="bottom"/>
            <w:gridSpan w:val="3"/>
          </w:tcPr>
          <w:p>
            <w:pPr>
              <w:jc w:val="center"/>
              <w:ind w:right="340"/>
              <w:spacing w:after="0" w:line="220"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47"/>
        </w:trPr>
        <w:tc>
          <w:tcPr>
            <w:tcW w:w="2480" w:type="dxa"/>
            <w:vAlign w:val="bottom"/>
            <w:tcBorders>
              <w:top w:val="single" w:sz="8" w:color="auto"/>
            </w:tcBorders>
            <w:gridSpan w:val="18"/>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Neutron Holdings, Inc. (d/b/a/ Lime)</w:t>
            </w:r>
          </w:p>
        </w:tc>
        <w:tc>
          <w:tcPr>
            <w:tcW w:w="24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auto"/>
            </w:tcBorders>
            <w:shd w:val="clear" w:color="auto" w:fill="CCEEFF"/>
          </w:tcPr>
          <w:p>
            <w:pPr>
              <w:jc w:val="center"/>
              <w:ind w:left="326"/>
              <w:spacing w:after="0" w:line="135" w:lineRule="exact"/>
              <w:rPr>
                <w:sz w:val="20"/>
                <w:szCs w:val="20"/>
                <w:color w:val="auto"/>
              </w:rPr>
            </w:pPr>
            <w:r>
              <w:rPr>
                <w:rFonts w:ascii="Times New Roman" w:cs="Times New Roman" w:eastAsia="Times New Roman" w:hAnsi="Times New Roman"/>
                <w:sz w:val="15"/>
                <w:szCs w:val="15"/>
                <w:color w:val="auto"/>
                <w:w w:val="99"/>
              </w:rPr>
              <w:t>San Francisco, CA</w:t>
            </w: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5"/>
                <w:szCs w:val="15"/>
                <w:color w:val="auto"/>
              </w:rPr>
              <w:t>Junior Preferred Shares, Series 1-D</w:t>
            </w:r>
          </w:p>
        </w:tc>
        <w:tc>
          <w:tcPr>
            <w:tcW w:w="180" w:type="dxa"/>
            <w:vAlign w:val="bottom"/>
            <w:tcBorders>
              <w:top w:val="single" w:sz="8" w:color="CCEEFF"/>
            </w:tcBorders>
            <w:gridSpan w:val="2"/>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320" w:type="dxa"/>
            <w:vAlign w:val="bottom"/>
            <w:tcBorders>
              <w:top w:val="single" w:sz="8" w:color="CCEEFF"/>
            </w:tcBorders>
          </w:tcPr>
          <w:p>
            <w:pPr>
              <w:jc w:val="center"/>
              <w:ind w:left="306"/>
              <w:spacing w:after="0"/>
              <w:rPr>
                <w:sz w:val="20"/>
                <w:szCs w:val="20"/>
                <w:color w:val="auto"/>
              </w:rPr>
            </w:pPr>
            <w:r>
              <w:rPr>
                <w:rFonts w:ascii="Times New Roman" w:cs="Times New Roman" w:eastAsia="Times New Roman" w:hAnsi="Times New Roman"/>
                <w:sz w:val="15"/>
                <w:szCs w:val="15"/>
                <w:color w:val="auto"/>
                <w:w w:val="98"/>
              </w:rPr>
              <w:t>Micromobility</w:t>
            </w:r>
          </w:p>
        </w:tc>
        <w:tc>
          <w:tcPr>
            <w:tcW w:w="1760" w:type="dxa"/>
            <w:vAlign w:val="bottom"/>
            <w:tcBorders>
              <w:top w:val="single" w:sz="8" w:color="CCEEFF"/>
            </w:tcBorders>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1/25/2019</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41,237,113</w:t>
            </w:r>
          </w:p>
        </w:tc>
        <w:tc>
          <w:tcPr>
            <w:tcW w:w="11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10,007,322</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3,485,014</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64"/>
        </w:trPr>
        <w:tc>
          <w:tcPr>
            <w:tcW w:w="2480" w:type="dxa"/>
            <w:vAlign w:val="bottom"/>
            <w:gridSpan w:val="1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Junior Preferred Convertible Note 4%</w:t>
            </w:r>
          </w:p>
        </w:tc>
        <w:tc>
          <w:tcPr>
            <w:tcW w:w="2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480" w:type="dxa"/>
            <w:vAlign w:val="bottom"/>
            <w:gridSpan w:val="18"/>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Due 5/11/2027</w:t>
            </w:r>
            <w:r>
              <w:rPr>
                <w:rFonts w:ascii="Times New Roman" w:cs="Times New Roman" w:eastAsia="Times New Roman" w:hAnsi="Times New Roman"/>
                <w:sz w:val="24"/>
                <w:szCs w:val="24"/>
                <w:color w:val="auto"/>
                <w:vertAlign w:val="superscript"/>
              </w:rPr>
              <w:t>***</w:t>
            </w: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center"/>
              <w:ind w:left="546"/>
              <w:spacing w:after="0"/>
              <w:rPr>
                <w:sz w:val="20"/>
                <w:szCs w:val="20"/>
                <w:color w:val="auto"/>
              </w:rPr>
            </w:pPr>
            <w:r>
              <w:rPr>
                <w:rFonts w:ascii="Times New Roman" w:cs="Times New Roman" w:eastAsia="Times New Roman" w:hAnsi="Times New Roman"/>
                <w:sz w:val="15"/>
                <w:szCs w:val="15"/>
                <w:color w:val="auto"/>
                <w:w w:val="95"/>
              </w:rPr>
              <w:t>5/11/2020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2"/>
        </w:trPr>
        <w:tc>
          <w:tcPr>
            <w:tcW w:w="2480" w:type="dxa"/>
            <w:vAlign w:val="bottom"/>
            <w:gridSpan w:val="18"/>
          </w:tcPr>
          <w:p>
            <w:pPr>
              <w:spacing w:after="0" w:line="162"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Expiration Date 5/11/2027</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gridSpan w:val="3"/>
          </w:tcPr>
          <w:p>
            <w:pPr>
              <w:jc w:val="center"/>
              <w:ind w:left="546"/>
              <w:spacing w:after="0"/>
              <w:rPr>
                <w:sz w:val="20"/>
                <w:szCs w:val="20"/>
                <w:color w:val="auto"/>
              </w:rPr>
            </w:pPr>
            <w:r>
              <w:rPr>
                <w:rFonts w:ascii="Times New Roman" w:cs="Times New Roman" w:eastAsia="Times New Roman" w:hAnsi="Times New Roman"/>
                <w:sz w:val="15"/>
                <w:szCs w:val="15"/>
                <w:color w:val="auto"/>
                <w:w w:val="95"/>
              </w:rPr>
              <w:t>5/11/2020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2,032,967</w:t>
            </w:r>
          </w:p>
        </w:tc>
        <w:tc>
          <w:tcPr>
            <w:tcW w:w="3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101,648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0" w:type="dxa"/>
            <w:vAlign w:val="bottom"/>
          </w:tcPr>
          <w:p>
            <w:pPr>
              <w:spacing w:after="0"/>
              <w:rPr>
                <w:sz w:val="1"/>
                <w:szCs w:val="1"/>
                <w:color w:val="auto"/>
              </w:rPr>
            </w:pPr>
          </w:p>
        </w:tc>
      </w:tr>
      <w:tr>
        <w:trPr>
          <w:trHeight w:val="168"/>
        </w:trPr>
        <w:tc>
          <w:tcPr>
            <w:tcW w:w="2480" w:type="dxa"/>
            <w:vAlign w:val="bottom"/>
            <w:tcBorders>
              <w:top w:val="single" w:sz="8" w:color="CCEEFF"/>
            </w:tcBorders>
            <w:gridSpan w:val="18"/>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10,513,661</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4,093,001</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2.61</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6"/>
        </w:trPr>
        <w:tc>
          <w:tcPr>
            <w:tcW w:w="2480" w:type="dxa"/>
            <w:vAlign w:val="bottom"/>
            <w:gridSpan w:val="18"/>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True Global Ventures 4 Plus Pte Ltd</w:t>
            </w:r>
            <w:r>
              <w:rPr>
                <w:rFonts w:ascii="Times New Roman" w:cs="Times New Roman" w:eastAsia="Times New Roman" w:hAnsi="Times New Roman"/>
                <w:sz w:val="18"/>
                <w:szCs w:val="18"/>
                <w:b w:val="1"/>
                <w:bCs w:val="1"/>
                <w:color w:val="auto"/>
                <w:vertAlign w:val="superscript"/>
              </w:rPr>
              <w:t>**</w:t>
            </w:r>
          </w:p>
        </w:tc>
        <w:tc>
          <w:tcPr>
            <w:tcW w:w="240" w:type="dxa"/>
            <w:vAlign w:val="bottom"/>
          </w:tcPr>
          <w:p>
            <w:pPr>
              <w:spacing w:after="0"/>
              <w:rPr>
                <w:sz w:val="13"/>
                <w:szCs w:val="13"/>
                <w:color w:val="auto"/>
              </w:rPr>
            </w:pPr>
          </w:p>
        </w:tc>
        <w:tc>
          <w:tcPr>
            <w:tcW w:w="2320" w:type="dxa"/>
            <w:vAlign w:val="bottom"/>
            <w:vMerge w:val="restart"/>
          </w:tcPr>
          <w:p>
            <w:pPr>
              <w:jc w:val="center"/>
              <w:ind w:left="326"/>
              <w:spacing w:after="0"/>
              <w:rPr>
                <w:sz w:val="20"/>
                <w:szCs w:val="20"/>
                <w:color w:val="auto"/>
              </w:rPr>
            </w:pPr>
            <w:r>
              <w:rPr>
                <w:rFonts w:ascii="Times New Roman" w:cs="Times New Roman" w:eastAsia="Times New Roman" w:hAnsi="Times New Roman"/>
                <w:sz w:val="15"/>
                <w:szCs w:val="15"/>
                <w:color w:val="auto"/>
                <w:w w:val="99"/>
              </w:rPr>
              <w:t>Singapore, Singapore</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(13)</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rPr>
              <w:t>Limited Partner Fund Investment</w:t>
            </w:r>
          </w:p>
        </w:tc>
        <w:tc>
          <w:tcPr>
            <w:tcW w:w="240" w:type="dxa"/>
            <w:vAlign w:val="bottom"/>
            <w:shd w:val="clear" w:color="auto" w:fill="CCEEFF"/>
          </w:tcPr>
          <w:p>
            <w:pPr>
              <w:spacing w:after="0"/>
              <w:rPr>
                <w:sz w:val="15"/>
                <w:szCs w:val="15"/>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6"/>
              </w:rPr>
              <w:t>Venture Investment Fund</w:t>
            </w:r>
          </w:p>
        </w:tc>
        <w:tc>
          <w:tcPr>
            <w:tcW w:w="1760" w:type="dxa"/>
            <w:vAlign w:val="bottom"/>
            <w:gridSpan w:val="3"/>
            <w:shd w:val="clear" w:color="auto" w:fill="CCEEFF"/>
          </w:tcPr>
          <w:p>
            <w:pPr>
              <w:jc w:val="center"/>
              <w:ind w:left="566"/>
              <w:spacing w:after="0"/>
              <w:rPr>
                <w:sz w:val="20"/>
                <w:szCs w:val="20"/>
                <w:color w:val="auto"/>
              </w:rPr>
            </w:pPr>
            <w:r>
              <w:rPr>
                <w:rFonts w:ascii="Times New Roman" w:cs="Times New Roman" w:eastAsia="Times New Roman" w:hAnsi="Times New Roman"/>
                <w:sz w:val="15"/>
                <w:szCs w:val="15"/>
                <w:color w:val="auto"/>
                <w:w w:val="98"/>
              </w:rPr>
              <w:t>8/27/2021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585,016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3,347,405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143"/>
        </w:trPr>
        <w:tc>
          <w:tcPr>
            <w:tcW w:w="780" w:type="dxa"/>
            <w:vAlign w:val="bottom"/>
            <w:tcBorders>
              <w:bottom w:val="single" w:sz="8" w:color="auto"/>
            </w:tcBorders>
            <w:gridSpan w:val="4"/>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PayJoy, Inc.</w:t>
            </w:r>
          </w:p>
        </w:tc>
        <w:tc>
          <w:tcPr>
            <w:tcW w:w="1700" w:type="dxa"/>
            <w:vAlign w:val="bottom"/>
            <w:gridSpan w:val="14"/>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tcPr>
          <w:p>
            <w:pPr>
              <w:jc w:val="center"/>
              <w:ind w:left="326"/>
              <w:spacing w:after="0" w:line="144" w:lineRule="exact"/>
              <w:rPr>
                <w:sz w:val="20"/>
                <w:szCs w:val="20"/>
                <w:color w:val="auto"/>
              </w:rPr>
            </w:pPr>
            <w:r>
              <w:rPr>
                <w:rFonts w:ascii="Times New Roman" w:cs="Times New Roman" w:eastAsia="Times New Roman" w:hAnsi="Times New Roman"/>
                <w:sz w:val="15"/>
                <w:szCs w:val="15"/>
                <w:color w:val="auto"/>
                <w:w w:val="99"/>
              </w:rPr>
              <w:t>San Francisco, CA</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6"/>
              </w:rPr>
              <w:t>Mobile Access Technology</w:t>
            </w:r>
          </w:p>
        </w:tc>
        <w:tc>
          <w:tcPr>
            <w:tcW w:w="1760" w:type="dxa"/>
            <w:vAlign w:val="bottom"/>
            <w:gridSpan w:val="3"/>
            <w:shd w:val="clear" w:color="auto" w:fill="CCEEFF"/>
          </w:tcPr>
          <w:p>
            <w:pPr>
              <w:jc w:val="center"/>
              <w:ind w:left="566"/>
              <w:spacing w:after="0"/>
              <w:rPr>
                <w:sz w:val="20"/>
                <w:szCs w:val="20"/>
                <w:color w:val="auto"/>
              </w:rPr>
            </w:pPr>
            <w:r>
              <w:rPr>
                <w:rFonts w:ascii="Times New Roman" w:cs="Times New Roman" w:eastAsia="Times New Roman" w:hAnsi="Times New Roman"/>
                <w:sz w:val="15"/>
                <w:szCs w:val="15"/>
                <w:color w:val="auto"/>
                <w:w w:val="98"/>
              </w:rPr>
              <w:t>7/23/2021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244,117</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2,501,570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2,500,002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7"/>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5/25/2023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500,000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501,470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7"/>
        </w:trPr>
        <w:tc>
          <w:tcPr>
            <w:tcW w:w="2480" w:type="dxa"/>
            <w:vAlign w:val="bottom"/>
            <w:tcBorders>
              <w:top w:val="single" w:sz="8" w:color="CCEEFF"/>
            </w:tcBorders>
            <w:gridSpan w:val="18"/>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3,003,040</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3,000,002</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1.91</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6"/>
        </w:trPr>
        <w:tc>
          <w:tcPr>
            <w:tcW w:w="2480" w:type="dxa"/>
            <w:vAlign w:val="bottom"/>
            <w:gridSpan w:val="18"/>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Trax Ltd.</w:t>
            </w:r>
            <w:r>
              <w:rPr>
                <w:rFonts w:ascii="Times New Roman" w:cs="Times New Roman" w:eastAsia="Times New Roman" w:hAnsi="Times New Roman"/>
                <w:sz w:val="18"/>
                <w:szCs w:val="18"/>
                <w:b w:val="1"/>
                <w:bCs w:val="1"/>
                <w:color w:val="auto"/>
                <w:vertAlign w:val="superscript"/>
              </w:rPr>
              <w:t>**</w:t>
            </w:r>
          </w:p>
        </w:tc>
        <w:tc>
          <w:tcPr>
            <w:tcW w:w="240" w:type="dxa"/>
            <w:vAlign w:val="bottom"/>
          </w:tcPr>
          <w:p>
            <w:pPr>
              <w:spacing w:after="0"/>
              <w:rPr>
                <w:sz w:val="13"/>
                <w:szCs w:val="13"/>
                <w:color w:val="auto"/>
              </w:rPr>
            </w:pPr>
          </w:p>
        </w:tc>
        <w:tc>
          <w:tcPr>
            <w:tcW w:w="2320" w:type="dxa"/>
            <w:vAlign w:val="bottom"/>
          </w:tcPr>
          <w:p>
            <w:pPr>
              <w:jc w:val="center"/>
              <w:ind w:left="326"/>
              <w:spacing w:after="0" w:line="156" w:lineRule="exact"/>
              <w:rPr>
                <w:sz w:val="20"/>
                <w:szCs w:val="20"/>
                <w:color w:val="auto"/>
              </w:rPr>
            </w:pPr>
            <w:r>
              <w:rPr>
                <w:rFonts w:ascii="Times New Roman" w:cs="Times New Roman" w:eastAsia="Times New Roman" w:hAnsi="Times New Roman"/>
                <w:sz w:val="15"/>
                <w:szCs w:val="15"/>
                <w:color w:val="auto"/>
                <w:w w:val="99"/>
              </w:rPr>
              <w:t>Singapore, Singapore</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7"/>
              </w:rPr>
              <w:t>Retail Technology</w:t>
            </w:r>
          </w:p>
        </w:tc>
        <w:tc>
          <w:tcPr>
            <w:tcW w:w="1760" w:type="dxa"/>
            <w:vAlign w:val="bottom"/>
            <w:gridSpan w:val="3"/>
            <w:shd w:val="clear" w:color="auto" w:fill="CCEEFF"/>
          </w:tcPr>
          <w:p>
            <w:pPr>
              <w:jc w:val="center"/>
              <w:ind w:left="566"/>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55,591</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2,781,148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61,445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87"/>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144,409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7,224,600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2,647,017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167"/>
        </w:trPr>
        <w:tc>
          <w:tcPr>
            <w:tcW w:w="2480" w:type="dxa"/>
            <w:vAlign w:val="bottom"/>
            <w:tcBorders>
              <w:top w:val="single" w:sz="8" w:color="CCEEFF"/>
            </w:tcBorders>
            <w:gridSpan w:val="18"/>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10,005,748</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2,708,462</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1.73</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6"/>
        </w:trPr>
        <w:tc>
          <w:tcPr>
            <w:tcW w:w="2480" w:type="dxa"/>
            <w:vAlign w:val="bottom"/>
            <w:gridSpan w:val="18"/>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Varo Money, Inc.</w:t>
            </w:r>
            <w:r>
              <w:rPr>
                <w:rFonts w:ascii="Times New Roman" w:cs="Times New Roman" w:eastAsia="Times New Roman" w:hAnsi="Times New Roman"/>
                <w:sz w:val="18"/>
                <w:szCs w:val="18"/>
                <w:b w:val="1"/>
                <w:bCs w:val="1"/>
                <w:color w:val="auto"/>
                <w:vertAlign w:val="superscript"/>
              </w:rPr>
              <w:t>**</w:t>
            </w:r>
          </w:p>
        </w:tc>
        <w:tc>
          <w:tcPr>
            <w:tcW w:w="240" w:type="dxa"/>
            <w:vAlign w:val="bottom"/>
          </w:tcPr>
          <w:p>
            <w:pPr>
              <w:spacing w:after="0"/>
              <w:rPr>
                <w:sz w:val="13"/>
                <w:szCs w:val="13"/>
                <w:color w:val="auto"/>
              </w:rPr>
            </w:pPr>
          </w:p>
        </w:tc>
        <w:tc>
          <w:tcPr>
            <w:tcW w:w="2320" w:type="dxa"/>
            <w:vAlign w:val="bottom"/>
          </w:tcPr>
          <w:p>
            <w:pPr>
              <w:jc w:val="center"/>
              <w:ind w:left="326"/>
              <w:spacing w:after="0" w:line="156" w:lineRule="exact"/>
              <w:rPr>
                <w:sz w:val="20"/>
                <w:szCs w:val="20"/>
                <w:color w:val="auto"/>
              </w:rPr>
            </w:pPr>
            <w:r>
              <w:rPr>
                <w:rFonts w:ascii="Times New Roman" w:cs="Times New Roman" w:eastAsia="Times New Roman" w:hAnsi="Times New Roman"/>
                <w:sz w:val="15"/>
                <w:szCs w:val="15"/>
                <w:color w:val="auto"/>
                <w:w w:val="99"/>
              </w:rPr>
              <w:t>San Francisco, CA</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00" w:type="dxa"/>
            <w:vAlign w:val="bottom"/>
            <w:gridSpan w:val="1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7"/>
              </w:rPr>
              <w:t>Financial Services</w:t>
            </w:r>
          </w:p>
        </w:tc>
        <w:tc>
          <w:tcPr>
            <w:tcW w:w="1760" w:type="dxa"/>
            <w:vAlign w:val="bottom"/>
            <w:gridSpan w:val="3"/>
            <w:shd w:val="clear" w:color="auto" w:fill="CCEEFF"/>
          </w:tcPr>
          <w:p>
            <w:pPr>
              <w:jc w:val="center"/>
              <w:ind w:left="546"/>
              <w:spacing w:after="0"/>
              <w:rPr>
                <w:sz w:val="20"/>
                <w:szCs w:val="20"/>
                <w:color w:val="auto"/>
              </w:rPr>
            </w:pPr>
            <w:r>
              <w:rPr>
                <w:rFonts w:ascii="Times New Roman" w:cs="Times New Roman" w:eastAsia="Times New Roman" w:hAnsi="Times New Roman"/>
                <w:sz w:val="15"/>
                <w:szCs w:val="15"/>
                <w:color w:val="auto"/>
                <w:w w:val="95"/>
              </w:rPr>
              <w:t>8/11/2021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1,079,266</w:t>
            </w: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10,005,548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1,845,545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43"/>
        </w:trPr>
        <w:tc>
          <w:tcPr>
            <w:tcW w:w="2480" w:type="dxa"/>
            <w:vAlign w:val="bottom"/>
            <w:gridSpan w:val="18"/>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Xgroup Holdings Limited (d/b/a</w:t>
            </w:r>
          </w:p>
        </w:tc>
        <w:tc>
          <w:tcPr>
            <w:tcW w:w="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gridSpan w:val="13"/>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Xpoint)</w:t>
            </w:r>
            <w:r>
              <w:rPr>
                <w:rFonts w:ascii="Times New Roman" w:cs="Times New Roman" w:eastAsia="Times New Roman" w:hAnsi="Times New Roman"/>
                <w:sz w:val="21"/>
                <w:szCs w:val="21"/>
                <w:b w:val="1"/>
                <w:bCs w:val="1"/>
                <w:color w:val="auto"/>
                <w:vertAlign w:val="superscript"/>
              </w:rPr>
              <w:t>(7)</w:t>
            </w:r>
          </w:p>
        </w:tc>
        <w:tc>
          <w:tcPr>
            <w:tcW w:w="46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jc w:val="center"/>
              <w:ind w:left="306"/>
              <w:spacing w:after="0"/>
              <w:rPr>
                <w:sz w:val="20"/>
                <w:szCs w:val="20"/>
                <w:color w:val="auto"/>
              </w:rPr>
            </w:pPr>
            <w:r>
              <w:rPr>
                <w:rFonts w:ascii="Times New Roman" w:cs="Times New Roman" w:eastAsia="Times New Roman" w:hAnsi="Times New Roman"/>
                <w:sz w:val="15"/>
                <w:szCs w:val="15"/>
                <w:color w:val="auto"/>
                <w:w w:val="96"/>
              </w:rPr>
              <w:t>Philadelphia, PA</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A-1</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6"/>
              </w:rPr>
              <w:t>Geolocation Technology</w:t>
            </w:r>
          </w:p>
        </w:tc>
        <w:tc>
          <w:tcPr>
            <w:tcW w:w="1760" w:type="dxa"/>
            <w:vAlign w:val="bottom"/>
            <w:gridSpan w:val="3"/>
            <w:shd w:val="clear" w:color="auto" w:fill="CCEEFF"/>
          </w:tcPr>
          <w:p>
            <w:pPr>
              <w:jc w:val="center"/>
              <w:ind w:left="56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454</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136,114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161,862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2"/>
        </w:trPr>
        <w:tc>
          <w:tcPr>
            <w:tcW w:w="2480" w:type="dxa"/>
            <w:vAlign w:val="bottom"/>
            <w:gridSpan w:val="18"/>
          </w:tcPr>
          <w:p>
            <w:pPr>
              <w:spacing w:after="0" w:line="162" w:lineRule="exact"/>
              <w:rPr>
                <w:sz w:val="20"/>
                <w:szCs w:val="20"/>
                <w:color w:val="auto"/>
              </w:rPr>
            </w:pPr>
            <w:r>
              <w:rPr>
                <w:rFonts w:ascii="Times New Roman" w:cs="Times New Roman" w:eastAsia="Times New Roman" w:hAnsi="Times New Roman"/>
                <w:sz w:val="15"/>
                <w:szCs w:val="15"/>
                <w:color w:val="auto"/>
              </w:rPr>
              <w:t>Series A-1 warrants, Strike Price</w:t>
            </w: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$0.0001, Expiration Date 5/14/2044</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3,286</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985,180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1,171,540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0" w:type="dxa"/>
            <w:vAlign w:val="bottom"/>
          </w:tcPr>
          <w:p>
            <w:pPr>
              <w:spacing w:after="0"/>
              <w:rPr>
                <w:sz w:val="1"/>
                <w:szCs w:val="1"/>
                <w:color w:val="auto"/>
              </w:rPr>
            </w:pPr>
          </w:p>
        </w:tc>
      </w:tr>
      <w:tr>
        <w:trPr>
          <w:trHeight w:val="162"/>
        </w:trPr>
        <w:tc>
          <w:tcPr>
            <w:tcW w:w="248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Series A warrants, Strike Price $0.0001,</w:t>
            </w:r>
          </w:p>
        </w:tc>
        <w:tc>
          <w:tcPr>
            <w:tcW w:w="2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5/14/2044</w:t>
            </w:r>
          </w:p>
        </w:tc>
        <w:tc>
          <w:tcPr>
            <w:tcW w:w="2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ind w:left="56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873</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261,735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324,931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7"/>
        </w:trPr>
        <w:tc>
          <w:tcPr>
            <w:tcW w:w="2480" w:type="dxa"/>
            <w:vAlign w:val="bottom"/>
            <w:tcBorders>
              <w:bottom w:val="single" w:sz="8" w:color="CCEEFF"/>
            </w:tcBorders>
            <w:gridSpan w:val="18"/>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1,383,029</w:t>
            </w: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1,658,333</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1.06</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2480" w:type="dxa"/>
            <w:vAlign w:val="bottom"/>
            <w:gridSpan w:val="18"/>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Commercial Streaming Solutions Inc.</w:t>
            </w:r>
          </w:p>
        </w:tc>
        <w:tc>
          <w:tcPr>
            <w:tcW w:w="24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360" w:type="dxa"/>
            <w:vAlign w:val="bottom"/>
            <w:tcBorders>
              <w:top w:val="single" w:sz="8" w:color="auto"/>
            </w:tcBorders>
            <w:gridSpan w:val="17"/>
            <w:shd w:val="clear" w:color="auto" w:fill="CCEEFF"/>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(d/b/a BettorView)</w:t>
            </w:r>
            <w:r>
              <w:rPr>
                <w:rFonts w:ascii="Times New Roman" w:cs="Times New Roman" w:eastAsia="Times New Roman" w:hAnsi="Times New Roman"/>
                <w:sz w:val="21"/>
                <w:szCs w:val="21"/>
                <w:b w:val="1"/>
                <w:bCs w:val="1"/>
                <w:color w:val="auto"/>
                <w:vertAlign w:val="superscript"/>
              </w:rPr>
              <w:t>(7)(14)</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CCEEFF"/>
            </w:tcBorders>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5"/>
              </w:rPr>
              <w:t>Las Vegas, NV</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Preferred Shares, Series A-1</w:t>
            </w:r>
          </w:p>
        </w:tc>
        <w:tc>
          <w:tcPr>
            <w:tcW w:w="240" w:type="dxa"/>
            <w:vAlign w:val="bottom"/>
          </w:tcPr>
          <w:p>
            <w:pPr>
              <w:spacing w:after="0"/>
              <w:rPr>
                <w:sz w:val="15"/>
                <w:szCs w:val="15"/>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7"/>
              </w:rPr>
              <w:t>Interactive Media &amp; Services</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3/26/2021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10,548,522</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1,004,240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0" w:type="dxa"/>
            <w:vAlign w:val="bottom"/>
          </w:tcPr>
          <w:p>
            <w:pPr>
              <w:spacing w:after="0"/>
              <w:rPr>
                <w:sz w:val="1"/>
                <w:szCs w:val="1"/>
                <w:color w:val="auto"/>
              </w:rPr>
            </w:pPr>
          </w:p>
        </w:tc>
      </w:tr>
      <w:tr>
        <w:trPr>
          <w:trHeight w:val="156"/>
        </w:trPr>
        <w:tc>
          <w:tcPr>
            <w:tcW w:w="2480" w:type="dxa"/>
            <w:vAlign w:val="bottom"/>
            <w:gridSpan w:val="18"/>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240" w:type="dxa"/>
            <w:vAlign w:val="bottom"/>
            <w:shd w:val="clear" w:color="auto" w:fill="CCEEFF"/>
          </w:tcPr>
          <w:p>
            <w:pPr>
              <w:spacing w:after="0"/>
              <w:rPr>
                <w:sz w:val="13"/>
                <w:szCs w:val="13"/>
                <w:color w:val="auto"/>
              </w:rPr>
            </w:pPr>
          </w:p>
        </w:tc>
        <w:tc>
          <w:tcPr>
            <w:tcW w:w="2320" w:type="dxa"/>
            <w:vAlign w:val="bottom"/>
            <w:shd w:val="clear" w:color="auto" w:fill="CCEEFF"/>
          </w:tcPr>
          <w:p>
            <w:pPr>
              <w:jc w:val="center"/>
              <w:ind w:left="306"/>
              <w:spacing w:after="0" w:line="144" w:lineRule="exact"/>
              <w:rPr>
                <w:sz w:val="20"/>
                <w:szCs w:val="20"/>
                <w:color w:val="auto"/>
              </w:rPr>
            </w:pPr>
            <w:r>
              <w:rPr>
                <w:rFonts w:ascii="Times New Roman" w:cs="Times New Roman" w:eastAsia="Times New Roman" w:hAnsi="Times New Roman"/>
                <w:sz w:val="15"/>
                <w:szCs w:val="15"/>
                <w:color w:val="auto"/>
                <w:w w:val="97"/>
              </w:rPr>
              <w:t>Chicago, IL</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gridSpan w:val="11"/>
          </w:tcPr>
          <w:p>
            <w:pPr>
              <w:spacing w:after="0" w:line="210"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560" w:type="dxa"/>
            <w:vAlign w:val="bottom"/>
            <w:tcBorders>
              <w:top w:val="single" w:sz="8" w:color="CCEEFF"/>
            </w:tcBorders>
            <w:gridSpan w:val="7"/>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jc w:val="center"/>
              <w:ind w:left="326"/>
              <w:spacing w:after="0"/>
              <w:rPr>
                <w:sz w:val="20"/>
                <w:szCs w:val="20"/>
                <w:color w:val="auto"/>
              </w:rPr>
            </w:pPr>
            <w:r>
              <w:rPr>
                <w:rFonts w:ascii="Times New Roman" w:cs="Times New Roman" w:eastAsia="Times New Roman" w:hAnsi="Times New Roman"/>
                <w:sz w:val="15"/>
                <w:szCs w:val="15"/>
                <w:color w:val="auto"/>
                <w:w w:val="98"/>
              </w:rPr>
              <w:t>Cannabis REIT</w:t>
            </w:r>
          </w:p>
        </w:tc>
        <w:tc>
          <w:tcPr>
            <w:tcW w:w="1760" w:type="dxa"/>
            <w:vAlign w:val="bottom"/>
            <w:tcBorders>
              <w:top w:val="single" w:sz="8" w:color="CCEEFF"/>
            </w:tcBorders>
            <w:gridSpan w:val="3"/>
          </w:tcPr>
          <w:p>
            <w:pPr>
              <w:jc w:val="center"/>
              <w:ind w:left="546"/>
              <w:spacing w:after="0"/>
              <w:rPr>
                <w:sz w:val="20"/>
                <w:szCs w:val="20"/>
                <w:color w:val="auto"/>
              </w:rPr>
            </w:pPr>
            <w:r>
              <w:rPr>
                <w:rFonts w:ascii="Times New Roman" w:cs="Times New Roman" w:eastAsia="Times New Roman" w:hAnsi="Times New Roman"/>
                <w:sz w:val="15"/>
                <w:szCs w:val="15"/>
                <w:color w:val="auto"/>
                <w:w w:val="95"/>
              </w:rPr>
              <w:t>9/11/2019</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312,500</w:t>
            </w:r>
          </w:p>
        </w:tc>
        <w:tc>
          <w:tcPr>
            <w:tcW w:w="11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2,580,750</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984,209</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0" w:type="dxa"/>
            <w:vAlign w:val="bottom"/>
          </w:tcPr>
          <w:p>
            <w:pPr>
              <w:spacing w:after="0"/>
              <w:rPr>
                <w:sz w:val="1"/>
                <w:szCs w:val="1"/>
                <w:color w:val="auto"/>
              </w:rPr>
            </w:pPr>
          </w:p>
        </w:tc>
      </w:tr>
      <w:tr>
        <w:trPr>
          <w:trHeight w:val="143"/>
        </w:trPr>
        <w:tc>
          <w:tcPr>
            <w:tcW w:w="2480" w:type="dxa"/>
            <w:vAlign w:val="bottom"/>
            <w:gridSpan w:val="18"/>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Skillsoft Corp.</w:t>
            </w:r>
          </w:p>
        </w:tc>
        <w:tc>
          <w:tcPr>
            <w:tcW w:w="240" w:type="dxa"/>
            <w:vAlign w:val="bottom"/>
            <w:shd w:val="clear" w:color="auto" w:fill="CCEEFF"/>
          </w:tcPr>
          <w:p>
            <w:pPr>
              <w:spacing w:after="0"/>
              <w:rPr>
                <w:sz w:val="12"/>
                <w:szCs w:val="12"/>
                <w:color w:val="auto"/>
              </w:rPr>
            </w:pPr>
          </w:p>
        </w:tc>
        <w:tc>
          <w:tcPr>
            <w:tcW w:w="2320" w:type="dxa"/>
            <w:vAlign w:val="bottom"/>
            <w:shd w:val="clear" w:color="auto" w:fill="CCEEFF"/>
          </w:tcPr>
          <w:p>
            <w:pPr>
              <w:jc w:val="center"/>
              <w:ind w:left="326"/>
              <w:spacing w:after="0" w:line="144" w:lineRule="exact"/>
              <w:rPr>
                <w:sz w:val="20"/>
                <w:szCs w:val="20"/>
                <w:color w:val="auto"/>
              </w:rPr>
            </w:pPr>
            <w:r>
              <w:rPr>
                <w:rFonts w:ascii="Times New Roman" w:cs="Times New Roman" w:eastAsia="Times New Roman" w:hAnsi="Times New Roman"/>
                <w:sz w:val="15"/>
                <w:szCs w:val="15"/>
                <w:color w:val="auto"/>
                <w:w w:val="97"/>
              </w:rPr>
              <w:t>Nashua, NH</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18"/>
          </w:tcPr>
          <w:p>
            <w:pPr>
              <w:spacing w:after="0" w:line="210"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8"/>
              </w:rPr>
              <w:t>Online Education</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7"/>
              </w:rPr>
              <w:t>6/8/2021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49,092</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9,818,428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944,530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0.60%</w:t>
            </w:r>
          </w:p>
        </w:tc>
        <w:tc>
          <w:tcPr>
            <w:tcW w:w="0" w:type="dxa"/>
            <w:vAlign w:val="bottom"/>
          </w:tcPr>
          <w:p>
            <w:pPr>
              <w:spacing w:after="0"/>
              <w:rPr>
                <w:sz w:val="1"/>
                <w:szCs w:val="1"/>
                <w:color w:val="auto"/>
              </w:rPr>
            </w:pPr>
          </w:p>
        </w:tc>
      </w:tr>
      <w:tr>
        <w:trPr>
          <w:trHeight w:val="143"/>
        </w:trPr>
        <w:tc>
          <w:tcPr>
            <w:tcW w:w="2480" w:type="dxa"/>
            <w:vAlign w:val="bottom"/>
            <w:gridSpan w:val="18"/>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Stake Trade, Inc. (d/b/a Prophet</w:t>
            </w:r>
          </w:p>
        </w:tc>
        <w:tc>
          <w:tcPr>
            <w:tcW w:w="2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21"/>
                <w:szCs w:val="21"/>
                <w:b w:val="1"/>
                <w:bCs w:val="1"/>
                <w:color w:val="auto"/>
                <w:vertAlign w:val="superscript"/>
              </w:rPr>
              <w:t>(7)</w:t>
            </w:r>
          </w:p>
        </w:tc>
        <w:tc>
          <w:tcPr>
            <w:tcW w:w="460" w:type="dxa"/>
            <w:vAlign w:val="bottom"/>
            <w:tcBorders>
              <w:top w:val="single" w:sz="8" w:color="CCEEFF"/>
            </w:tcBorders>
            <w:gridSpan w:val="5"/>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CCEEFF"/>
            </w:tcBorders>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5"/>
              </w:rPr>
              <w:t>New York, NY</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40" w:type="dxa"/>
            <w:vAlign w:val="bottom"/>
          </w:tcPr>
          <w:p>
            <w:pPr>
              <w:spacing w:after="0"/>
              <w:rPr>
                <w:sz w:val="15"/>
                <w:szCs w:val="15"/>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7"/>
              </w:rPr>
              <w:t>Sports Betting</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7/26/2023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4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1,002,153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862,362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0" w:type="dxa"/>
            <w:vAlign w:val="bottom"/>
          </w:tcPr>
          <w:p>
            <w:pPr>
              <w:spacing w:after="0"/>
              <w:rPr>
                <w:sz w:val="1"/>
                <w:szCs w:val="1"/>
                <w:color w:val="auto"/>
              </w:rPr>
            </w:pPr>
          </w:p>
        </w:tc>
      </w:tr>
      <w:tr>
        <w:trPr>
          <w:trHeight w:val="143"/>
        </w:trPr>
        <w:tc>
          <w:tcPr>
            <w:tcW w:w="2120" w:type="dxa"/>
            <w:vAlign w:val="bottom"/>
            <w:tcBorders>
              <w:bottom w:val="single" w:sz="8" w:color="auto"/>
            </w:tcBorders>
            <w:gridSpan w:val="14"/>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Residential Homes for Rent, LLC</w:t>
            </w:r>
          </w:p>
        </w:tc>
        <w:tc>
          <w:tcPr>
            <w:tcW w:w="360" w:type="dxa"/>
            <w:vAlign w:val="bottom"/>
            <w:tcBorders>
              <w:bottom w:val="single" w:sz="8" w:color="CCEEFF"/>
            </w:tcBorders>
            <w:gridSpan w:val="4"/>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80" w:type="dxa"/>
            <w:vAlign w:val="bottom"/>
            <w:gridSpan w:val="18"/>
            <w:shd w:val="clear" w:color="auto" w:fill="CCEEFF"/>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(d/b/a Second Avenue)</w:t>
            </w:r>
            <w:r>
              <w:rPr>
                <w:rFonts w:ascii="Times New Roman" w:cs="Times New Roman" w:eastAsia="Times New Roman" w:hAnsi="Times New Roman"/>
                <w:sz w:val="21"/>
                <w:szCs w:val="21"/>
                <w:b w:val="1"/>
                <w:bCs w:val="1"/>
                <w:color w:val="auto"/>
                <w:vertAlign w:val="superscript"/>
              </w:rPr>
              <w:t>(15)</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5"/>
                <w:szCs w:val="15"/>
                <w:color w:val="auto"/>
                <w:w w:val="97"/>
              </w:rPr>
              <w:t>Chicago, IL</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40" w:type="dxa"/>
            <w:vAlign w:val="bottom"/>
          </w:tcPr>
          <w:p>
            <w:pPr>
              <w:spacing w:after="0"/>
              <w:rPr>
                <w:sz w:val="15"/>
                <w:szCs w:val="15"/>
                <w:color w:val="auto"/>
              </w:rPr>
            </w:pPr>
          </w:p>
        </w:tc>
        <w:tc>
          <w:tcPr>
            <w:tcW w:w="2320" w:type="dxa"/>
            <w:vAlign w:val="bottom"/>
          </w:tcPr>
          <w:p>
            <w:pPr>
              <w:jc w:val="center"/>
              <w:ind w:left="306"/>
              <w:spacing w:after="0"/>
              <w:rPr>
                <w:sz w:val="20"/>
                <w:szCs w:val="20"/>
                <w:color w:val="auto"/>
              </w:rPr>
            </w:pPr>
            <w:r>
              <w:rPr>
                <w:rFonts w:ascii="Times New Roman" w:cs="Times New Roman" w:eastAsia="Times New Roman" w:hAnsi="Times New Roman"/>
                <w:sz w:val="15"/>
                <w:szCs w:val="15"/>
                <w:color w:val="auto"/>
                <w:w w:val="98"/>
              </w:rPr>
              <w:t>Real Estate Platform</w:t>
            </w:r>
          </w:p>
        </w:tc>
        <w:tc>
          <w:tcPr>
            <w:tcW w:w="1760" w:type="dxa"/>
            <w:vAlign w:val="bottom"/>
            <w:gridSpan w:val="3"/>
          </w:tcPr>
          <w:p>
            <w:pPr>
              <w:jc w:val="center"/>
              <w:ind w:left="546"/>
              <w:spacing w:after="0"/>
              <w:rPr>
                <w:sz w:val="20"/>
                <w:szCs w:val="20"/>
                <w:color w:val="auto"/>
              </w:rPr>
            </w:pPr>
            <w:r>
              <w:rPr>
                <w:rFonts w:ascii="Times New Roman" w:cs="Times New Roman" w:eastAsia="Times New Roman" w:hAnsi="Times New Roman"/>
                <w:sz w:val="15"/>
                <w:szCs w:val="15"/>
                <w:color w:val="auto"/>
                <w:w w:val="96"/>
              </w:rPr>
              <w:t>12/23/2020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150,000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1,500,000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850,367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156"/>
        </w:trPr>
        <w:tc>
          <w:tcPr>
            <w:tcW w:w="1180" w:type="dxa"/>
            <w:vAlign w:val="bottom"/>
            <w:tcBorders>
              <w:bottom w:val="single" w:sz="8" w:color="auto"/>
              <w:right w:val="single" w:sz="8" w:color="CCEEFF"/>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Forge Global, Inc.</w:t>
            </w:r>
          </w:p>
        </w:tc>
        <w:tc>
          <w:tcPr>
            <w:tcW w:w="1300" w:type="dxa"/>
            <w:vAlign w:val="bottom"/>
            <w:tcBorders>
              <w:bottom w:val="single" w:sz="8" w:color="CCEEFF"/>
            </w:tcBorders>
            <w:gridSpan w:val="11"/>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320" w:type="dxa"/>
            <w:vAlign w:val="bottom"/>
            <w:tcBorders>
              <w:bottom w:val="single" w:sz="8" w:color="CCEEFF"/>
            </w:tcBorders>
            <w:shd w:val="clear" w:color="auto" w:fill="CCEEFF"/>
          </w:tcPr>
          <w:p>
            <w:pPr>
              <w:jc w:val="center"/>
              <w:ind w:left="326"/>
              <w:spacing w:after="0" w:line="144" w:lineRule="exact"/>
              <w:rPr>
                <w:sz w:val="20"/>
                <w:szCs w:val="20"/>
                <w:color w:val="auto"/>
              </w:rPr>
            </w:pPr>
            <w:r>
              <w:rPr>
                <w:rFonts w:ascii="Times New Roman" w:cs="Times New Roman" w:eastAsia="Times New Roman" w:hAnsi="Times New Roman"/>
                <w:sz w:val="15"/>
                <w:szCs w:val="15"/>
                <w:color w:val="auto"/>
                <w:w w:val="99"/>
              </w:rPr>
              <w:t>San Francisco, CA</w:t>
            </w:r>
          </w:p>
        </w:tc>
        <w:tc>
          <w:tcPr>
            <w:tcW w:w="4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80" w:type="dxa"/>
            <w:vAlign w:val="bottom"/>
            <w:gridSpan w:val="18"/>
          </w:tcPr>
          <w:p>
            <w:pPr>
              <w:spacing w:after="0" w:line="210"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8"/>
                <w:szCs w:val="18"/>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8"/>
              </w:rPr>
              <w:t>Online Marketplace Finance</w:t>
            </w:r>
          </w:p>
        </w:tc>
        <w:tc>
          <w:tcPr>
            <w:tcW w:w="1760" w:type="dxa"/>
            <w:vAlign w:val="bottom"/>
            <w:gridSpan w:val="3"/>
          </w:tcPr>
          <w:p>
            <w:pPr>
              <w:jc w:val="center"/>
              <w:ind w:left="546"/>
              <w:spacing w:after="0"/>
              <w:rPr>
                <w:sz w:val="20"/>
                <w:szCs w:val="20"/>
                <w:color w:val="auto"/>
              </w:rPr>
            </w:pPr>
            <w:r>
              <w:rPr>
                <w:rFonts w:ascii="Times New Roman" w:cs="Times New Roman" w:eastAsia="Times New Roman" w:hAnsi="Times New Roman"/>
                <w:sz w:val="15"/>
                <w:szCs w:val="15"/>
                <w:color w:val="auto"/>
                <w:w w:val="95"/>
              </w:rPr>
              <w:t>7/20/2011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1,020,875</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1,978,921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573,732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0" w:type="dxa"/>
            <w:vAlign w:val="bottom"/>
          </w:tcPr>
          <w:p>
            <w:pPr>
              <w:spacing w:after="0"/>
              <w:rPr>
                <w:sz w:val="1"/>
                <w:szCs w:val="1"/>
                <w:color w:val="auto"/>
              </w:rPr>
            </w:pPr>
          </w:p>
        </w:tc>
      </w:tr>
      <w:tr>
        <w:trPr>
          <w:trHeight w:val="176"/>
        </w:trPr>
        <w:tc>
          <w:tcPr>
            <w:tcW w:w="2480" w:type="dxa"/>
            <w:vAlign w:val="bottom"/>
            <w:gridSpan w:val="18"/>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40" w:type="dxa"/>
            <w:vAlign w:val="bottom"/>
            <w:shd w:val="clear" w:color="auto" w:fill="CCEEFF"/>
          </w:tcPr>
          <w:p>
            <w:pPr>
              <w:spacing w:after="0"/>
              <w:rPr>
                <w:sz w:val="15"/>
                <w:szCs w:val="15"/>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6"/>
              </w:rPr>
              <w:t>San Diego, CA</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240" w:type="dxa"/>
            <w:vAlign w:val="bottom"/>
          </w:tcPr>
          <w:p>
            <w:pPr>
              <w:spacing w:after="0"/>
              <w:rPr>
                <w:sz w:val="15"/>
                <w:szCs w:val="15"/>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6"/>
              </w:rPr>
              <w:t>Gaming Technology</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5/18/2022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456,704</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501,330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43"/>
        </w:trPr>
        <w:tc>
          <w:tcPr>
            <w:tcW w:w="1620" w:type="dxa"/>
            <w:vAlign w:val="bottom"/>
            <w:tcBorders>
              <w:bottom w:val="single" w:sz="8" w:color="auto"/>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PSQ Holdings, Inc. (d/b/a</w:t>
            </w:r>
          </w:p>
        </w:tc>
        <w:tc>
          <w:tcPr>
            <w:tcW w:w="860" w:type="dxa"/>
            <w:vAlign w:val="bottom"/>
            <w:tcBorders>
              <w:bottom w:val="single" w:sz="8" w:color="CCEEFF"/>
            </w:tcBorders>
            <w:gridSpan w:val="8"/>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3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8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PublicSquare)</w:t>
            </w:r>
          </w:p>
        </w:tc>
        <w:tc>
          <w:tcPr>
            <w:tcW w:w="240" w:type="dxa"/>
            <w:vAlign w:val="bottom"/>
            <w:shd w:val="clear" w:color="auto" w:fill="CCEEFF"/>
          </w:tcPr>
          <w:p>
            <w:pPr>
              <w:spacing w:after="0"/>
              <w:rPr>
                <w:sz w:val="13"/>
                <w:szCs w:val="13"/>
                <w:color w:val="auto"/>
              </w:rPr>
            </w:pPr>
          </w:p>
        </w:tc>
        <w:tc>
          <w:tcPr>
            <w:tcW w:w="2320" w:type="dxa"/>
            <w:vAlign w:val="bottom"/>
            <w:shd w:val="clear" w:color="auto" w:fill="CCEEFF"/>
          </w:tcPr>
          <w:p>
            <w:pPr>
              <w:jc w:val="center"/>
              <w:ind w:left="326"/>
              <w:spacing w:after="0" w:line="156" w:lineRule="exact"/>
              <w:rPr>
                <w:sz w:val="20"/>
                <w:szCs w:val="20"/>
                <w:color w:val="auto"/>
              </w:rPr>
            </w:pPr>
            <w:r>
              <w:rPr>
                <w:rFonts w:ascii="Times New Roman" w:cs="Times New Roman" w:eastAsia="Times New Roman" w:hAnsi="Times New Roman"/>
                <w:sz w:val="15"/>
                <w:szCs w:val="15"/>
                <w:color w:val="auto"/>
                <w:w w:val="97"/>
              </w:rPr>
              <w:t>West Palm Beach, FL</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gridSpan w:val="18"/>
          </w:tcPr>
          <w:p>
            <w:pPr>
              <w:spacing w:after="0" w:line="164" w:lineRule="exact"/>
              <w:rPr>
                <w:sz w:val="20"/>
                <w:szCs w:val="20"/>
                <w:color w:val="auto"/>
              </w:rPr>
            </w:pPr>
            <w:r>
              <w:rPr>
                <w:rFonts w:ascii="Times New Roman" w:cs="Times New Roman" w:eastAsia="Times New Roman" w:hAnsi="Times New Roman"/>
                <w:sz w:val="15"/>
                <w:szCs w:val="15"/>
                <w:color w:val="auto"/>
              </w:rPr>
              <w:t>Common warrants, Strike Price $11.50,</w:t>
            </w:r>
          </w:p>
        </w:tc>
        <w:tc>
          <w:tcPr>
            <w:tcW w:w="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480" w:type="dxa"/>
            <w:vAlign w:val="bottom"/>
            <w:gridSpan w:val="18"/>
          </w:tcPr>
          <w:p>
            <w:pPr>
              <w:spacing w:after="0" w:line="222" w:lineRule="exact"/>
              <w:rPr>
                <w:sz w:val="20"/>
                <w:szCs w:val="20"/>
                <w:color w:val="auto"/>
              </w:rPr>
            </w:pPr>
            <w:r>
              <w:rPr>
                <w:rFonts w:ascii="Times New Roman" w:cs="Times New Roman" w:eastAsia="Times New Roman" w:hAnsi="Times New Roman"/>
                <w:sz w:val="15"/>
                <w:szCs w:val="15"/>
                <w:color w:val="auto"/>
              </w:rPr>
              <w:t>Expiration Date 7/19/2028</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19"/>
                <w:szCs w:val="19"/>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8"/>
              </w:rPr>
              <w:t>E-Commerce Marketplace</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7"/>
              </w:rPr>
              <w:t>4/1/2021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1,796,037</w:t>
            </w:r>
          </w:p>
        </w:tc>
        <w:tc>
          <w:tcPr>
            <w:tcW w:w="3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771,065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413,089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190"/>
        </w:trPr>
        <w:tc>
          <w:tcPr>
            <w:tcW w:w="2480" w:type="dxa"/>
            <w:vAlign w:val="bottom"/>
            <w:gridSpan w:val="18"/>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Rebric, Inc. (d/b/a Compliable)</w:t>
            </w:r>
            <w:r>
              <w:rPr>
                <w:rFonts w:ascii="Times New Roman" w:cs="Times New Roman" w:eastAsia="Times New Roman" w:hAnsi="Times New Roman"/>
                <w:sz w:val="20"/>
                <w:szCs w:val="20"/>
                <w:b w:val="1"/>
                <w:bCs w:val="1"/>
                <w:color w:val="auto"/>
                <w:vertAlign w:val="superscript"/>
              </w:rPr>
              <w:t>(7)</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jc w:val="center"/>
              <w:ind w:left="326"/>
              <w:spacing w:after="0"/>
              <w:rPr>
                <w:sz w:val="20"/>
                <w:szCs w:val="20"/>
                <w:color w:val="auto"/>
              </w:rPr>
            </w:pPr>
            <w:r>
              <w:rPr>
                <w:rFonts w:ascii="Times New Roman" w:cs="Times New Roman" w:eastAsia="Times New Roman" w:hAnsi="Times New Roman"/>
                <w:sz w:val="15"/>
                <w:szCs w:val="15"/>
                <w:color w:val="auto"/>
                <w:w w:val="99"/>
              </w:rPr>
              <w:t>Denver, CO</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520" w:type="dxa"/>
            <w:vAlign w:val="bottom"/>
            <w:tcBorders>
              <w:top w:val="single" w:sz="8" w:color="CCEEFF"/>
            </w:tcBorders>
            <w:gridSpan w:val="6"/>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320" w:type="dxa"/>
            <w:vAlign w:val="bottom"/>
            <w:tcBorders>
              <w:top w:val="single" w:sz="8" w:color="CCEEFF"/>
            </w:tcBorders>
          </w:tcPr>
          <w:p>
            <w:pPr>
              <w:jc w:val="center"/>
              <w:ind w:left="326"/>
              <w:spacing w:after="0"/>
              <w:rPr>
                <w:sz w:val="20"/>
                <w:szCs w:val="20"/>
                <w:color w:val="auto"/>
              </w:rPr>
            </w:pPr>
            <w:r>
              <w:rPr>
                <w:rFonts w:ascii="Times New Roman" w:cs="Times New Roman" w:eastAsia="Times New Roman" w:hAnsi="Times New Roman"/>
                <w:sz w:val="15"/>
                <w:szCs w:val="15"/>
                <w:color w:val="auto"/>
                <w:w w:val="97"/>
              </w:rPr>
              <w:t>Gaming Licensing</w:t>
            </w:r>
          </w:p>
        </w:tc>
        <w:tc>
          <w:tcPr>
            <w:tcW w:w="1760" w:type="dxa"/>
            <w:vAlign w:val="bottom"/>
            <w:tcBorders>
              <w:top w:val="single" w:sz="8" w:color="CCEEFF"/>
            </w:tcBorders>
            <w:gridSpan w:val="3"/>
          </w:tcPr>
          <w:p>
            <w:pPr>
              <w:jc w:val="center"/>
              <w:ind w:left="546"/>
              <w:spacing w:after="0"/>
              <w:rPr>
                <w:sz w:val="20"/>
                <w:szCs w:val="20"/>
                <w:color w:val="auto"/>
              </w:rPr>
            </w:pPr>
            <w:r>
              <w:rPr>
                <w:rFonts w:ascii="Times New Roman" w:cs="Times New Roman" w:eastAsia="Times New Roman" w:hAnsi="Times New Roman"/>
                <w:sz w:val="15"/>
                <w:szCs w:val="15"/>
                <w:color w:val="auto"/>
                <w:w w:val="96"/>
              </w:rPr>
              <w:t>10/12/2021</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2,406,492</w:t>
            </w:r>
          </w:p>
        </w:tc>
        <w:tc>
          <w:tcPr>
            <w:tcW w:w="3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1,002,755</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8"/>
              </w:rPr>
              <w:t>Kinetiq Holdings, LLC</w:t>
            </w:r>
          </w:p>
        </w:tc>
        <w:tc>
          <w:tcPr>
            <w:tcW w:w="980" w:type="dxa"/>
            <w:vAlign w:val="bottom"/>
            <w:tcBorders>
              <w:bottom w:val="single" w:sz="8" w:color="CCEEFF"/>
            </w:tcBorders>
            <w:gridSpan w:val="9"/>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320" w:type="dxa"/>
            <w:vAlign w:val="bottom"/>
            <w:tcBorders>
              <w:bottom w:val="single" w:sz="8" w:color="CCEEFF"/>
            </w:tcBorders>
            <w:shd w:val="clear" w:color="auto" w:fill="CCEEFF"/>
          </w:tcPr>
          <w:p>
            <w:pPr>
              <w:jc w:val="center"/>
              <w:ind w:left="306"/>
              <w:spacing w:after="0" w:line="144" w:lineRule="exact"/>
              <w:rPr>
                <w:sz w:val="20"/>
                <w:szCs w:val="20"/>
                <w:color w:val="auto"/>
              </w:rPr>
            </w:pPr>
            <w:r>
              <w:rPr>
                <w:rFonts w:ascii="Times New Roman" w:cs="Times New Roman" w:eastAsia="Times New Roman" w:hAnsi="Times New Roman"/>
                <w:sz w:val="15"/>
                <w:szCs w:val="15"/>
                <w:color w:val="auto"/>
                <w:w w:val="96"/>
              </w:rPr>
              <w:t>Philadelphia, PA</w:t>
            </w:r>
          </w:p>
        </w:tc>
        <w:tc>
          <w:tcPr>
            <w:tcW w:w="4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80" w:type="dxa"/>
            <w:vAlign w:val="bottom"/>
            <w:gridSpan w:val="18"/>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240" w:type="dxa"/>
            <w:vAlign w:val="bottom"/>
          </w:tcPr>
          <w:p>
            <w:pPr>
              <w:spacing w:after="0"/>
              <w:rPr>
                <w:sz w:val="16"/>
                <w:szCs w:val="16"/>
                <w:color w:val="auto"/>
              </w:rPr>
            </w:pPr>
          </w:p>
        </w:tc>
        <w:tc>
          <w:tcPr>
            <w:tcW w:w="2320" w:type="dxa"/>
            <w:vAlign w:val="bottom"/>
          </w:tcPr>
          <w:p>
            <w:pPr>
              <w:jc w:val="center"/>
              <w:ind w:left="326"/>
              <w:spacing w:after="0"/>
              <w:rPr>
                <w:sz w:val="20"/>
                <w:szCs w:val="20"/>
                <w:color w:val="auto"/>
              </w:rPr>
            </w:pPr>
            <w:r>
              <w:rPr>
                <w:rFonts w:ascii="Times New Roman" w:cs="Times New Roman" w:eastAsia="Times New Roman" w:hAnsi="Times New Roman"/>
                <w:sz w:val="15"/>
                <w:szCs w:val="15"/>
                <w:color w:val="auto"/>
                <w:w w:val="98"/>
              </w:rPr>
              <w:t>Social Data Platform</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5"/>
                <w:szCs w:val="15"/>
                <w:color w:val="auto"/>
                <w:w w:val="98"/>
              </w:rPr>
              <w:t>3/30/2012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112,374</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1"/>
        </w:trPr>
        <w:tc>
          <w:tcPr>
            <w:tcW w:w="2660" w:type="dxa"/>
            <w:vAlign w:val="bottom"/>
            <w:gridSpan w:val="12"/>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120" w:type="dxa"/>
            <w:vAlign w:val="bottom"/>
            <w:gridSpan w:val="3"/>
          </w:tcPr>
          <w:p>
            <w:pPr>
              <w:jc w:val="center"/>
              <w:ind w:right="320"/>
              <w:spacing w:after="0" w:line="220" w:lineRule="exact"/>
              <w:rPr>
                <w:sz w:val="20"/>
                <w:szCs w:val="20"/>
                <w:color w:val="auto"/>
              </w:rPr>
            </w:pPr>
            <w:r>
              <w:rPr>
                <w:rFonts w:ascii="Times New Roman" w:cs="Times New Roman" w:eastAsia="Times New Roman" w:hAnsi="Times New Roman"/>
                <w:sz w:val="15"/>
                <w:szCs w:val="15"/>
                <w:b w:val="1"/>
                <w:bCs w:val="1"/>
                <w:color w:val="auto"/>
                <w:w w:val="94"/>
              </w:rPr>
              <w:t>Quantity</w:t>
            </w:r>
            <w:r>
              <w:rPr>
                <w:rFonts w:ascii="Times New Roman" w:cs="Times New Roman" w:eastAsia="Times New Roman" w:hAnsi="Times New Roman"/>
                <w:sz w:val="24"/>
                <w:szCs w:val="24"/>
                <w:b w:val="1"/>
                <w:bCs w:val="1"/>
                <w:color w:val="auto"/>
                <w:w w:val="94"/>
                <w:vertAlign w:val="superscript"/>
              </w:rPr>
              <w:t>(5)</w:t>
            </w:r>
          </w:p>
        </w:tc>
        <w:tc>
          <w:tcPr>
            <w:tcW w:w="10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2120" w:type="dxa"/>
            <w:vAlign w:val="bottom"/>
            <w:tcBorders>
              <w:top w:val="single" w:sz="8" w:color="auto"/>
              <w:bottom w:val="single" w:sz="8" w:color="auto"/>
            </w:tcBorders>
            <w:gridSpan w:val="8"/>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w w:val="96"/>
              </w:rPr>
              <w:t>CTN Holdings, Inc. (d/b/a Catona</w:t>
            </w:r>
          </w:p>
        </w:tc>
        <w:tc>
          <w:tcPr>
            <w:tcW w:w="3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66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6"/>
              </w:rPr>
              <w:t>Climate, f/k/a Aspiration Partners,</w:t>
            </w:r>
          </w:p>
        </w:tc>
        <w:tc>
          <w:tcPr>
            <w:tcW w:w="460" w:type="dxa"/>
            <w:vAlign w:val="bottom"/>
            <w:tcBorders>
              <w:bottom w:val="single" w:sz="8" w:color="CCEEFF"/>
            </w:tcBorders>
            <w:gridSpan w:val="2"/>
            <w:shd w:val="clear" w:color="auto" w:fill="CCEEFF"/>
          </w:tcPr>
          <w:p>
            <w:pPr>
              <w:spacing w:after="0"/>
              <w:rPr>
                <w:sz w:val="13"/>
                <w:szCs w:val="13"/>
                <w:color w:val="auto"/>
              </w:rPr>
            </w:pPr>
          </w:p>
        </w:tc>
        <w:tc>
          <w:tcPr>
            <w:tcW w:w="26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0" w:type="dxa"/>
            <w:vAlign w:val="bottom"/>
            <w:tcBorders>
              <w:bottom w:val="single" w:sz="8" w:color="CCEEFF"/>
            </w:tcBorders>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87"/>
              </w:rPr>
              <w:t>Inc.)</w:t>
            </w:r>
          </w:p>
        </w:tc>
        <w:tc>
          <w:tcPr>
            <w:tcW w:w="1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w w:val="83"/>
              </w:rPr>
              <w:t>(16)</w:t>
            </w:r>
          </w:p>
        </w:tc>
        <w:tc>
          <w:tcPr>
            <w:tcW w:w="200" w:type="dxa"/>
            <w:vAlign w:val="bottom"/>
            <w:tcBorders>
              <w:bottom w:val="single" w:sz="8" w:color="CCEEFF"/>
            </w:tcBorders>
            <w:vMerge w:val="restart"/>
            <w:shd w:val="clear" w:color="auto" w:fill="CCEEFF"/>
          </w:tcPr>
          <w:p>
            <w:pPr>
              <w:spacing w:after="0"/>
              <w:rPr>
                <w:sz w:val="9"/>
                <w:szCs w:val="9"/>
                <w:color w:val="auto"/>
              </w:rPr>
            </w:pPr>
          </w:p>
        </w:tc>
        <w:tc>
          <w:tcPr>
            <w:tcW w:w="3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360" w:type="dxa"/>
            <w:vAlign w:val="bottom"/>
            <w:tcBorders>
              <w:bottom w:val="single" w:sz="8" w:color="CCEEFF"/>
            </w:tcBorders>
            <w:vMerge w:val="restart"/>
            <w:shd w:val="clear" w:color="auto" w:fill="CCEEFF"/>
          </w:tcPr>
          <w:p>
            <w:pPr>
              <w:spacing w:after="0"/>
              <w:rPr>
                <w:sz w:val="9"/>
                <w:szCs w:val="9"/>
                <w:color w:val="auto"/>
              </w:rPr>
            </w:pPr>
          </w:p>
        </w:tc>
        <w:tc>
          <w:tcPr>
            <w:tcW w:w="420" w:type="dxa"/>
            <w:vAlign w:val="bottom"/>
            <w:tcBorders>
              <w:bottom w:val="single" w:sz="8" w:color="CCEEFF"/>
            </w:tcBorders>
            <w:vMerge w:val="restart"/>
            <w:shd w:val="clear" w:color="auto" w:fill="CCEEFF"/>
          </w:tcPr>
          <w:p>
            <w:pPr>
              <w:spacing w:after="0"/>
              <w:rPr>
                <w:sz w:val="9"/>
                <w:szCs w:val="9"/>
                <w:color w:val="auto"/>
              </w:rPr>
            </w:pPr>
          </w:p>
        </w:tc>
        <w:tc>
          <w:tcPr>
            <w:tcW w:w="520" w:type="dxa"/>
            <w:vAlign w:val="bottom"/>
            <w:tcBorders>
              <w:bottom w:val="single" w:sz="8" w:color="CCEEFF"/>
            </w:tcBorders>
            <w:gridSpan w:val="3"/>
            <w:vMerge w:val="restart"/>
            <w:shd w:val="clear" w:color="auto" w:fill="CCEEFF"/>
          </w:tcPr>
          <w:p>
            <w:pPr>
              <w:spacing w:after="0"/>
              <w:rPr>
                <w:sz w:val="9"/>
                <w:szCs w:val="9"/>
                <w:color w:val="auto"/>
              </w:rPr>
            </w:pPr>
          </w:p>
        </w:tc>
        <w:tc>
          <w:tcPr>
            <w:tcW w:w="2880" w:type="dxa"/>
            <w:vAlign w:val="bottom"/>
            <w:tcBorders>
              <w:bottom w:val="single" w:sz="8" w:color="CCEEFF"/>
            </w:tcBorders>
            <w:gridSpan w:val="2"/>
            <w:vMerge w:val="restart"/>
            <w:shd w:val="clear" w:color="auto" w:fill="CCEEFF"/>
          </w:tcPr>
          <w:p>
            <w:pPr>
              <w:jc w:val="center"/>
              <w:ind w:right="220"/>
              <w:spacing w:after="0" w:line="156" w:lineRule="exact"/>
              <w:rPr>
                <w:sz w:val="20"/>
                <w:szCs w:val="20"/>
                <w:color w:val="auto"/>
              </w:rPr>
            </w:pPr>
            <w:r>
              <w:rPr>
                <w:rFonts w:ascii="Times New Roman" w:cs="Times New Roman" w:eastAsia="Times New Roman" w:hAnsi="Times New Roman"/>
                <w:sz w:val="15"/>
                <w:szCs w:val="15"/>
                <w:color w:val="auto"/>
                <w:w w:val="97"/>
              </w:rPr>
              <w:t>Marina Del Rey, CA</w:t>
            </w:r>
          </w:p>
        </w:tc>
        <w:tc>
          <w:tcPr>
            <w:tcW w:w="1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80" w:type="dxa"/>
            <w:vAlign w:val="bottom"/>
            <w:tcBorders>
              <w:bottom w:val="single" w:sz="8" w:color="auto"/>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360" w:type="dxa"/>
            <w:vAlign w:val="bottom"/>
            <w:tcBorders>
              <w:bottom w:val="single" w:sz="8" w:color="CCEEFF"/>
            </w:tcBorders>
            <w:vMerge w:val="continue"/>
            <w:shd w:val="clear" w:color="auto" w:fill="CCEEFF"/>
          </w:tcPr>
          <w:p>
            <w:pPr>
              <w:spacing w:after="0"/>
              <w:rPr>
                <w:sz w:val="3"/>
                <w:szCs w:val="3"/>
                <w:color w:val="auto"/>
              </w:rPr>
            </w:pPr>
          </w:p>
        </w:tc>
        <w:tc>
          <w:tcPr>
            <w:tcW w:w="42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gridSpan w:val="3"/>
            <w:vMerge w:val="continue"/>
            <w:shd w:val="clear" w:color="auto" w:fill="CCEEFF"/>
          </w:tcPr>
          <w:p>
            <w:pPr>
              <w:spacing w:after="0"/>
              <w:rPr>
                <w:sz w:val="3"/>
                <w:szCs w:val="3"/>
                <w:color w:val="auto"/>
              </w:rPr>
            </w:pPr>
          </w:p>
        </w:tc>
        <w:tc>
          <w:tcPr>
            <w:tcW w:w="2880" w:type="dxa"/>
            <w:vAlign w:val="bottom"/>
            <w:tcBorders>
              <w:bottom w:val="single" w:sz="8" w:color="CCEEFF"/>
            </w:tcBorders>
            <w:gridSpan w:val="2"/>
            <w:vMerge w:val="continue"/>
            <w:shd w:val="clear" w:color="auto" w:fill="CCEEFF"/>
          </w:tcPr>
          <w:p>
            <w:pPr>
              <w:spacing w:after="0"/>
              <w:rPr>
                <w:sz w:val="3"/>
                <w:szCs w:val="3"/>
                <w:color w:val="auto"/>
              </w:rPr>
            </w:pPr>
          </w:p>
        </w:tc>
        <w:tc>
          <w:tcPr>
            <w:tcW w:w="110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Carbon Credit Services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8/11/2015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540,270</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1,001,815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8/12/2019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24,912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281,190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1,283,005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Fullbridge, Inc.</w:t>
            </w:r>
          </w:p>
        </w:tc>
        <w:tc>
          <w:tcPr>
            <w:tcW w:w="28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9"/>
              </w:rPr>
              <w:t>Cambridge, MA</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Business Education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5/13/2012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517,917</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6,150,506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11"/>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Promissory Note 1.47%, Due</w:t>
            </w: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0" w:type="dxa"/>
            <w:vAlign w:val="bottom"/>
            <w:gridSpan w:val="4"/>
            <w:shd w:val="clear" w:color="auto" w:fill="CCEEFF"/>
          </w:tcPr>
          <w:p>
            <w:pPr>
              <w:spacing w:after="0" w:line="234" w:lineRule="exact"/>
              <w:rPr>
                <w:sz w:val="20"/>
                <w:szCs w:val="20"/>
                <w:color w:val="auto"/>
              </w:rPr>
            </w:pPr>
            <w:r>
              <w:rPr>
                <w:rFonts w:ascii="Times New Roman" w:cs="Times New Roman" w:eastAsia="Times New Roman" w:hAnsi="Times New Roman"/>
                <w:sz w:val="15"/>
                <w:szCs w:val="15"/>
                <w:color w:val="auto"/>
                <w:w w:val="88"/>
              </w:rPr>
              <w:t>11/9/2021</w:t>
            </w:r>
            <w:r>
              <w:rPr>
                <w:rFonts w:ascii="Times New Roman" w:cs="Times New Roman" w:eastAsia="Times New Roman" w:hAnsi="Times New Roman"/>
                <w:sz w:val="24"/>
                <w:szCs w:val="24"/>
                <w:color w:val="auto"/>
                <w:w w:val="88"/>
                <w:vertAlign w:val="superscript"/>
              </w:rPr>
              <w:t>(4)(17)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3/3/2016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2,270,458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2,270,858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8,421,364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20" w:type="dxa"/>
            <w:vAlign w:val="bottom"/>
            <w:tcBorders>
              <w:bottom w:val="single" w:sz="8" w:color="auto"/>
            </w:tcBorders>
            <w:gridSpan w:val="8"/>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Treehouse Real Estate Investment</w:t>
            </w:r>
          </w:p>
        </w:tc>
        <w:tc>
          <w:tcPr>
            <w:tcW w:w="520" w:type="dxa"/>
            <w:vAlign w:val="bottom"/>
            <w:tcBorders>
              <w:bottom w:val="single" w:sz="8" w:color="CCEEFF"/>
            </w:tcBorders>
            <w:gridSpan w:val="3"/>
            <w:shd w:val="clear" w:color="auto" w:fill="CCEEFF"/>
          </w:tcPr>
          <w:p>
            <w:pPr>
              <w:spacing w:after="0"/>
              <w:rPr>
                <w:sz w:val="10"/>
                <w:szCs w:val="10"/>
                <w:color w:val="auto"/>
              </w:rPr>
            </w:pPr>
          </w:p>
        </w:tc>
        <w:tc>
          <w:tcPr>
            <w:tcW w:w="26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gridSpan w:val="11"/>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Trust, Inc.</w:t>
            </w:r>
          </w:p>
        </w:tc>
        <w:tc>
          <w:tcPr>
            <w:tcW w:w="2880" w:type="dxa"/>
            <w:vAlign w:val="bottom"/>
            <w:gridSpan w:val="2"/>
            <w:shd w:val="clear" w:color="auto" w:fill="CCEEFF"/>
          </w:tcPr>
          <w:p>
            <w:pPr>
              <w:jc w:val="center"/>
              <w:ind w:right="220"/>
              <w:spacing w:after="0" w:line="156" w:lineRule="exact"/>
              <w:rPr>
                <w:sz w:val="20"/>
                <w:szCs w:val="20"/>
                <w:color w:val="auto"/>
              </w:rPr>
            </w:pPr>
            <w:r>
              <w:rPr>
                <w:rFonts w:ascii="Times New Roman" w:cs="Times New Roman" w:eastAsia="Times New Roman" w:hAnsi="Times New Roman"/>
                <w:sz w:val="15"/>
                <w:szCs w:val="15"/>
                <w:color w:val="auto"/>
                <w:w w:val="97"/>
              </w:rPr>
              <w:t>Chicago, IL</w:t>
            </w: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11"/>
          </w:tcPr>
          <w:p>
            <w:pPr>
              <w:spacing w:after="0" w:line="210"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9/11/2019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312,500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4,919,250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8"/>
              </w:rPr>
              <w:t>235,908,892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194,570,607</w:t>
            </w:r>
          </w:p>
        </w:tc>
        <w:tc>
          <w:tcPr>
            <w:tcW w:w="3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124.09%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11"/>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NON-CONTROLLED/AFFILIATE</w:t>
            </w:r>
            <w:r>
              <w:rPr>
                <w:rFonts w:ascii="Times New Roman" w:cs="Times New Roman" w:eastAsia="Times New Roman" w:hAnsi="Times New Roman"/>
                <w:sz w:val="24"/>
                <w:szCs w:val="24"/>
                <w:b w:val="1"/>
                <w:bCs w:val="1"/>
                <w:color w:val="auto"/>
                <w:vertAlign w:val="superscript"/>
              </w:rPr>
              <w:t>(1)</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(18)</w:t>
            </w:r>
          </w:p>
        </w:tc>
        <w:tc>
          <w:tcPr>
            <w:tcW w:w="2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Scottsdale, AZ</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Interactive Learning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11/26/2019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329,337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257,267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479,582</w:t>
            </w:r>
          </w:p>
        </w:tc>
        <w:tc>
          <w:tcPr>
            <w:tcW w:w="32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1/7/2014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4,000,787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5,170,384</w:t>
            </w:r>
          </w:p>
        </w:tc>
        <w:tc>
          <w:tcPr>
            <w:tcW w:w="3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12/16/2011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2,019,687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3,014,406</w:t>
            </w:r>
          </w:p>
        </w:tc>
        <w:tc>
          <w:tcPr>
            <w:tcW w:w="32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2/25/2014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366,666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110,000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131,743</w:t>
            </w:r>
          </w:p>
        </w:tc>
        <w:tc>
          <w:tcPr>
            <w:tcW w:w="3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6,387,741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8,796,115</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5.61</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Maven Research, Inc.</w:t>
            </w:r>
          </w:p>
        </w:tc>
        <w:tc>
          <w:tcPr>
            <w:tcW w:w="28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Knowledge Networks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7/2/2012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318,979</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2,000,447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2/28/2012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49,505</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217,206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2,217,653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Curious.com, Inc.</w:t>
            </w:r>
          </w:p>
        </w:tc>
        <w:tc>
          <w:tcPr>
            <w:tcW w:w="28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9"/>
              </w:rPr>
              <w:t>Menlo Park, CA</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540" w:type="dxa"/>
            <w:vAlign w:val="bottom"/>
            <w:tcBorders>
              <w:top w:val="single" w:sz="8" w:color="CCEEFF"/>
            </w:tcBorders>
            <w:gridSpan w:val="6"/>
          </w:tcPr>
          <w:p>
            <w:pPr>
              <w:spacing w:after="0"/>
              <w:rPr>
                <w:sz w:val="15"/>
                <w:szCs w:val="15"/>
                <w:color w:val="auto"/>
              </w:rPr>
            </w:pPr>
          </w:p>
        </w:tc>
        <w:tc>
          <w:tcPr>
            <w:tcW w:w="28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6"/>
              </w:rPr>
              <w:t>11/22/2013</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1,135,944</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12,000,006</w:t>
            </w: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20,605,400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8,796,115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5.61%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11"/>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4"/>
                <w:szCs w:val="24"/>
                <w:b w:val="1"/>
                <w:bCs w:val="1"/>
                <w:color w:val="auto"/>
                <w:vertAlign w:val="superscript"/>
              </w:rPr>
              <w:t>(2)</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gridSpan w:val="11"/>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Colombier Sponsor II LLC</w:t>
            </w:r>
            <w:r>
              <w:rPr>
                <w:rFonts w:ascii="Times New Roman" w:cs="Times New Roman" w:eastAsia="Times New Roman" w:hAnsi="Times New Roman"/>
                <w:sz w:val="20"/>
                <w:szCs w:val="20"/>
                <w:b w:val="1"/>
                <w:bCs w:val="1"/>
                <w:color w:val="auto"/>
                <w:vertAlign w:val="superscript"/>
              </w:rPr>
              <w:t>**(6)</w:t>
            </w:r>
          </w:p>
        </w:tc>
        <w:tc>
          <w:tcPr>
            <w:tcW w:w="2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Palm Beach, FL</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940" w:type="dxa"/>
            <w:vAlign w:val="bottom"/>
            <w:tcBorders>
              <w:top w:val="single" w:sz="8" w:color="CCEEFF"/>
            </w:tcBorders>
            <w:gridSpan w:val="4"/>
          </w:tcPr>
          <w:p>
            <w:pPr>
              <w:spacing w:after="0"/>
              <w:rPr>
                <w:sz w:val="15"/>
                <w:szCs w:val="15"/>
                <w:color w:val="auto"/>
              </w:rPr>
            </w:pPr>
          </w:p>
        </w:tc>
        <w:tc>
          <w:tcPr>
            <w:tcW w:w="28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Special Purpose Acquisition Company</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6"/>
              </w:rPr>
              <w:t>11/20/2023</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1,103,719</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8,930,476</w:t>
            </w:r>
          </w:p>
        </w:tc>
        <w:tc>
          <w:tcPr>
            <w:tcW w:w="3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5.70%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499,221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1,280,000</w:t>
            </w:r>
          </w:p>
        </w:tc>
        <w:tc>
          <w:tcPr>
            <w:tcW w:w="3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0.82%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11"/>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1,602,940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10,210,476</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6.51</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10,210,476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6.51%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8"/>
              </w:rPr>
              <w:t>258,117,232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213,577,198</w:t>
            </w:r>
          </w:p>
        </w:tc>
        <w:tc>
          <w:tcPr>
            <w:tcW w:w="3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136.21%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380" w:hanging="372"/>
        <w:spacing w:after="0" w:line="250" w:lineRule="auto"/>
        <w:tabs>
          <w:tab w:leader="none" w:pos="3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or “SuRo Capital’s”)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 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left="380" w:hanging="372"/>
        <w:spacing w:after="0" w:line="255" w:lineRule="auto"/>
        <w:tabs>
          <w:tab w:leader="none" w:pos="3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March 31, 2025, 47.59% of its total investments are non-qualifying assets, excluding cash and short-term US treasuries.</w:t>
      </w:r>
    </w:p>
    <w:p>
      <w:pPr>
        <w:ind w:left="380" w:hanging="372"/>
        <w:spacing w:after="0"/>
        <w:tabs>
          <w:tab w:leader="none" w:pos="3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66" w:lineRule="exact"/>
        <w:rPr>
          <w:sz w:val="20"/>
          <w:szCs w:val="20"/>
          <w:color w:val="auto"/>
        </w:rPr>
      </w:pPr>
    </w:p>
    <w:p>
      <w:pPr>
        <w:jc w:val="both"/>
        <w:ind w:left="380" w:hanging="372"/>
        <w:spacing w:after="0" w:line="254"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securities with the right to elect directors) of such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jc w:val="both"/>
        <w:ind w:left="380" w:hanging="372"/>
        <w:spacing w:after="0" w:line="254"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the investments noted had been placed on non-accrual status.</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respective number of shares, principal amount, fund commitment, or membership interest.</w:t>
      </w:r>
    </w:p>
    <w:p>
      <w:pPr>
        <w:spacing w:after="0" w:line="180"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9"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Sports”).</w:t>
      </w:r>
    </w:p>
    <w:p>
      <w:pPr>
        <w:spacing w:after="0" w:line="139" w:lineRule="exact"/>
        <w:rPr>
          <w:rFonts w:ascii="Times New Roman" w:cs="Times New Roman" w:eastAsia="Times New Roman" w:hAnsi="Times New Roman"/>
          <w:sz w:val="15"/>
          <w:szCs w:val="15"/>
          <w:color w:val="auto"/>
        </w:rPr>
      </w:pPr>
    </w:p>
    <w:p>
      <w:pPr>
        <w:jc w:val="both"/>
        <w:ind w:left="380" w:hanging="372"/>
        <w:spacing w:after="0" w:line="254"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 Corp.’s investment in the fund.</w:t>
      </w:r>
    </w:p>
    <w:p>
      <w:pPr>
        <w:spacing w:after="0" w:line="152" w:lineRule="exact"/>
        <w:rPr>
          <w:rFonts w:ascii="Times New Roman" w:cs="Times New Roman" w:eastAsia="Times New Roman" w:hAnsi="Times New Roman"/>
          <w:sz w:val="15"/>
          <w:szCs w:val="15"/>
          <w:color w:val="auto"/>
        </w:rPr>
      </w:pPr>
    </w:p>
    <w:p>
      <w:pPr>
        <w:ind w:left="380" w:right="20" w:hanging="372"/>
        <w:spacing w:after="0" w:line="271"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SuRo Capital Corp.’s shares of ServiceTitan, Inc. were not registered and were therefore subject to certain restrictions on sale or transfer for which the Company has applied a discount to the closing public share price as of quarter-end. The Company anticipates the shares will be registered and freely tradable in June 2025.</w:t>
      </w:r>
    </w:p>
    <w:p>
      <w:pPr>
        <w:spacing w:after="0" w:line="139" w:lineRule="exact"/>
        <w:rPr>
          <w:rFonts w:ascii="Times New Roman" w:cs="Times New Roman" w:eastAsia="Times New Roman" w:hAnsi="Times New Roman"/>
          <w:sz w:val="15"/>
          <w:szCs w:val="15"/>
          <w:color w:val="auto"/>
        </w:rPr>
      </w:pPr>
    </w:p>
    <w:p>
      <w:pPr>
        <w:jc w:val="both"/>
        <w:ind w:left="380" w:hanging="372"/>
        <w:spacing w:after="0" w:line="249"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 special purpose vehicle (“SPV”) for which the Class A Interest is solely invested in the Class A Common Shares of CoreWeave, Inc. SuRo Capital Corp. is invested in the Class A Common Shares of CoreWeave, Inc. through its investment in the Class A Interest of CW Opportunity 2 LP. As of March 31, 2025, SuRo Capital has confirmed the underlying Class A Common Shares held by CW Opportunity 2 LP were not registered and are therefore subject to certain restrictions on sale or transfer for which the Company has applied a discount to the closing share price as of the reporting date. On March 28, 2025, CoreWeave, Inc. completed an IPO and the Series C Preferred Shares converted to Class A common shares. Prior to the IPO, SuRo Capital Corp. was invested in the Series C Preferred Shares of CoreWeave, Inc. through its investment in the Class A Interest of CW Opportunity 2 LP. Additionally, prior to the IPO, the Series C Preferred Shares of CoreWeave, Inc. accrued a 10% per annum dividend, paid quarterly in cash or in-kind. CW Opportunity 2 LP does not charge a management fee but does charge an incentive fee of 20%, subject to an annual 15% IRR hurdle rate. SuRo Capital Corp.’s investment in CW Opportunity 2 LP is subject to certain redemption, sale, or transfer restrictions.</w:t>
      </w:r>
    </w:p>
    <w:p>
      <w:pPr>
        <w:spacing w:after="0" w:line="156" w:lineRule="exact"/>
        <w:rPr>
          <w:rFonts w:ascii="Times New Roman" w:cs="Times New Roman" w:eastAsia="Times New Roman" w:hAnsi="Times New Roman"/>
          <w:sz w:val="15"/>
          <w:szCs w:val="15"/>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SuRo Capital Corp. is invested in the Series B Preferred Shares of VAST Data, Ltd. through its investment in the Membership Interest of IH10, LLC. IH10, LLC does not charge a management or an incentive fee; however, SuRo Capital Corp. has prepaid operating expenses. Accordingly, these adjust the total cost basis of SuRo Capital Corp.’s investment.</w:t>
      </w:r>
    </w:p>
    <w:p>
      <w:pPr>
        <w:spacing w:after="0" w:line="149" w:lineRule="exact"/>
        <w:rPr>
          <w:rFonts w:ascii="Times New Roman" w:cs="Times New Roman" w:eastAsia="Times New Roman" w:hAnsi="Times New Roman"/>
          <w:sz w:val="15"/>
          <w:szCs w:val="15"/>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28, 2025, CoreWeave, Inc. completed an IPO and SuRo Capital Corp.’s Series A Preferred Shares and Common Shares converted to Class A Common Shares. As of March 31, 2025, SuRo Capital Corp.’s Class A Common Shares were not registered and were therefore subject to certain restrictions on sale or transfer for which the Company has applied a discount to the closing share price as of the reporting date. The Company anticipates the shares will be registered and freely tradable in September 2025.</w:t>
      </w:r>
    </w:p>
    <w:p>
      <w:pPr>
        <w:spacing w:after="0" w:line="149" w:lineRule="exact"/>
        <w:rPr>
          <w:rFonts w:ascii="Times New Roman" w:cs="Times New Roman" w:eastAsia="Times New Roman" w:hAnsi="Times New Roman"/>
          <w:sz w:val="15"/>
          <w:szCs w:val="15"/>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 True Global Ventures 4 Plus Pte Ltd charges a 1.8% management fee and a 22.5% incentive fee, subject to an annual 5% IRR hurdle rate. The management fees may adjust the cost of SuRo Capital Corp.’s investment in the fund.</w:t>
      </w:r>
    </w:p>
    <w:p>
      <w:pPr>
        <w:spacing w:after="0" w:line="149"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21, 2025, Commercial Streaming Solutions, Inc. (d/b/a BettorView) merged with FSG Digital, Inc. (d/b/a JefeBet). As a result of the merger, the SAFE Note which SuRo Capital Corp. previously held in Commercial Streaming Solutions, Inc. (d/b/a BettorView) converted into Class A-1 Preferred shares.</w:t>
      </w:r>
    </w:p>
    <w:p>
      <w:pPr>
        <w:spacing w:after="0" w:line="139"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SuRo Capital Corp.’s investment in Residential Homes for Rent, LLC (d/b/a Second Avenue) is held through SuRo Capital Corp.’s wholly owned subsidiary, GSVC AV Holdings, Inc.</w:t>
      </w:r>
    </w:p>
    <w:p>
      <w:pPr>
        <w:spacing w:after="0" w:line="19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30, 2025, CTN Holdings, Inc. (d/b/a Catona Climate) filed for Chapter 11 protection in the U.S. Bankruptcy Court for the District of Delaware.</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Headquarters/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1"/>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120" w:type="dxa"/>
            <w:vAlign w:val="bottom"/>
            <w:gridSpan w:val="3"/>
          </w:tcPr>
          <w:p>
            <w:pPr>
              <w:jc w:val="center"/>
              <w:ind w:right="340"/>
              <w:spacing w:after="0" w:line="220"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51"/>
        </w:trPr>
        <w:tc>
          <w:tcPr>
            <w:tcW w:w="2480" w:type="dxa"/>
            <w:vAlign w:val="bottom"/>
            <w:tcBorders>
              <w:top w:val="single" w:sz="8" w:color="auto"/>
            </w:tcBorders>
            <w:gridSpan w:val="14"/>
            <w:shd w:val="clear" w:color="auto" w:fill="CCEEFF"/>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240" w:type="dxa"/>
            <w:vAlign w:val="bottom"/>
            <w:tcBorders>
              <w:top w:val="single" w:sz="8" w:color="CCEEFF"/>
            </w:tcBorders>
            <w:shd w:val="clear" w:color="auto" w:fill="CCEEFF"/>
          </w:tcPr>
          <w:p>
            <w:pPr>
              <w:spacing w:after="0"/>
              <w:rPr>
                <w:sz w:val="13"/>
                <w:szCs w:val="13"/>
                <w:color w:val="auto"/>
              </w:rPr>
            </w:pPr>
          </w:p>
        </w:tc>
        <w:tc>
          <w:tcPr>
            <w:tcW w:w="2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2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CW Opportunity 2 LP</w:t>
            </w:r>
            <w:r>
              <w:rPr>
                <w:rFonts w:ascii="Times New Roman" w:cs="Times New Roman" w:eastAsia="Times New Roman" w:hAnsi="Times New Roman"/>
                <w:sz w:val="20"/>
                <w:szCs w:val="20"/>
                <w:b w:val="1"/>
                <w:bCs w:val="1"/>
                <w:color w:val="auto"/>
                <w:vertAlign w:val="superscript"/>
              </w:rPr>
              <w:t>**(8)</w:t>
            </w:r>
          </w:p>
        </w:tc>
        <w:tc>
          <w:tcPr>
            <w:tcW w:w="2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Evanston, IL</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gridSpan w:val="15"/>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Membership Interest, Class A 10%</w:t>
            </w:r>
            <w:r>
              <w:rPr>
                <w:rFonts w:ascii="Times New Roman" w:cs="Times New Roman" w:eastAsia="Times New Roman" w:hAnsi="Times New Roman"/>
                <w:sz w:val="24"/>
                <w:szCs w:val="24"/>
                <w:color w:val="auto"/>
                <w:vertAlign w:val="superscript"/>
              </w:rPr>
              <w:t>***</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5/7/2024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6"/>
              </w:rPr>
              <w:t>$ 15,176,443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$ 17,775,155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tcBorders>
            <w:gridSpan w:val="11"/>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ARK Type One Deep Ventures Fund</w:t>
            </w:r>
          </w:p>
        </w:tc>
        <w:tc>
          <w:tcPr>
            <w:tcW w:w="420" w:type="dxa"/>
            <w:vAlign w:val="bottom"/>
            <w:gridSpan w:val="4"/>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15"/>
          </w:tcPr>
          <w:p>
            <w:pPr>
              <w:spacing w:after="0" w:line="190" w:lineRule="exact"/>
              <w:rPr>
                <w:sz w:val="20"/>
                <w:szCs w:val="20"/>
                <w:color w:val="auto"/>
              </w:rPr>
            </w:pPr>
            <w:r>
              <w:rPr>
                <w:rFonts w:ascii="Times New Roman" w:cs="Times New Roman" w:eastAsia="Times New Roman" w:hAnsi="Times New Roman"/>
                <w:sz w:val="21"/>
                <w:szCs w:val="21"/>
                <w:b w:val="1"/>
                <w:bCs w:val="1"/>
                <w:color w:val="auto"/>
                <w:vertAlign w:val="subscript"/>
              </w:rPr>
              <w:t>LLC</w:t>
            </w:r>
            <w:r>
              <w:rPr>
                <w:rFonts w:ascii="Times New Roman" w:cs="Times New Roman" w:eastAsia="Times New Roman" w:hAnsi="Times New Roman"/>
                <w:sz w:val="10"/>
                <w:szCs w:val="10"/>
                <w:b w:val="1"/>
                <w:bCs w:val="1"/>
                <w:color w:val="auto"/>
              </w:rPr>
              <w:t>**(9)</w:t>
            </w:r>
          </w:p>
        </w:tc>
        <w:tc>
          <w:tcPr>
            <w:tcW w:w="2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St. Petersburg, FL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AI Application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9/25/2024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17,500,000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17,696,568</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17,638,247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0" w:type="dxa"/>
            <w:vAlign w:val="bottom"/>
          </w:tcPr>
          <w:p>
            <w:pPr>
              <w:spacing w:after="0"/>
              <w:rPr>
                <w:sz w:val="1"/>
                <w:szCs w:val="1"/>
                <w:color w:val="auto"/>
              </w:rPr>
            </w:pPr>
          </w:p>
        </w:tc>
      </w:tr>
      <w:tr>
        <w:trPr>
          <w:trHeight w:val="143"/>
        </w:trPr>
        <w:tc>
          <w:tcPr>
            <w:tcW w:w="2420" w:type="dxa"/>
            <w:vAlign w:val="bottom"/>
            <w:tcBorders>
              <w:bottom w:val="single" w:sz="8" w:color="auto"/>
            </w:tcBorders>
            <w:gridSpan w:val="13"/>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Learneo, Inc. (f/k/a Course Hero, Inc.)</w:t>
            </w:r>
          </w:p>
        </w:tc>
        <w:tc>
          <w:tcPr>
            <w:tcW w:w="300" w:type="dxa"/>
            <w:vAlign w:val="bottom"/>
            <w:gridSpan w:val="2"/>
          </w:tcPr>
          <w:p>
            <w:pPr>
              <w:spacing w:after="0"/>
              <w:rPr>
                <w:sz w:val="12"/>
                <w:szCs w:val="12"/>
                <w:color w:val="auto"/>
              </w:rPr>
            </w:pPr>
          </w:p>
        </w:tc>
        <w:tc>
          <w:tcPr>
            <w:tcW w:w="29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5"/>
                <w:szCs w:val="15"/>
                <w:color w:val="auto"/>
                <w:w w:val="96"/>
              </w:rPr>
              <w:t>Redwood City, CA</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9/18/2014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2,145,509</w:t>
            </w: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5,000,001</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6,882,058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0" w:type="dxa"/>
            <w:vAlign w:val="bottom"/>
          </w:tcPr>
          <w:p>
            <w:pPr>
              <w:spacing w:after="0"/>
              <w:rPr>
                <w:sz w:val="1"/>
                <w:szCs w:val="1"/>
                <w:color w:val="auto"/>
              </w:rPr>
            </w:pPr>
          </w:p>
        </w:tc>
      </w:tr>
      <w:tr>
        <w:trPr>
          <w:trHeight w:val="187"/>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11/5/2021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275,659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9,999,971</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67"/>
        </w:trPr>
        <w:tc>
          <w:tcPr>
            <w:tcW w:w="2720" w:type="dxa"/>
            <w:vAlign w:val="bottom"/>
            <w:tcBorders>
              <w:top w:val="single" w:sz="8" w:color="CCEEFF"/>
            </w:tcBorders>
            <w:gridSpan w:val="1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14,999,972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16,882,029</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10.71</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720" w:type="dxa"/>
            <w:vAlign w:val="bottom"/>
            <w:gridSpan w:val="15"/>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Blink Health, Inc.</w:t>
            </w:r>
          </w:p>
        </w:tc>
        <w:tc>
          <w:tcPr>
            <w:tcW w:w="2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Pharmaceutical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238,095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5,000,423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4,998,467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0" w:type="dxa"/>
            <w:vAlign w:val="bottom"/>
          </w:tcPr>
          <w:p>
            <w:pPr>
              <w:spacing w:after="0"/>
              <w:rPr>
                <w:sz w:val="1"/>
                <w:szCs w:val="1"/>
                <w:color w:val="auto"/>
              </w:rPr>
            </w:pPr>
          </w:p>
        </w:tc>
      </w:tr>
      <w:tr>
        <w:trPr>
          <w:trHeight w:val="187"/>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261,944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10,003,917</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10,094,048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0" w:type="dxa"/>
            <w:vAlign w:val="bottom"/>
          </w:tcPr>
          <w:p>
            <w:pPr>
              <w:spacing w:after="0"/>
              <w:rPr>
                <w:sz w:val="1"/>
                <w:szCs w:val="1"/>
                <w:color w:val="auto"/>
              </w:rPr>
            </w:pPr>
          </w:p>
        </w:tc>
      </w:tr>
      <w:tr>
        <w:trPr>
          <w:trHeight w:val="167"/>
        </w:trPr>
        <w:tc>
          <w:tcPr>
            <w:tcW w:w="2720" w:type="dxa"/>
            <w:vAlign w:val="bottom"/>
            <w:tcBorders>
              <w:top w:val="single" w:sz="8" w:color="CCEEFF"/>
            </w:tcBorders>
            <w:gridSpan w:val="1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15,004,340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15,092,515</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9.58</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720" w:type="dxa"/>
            <w:vAlign w:val="bottom"/>
            <w:gridSpan w:val="15"/>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Whoop, Inc.</w:t>
            </w:r>
          </w:p>
        </w:tc>
        <w:tc>
          <w:tcPr>
            <w:tcW w:w="2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5"/>
                <w:szCs w:val="15"/>
                <w:color w:val="auto"/>
                <w:w w:val="97"/>
              </w:rPr>
              <w:t>Boston, MA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Fitness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13,293,450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10,011,460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14,923,457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ServiceTitan, Inc.</w:t>
            </w:r>
            <w:r>
              <w:rPr>
                <w:rFonts w:ascii="Times New Roman" w:cs="Times New Roman" w:eastAsia="Times New Roman" w:hAnsi="Times New Roman"/>
                <w:sz w:val="20"/>
                <w:szCs w:val="20"/>
                <w:b w:val="1"/>
                <w:bCs w:val="1"/>
                <w:color w:val="auto"/>
                <w:vertAlign w:val="superscript"/>
              </w:rPr>
              <w:t>**(16)</w:t>
            </w:r>
          </w:p>
        </w:tc>
        <w:tc>
          <w:tcPr>
            <w:tcW w:w="2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6"/>
              </w:rPr>
              <w:t>Glendale, CA</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gridSpan w:val="7"/>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w w:val="94"/>
              </w:rPr>
              <w:t>Common shares</w:t>
            </w:r>
            <w:r>
              <w:rPr>
                <w:rFonts w:ascii="Times New Roman" w:cs="Times New Roman" w:eastAsia="Times New Roman" w:hAnsi="Times New Roman"/>
                <w:sz w:val="24"/>
                <w:szCs w:val="24"/>
                <w:color w:val="auto"/>
                <w:w w:val="94"/>
                <w:vertAlign w:val="superscript"/>
              </w:rPr>
              <w:t>(3)</w:t>
            </w:r>
          </w:p>
        </w:tc>
        <w:tc>
          <w:tcPr>
            <w:tcW w:w="1600" w:type="dxa"/>
            <w:vAlign w:val="bottom"/>
            <w:gridSpan w:val="8"/>
            <w:shd w:val="clear" w:color="auto" w:fill="CCEEFF"/>
          </w:tcPr>
          <w:p>
            <w:pPr>
              <w:spacing w:after="0"/>
              <w:rPr>
                <w:sz w:val="19"/>
                <w:szCs w:val="19"/>
                <w:color w:val="auto"/>
              </w:rPr>
            </w:pP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Contractor Management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151,515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10,008,233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14,027,713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IH10, LLC</w:t>
            </w:r>
            <w:r>
              <w:rPr>
                <w:rFonts w:ascii="Times New Roman" w:cs="Times New Roman" w:eastAsia="Times New Roman" w:hAnsi="Times New Roman"/>
                <w:sz w:val="20"/>
                <w:szCs w:val="20"/>
                <w:b w:val="1"/>
                <w:bCs w:val="1"/>
                <w:color w:val="auto"/>
                <w:vertAlign w:val="superscript"/>
              </w:rPr>
              <w:t>**(15)</w:t>
            </w:r>
          </w:p>
        </w:tc>
        <w:tc>
          <w:tcPr>
            <w:tcW w:w="2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10/9/2024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12,000,010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12,273,784</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12,215,010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Canva, Inc.</w:t>
            </w:r>
            <w:r>
              <w:rPr>
                <w:rFonts w:ascii="Times New Roman" w:cs="Times New Roman" w:eastAsia="Times New Roman" w:hAnsi="Times New Roman"/>
                <w:sz w:val="20"/>
                <w:szCs w:val="20"/>
                <w:b w:val="1"/>
                <w:bCs w:val="1"/>
                <w:color w:val="auto"/>
                <w:vertAlign w:val="superscript"/>
              </w:rPr>
              <w:t>**</w:t>
            </w:r>
          </w:p>
        </w:tc>
        <w:tc>
          <w:tcPr>
            <w:tcW w:w="2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6"/>
              </w:rPr>
              <w:t>Sydney, Australia</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6"/>
              </w:rPr>
              <w:t>Productivity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4/17/2024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9,375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10,058,820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0" w:type="dxa"/>
            <w:vAlign w:val="bottom"/>
          </w:tcPr>
          <w:p>
            <w:pPr>
              <w:spacing w:after="0"/>
              <w:rPr>
                <w:sz w:val="1"/>
                <w:szCs w:val="1"/>
                <w:color w:val="auto"/>
              </w:rPr>
            </w:pPr>
          </w:p>
        </w:tc>
      </w:tr>
      <w:tr>
        <w:trPr>
          <w:trHeight w:val="143"/>
        </w:trPr>
        <w:tc>
          <w:tcPr>
            <w:tcW w:w="960" w:type="dxa"/>
            <w:vAlign w:val="bottom"/>
            <w:tcBorders>
              <w:bottom w:val="single" w:sz="8" w:color="auto"/>
            </w:tcBorders>
            <w:gridSpan w:val="5"/>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FourKites, Inc.</w:t>
            </w:r>
          </w:p>
        </w:tc>
        <w:tc>
          <w:tcPr>
            <w:tcW w:w="1760" w:type="dxa"/>
            <w:vAlign w:val="bottom"/>
            <w:gridSpan w:val="10"/>
          </w:tcPr>
          <w:p>
            <w:pPr>
              <w:spacing w:after="0"/>
              <w:rPr>
                <w:sz w:val="12"/>
                <w:szCs w:val="12"/>
                <w:color w:val="auto"/>
              </w:rPr>
            </w:pPr>
          </w:p>
        </w:tc>
        <w:tc>
          <w:tcPr>
            <w:tcW w:w="29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5"/>
                <w:szCs w:val="15"/>
                <w:color w:val="auto"/>
                <w:w w:val="97"/>
              </w:rPr>
              <w:t>Chicago, IL</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6"/>
              </w:rPr>
              <w:t>Supply Chain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7/7/2023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1,398,024</w:t>
            </w: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8,530,389</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11,716,925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0" w:type="dxa"/>
            <w:vAlign w:val="bottom"/>
          </w:tcPr>
          <w:p>
            <w:pPr>
              <w:spacing w:after="0"/>
              <w:rPr>
                <w:sz w:val="1"/>
                <w:szCs w:val="1"/>
                <w:color w:val="auto"/>
              </w:rPr>
            </w:pPr>
          </w:p>
        </w:tc>
      </w:tr>
      <w:tr>
        <w:trPr>
          <w:trHeight w:val="143"/>
        </w:trPr>
        <w:tc>
          <w:tcPr>
            <w:tcW w:w="2720" w:type="dxa"/>
            <w:vAlign w:val="bottom"/>
            <w:gridSpan w:val="15"/>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Locus Robotics Corp.</w:t>
            </w:r>
          </w:p>
        </w:tc>
        <w:tc>
          <w:tcPr>
            <w:tcW w:w="29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5"/>
                <w:szCs w:val="15"/>
                <w:color w:val="auto"/>
                <w:w w:val="97"/>
              </w:rPr>
              <w:t>Wilmington, MA</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Warehouse Automation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11/30/2022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232,568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10,004,286</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11,316,312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0" w:type="dxa"/>
            <w:vAlign w:val="bottom"/>
          </w:tcPr>
          <w:p>
            <w:pPr>
              <w:spacing w:after="0"/>
              <w:rPr>
                <w:sz w:val="1"/>
                <w:szCs w:val="1"/>
                <w:color w:val="auto"/>
              </w:rPr>
            </w:pPr>
          </w:p>
        </w:tc>
      </w:tr>
      <w:tr>
        <w:trPr>
          <w:trHeight w:val="143"/>
        </w:trPr>
        <w:tc>
          <w:tcPr>
            <w:tcW w:w="2720" w:type="dxa"/>
            <w:vAlign w:val="bottom"/>
            <w:gridSpan w:val="15"/>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CoreWeave, Inc.</w:t>
            </w:r>
          </w:p>
        </w:tc>
        <w:tc>
          <w:tcPr>
            <w:tcW w:w="29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5"/>
                <w:szCs w:val="15"/>
                <w:color w:val="auto"/>
                <w:w w:val="97"/>
              </w:rPr>
              <w:t>Roseland, NJ</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4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680" w:type="dxa"/>
            <w:vAlign w:val="bottom"/>
            <w:gridSpan w:val="9"/>
            <w:shd w:val="clear" w:color="auto" w:fill="CCEEFF"/>
          </w:tcPr>
          <w:p>
            <w:pPr>
              <w:spacing w:after="0"/>
              <w:rPr>
                <w:sz w:val="16"/>
                <w:szCs w:val="16"/>
                <w:color w:val="auto"/>
              </w:rPr>
            </w:pP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AI Infrastructure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9/26/2024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5,556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5,002,973</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5,221,824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87"/>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10/8/2024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5,556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5,000,610</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5,221,824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67"/>
        </w:trPr>
        <w:tc>
          <w:tcPr>
            <w:tcW w:w="2720" w:type="dxa"/>
            <w:vAlign w:val="bottom"/>
            <w:tcBorders>
              <w:top w:val="single" w:sz="8" w:color="CCEEFF"/>
            </w:tcBorders>
            <w:gridSpan w:val="1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10,003,583</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10,443,648</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6.63</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2400" w:type="dxa"/>
            <w:vAlign w:val="bottom"/>
            <w:tcBorders>
              <w:bottom w:val="single" w:sz="8" w:color="auto"/>
            </w:tcBorders>
            <w:gridSpan w:val="12"/>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Supplying Demand, Inc. (d/b/a Liquid</w:t>
            </w:r>
          </w:p>
        </w:tc>
        <w:tc>
          <w:tcPr>
            <w:tcW w:w="320" w:type="dxa"/>
            <w:vAlign w:val="bottom"/>
            <w:gridSpan w:val="3"/>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00" w:type="dxa"/>
            <w:vAlign w:val="bottom"/>
            <w:tcBorders>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Death)</w:t>
            </w:r>
          </w:p>
        </w:tc>
        <w:tc>
          <w:tcPr>
            <w:tcW w:w="2220" w:type="dxa"/>
            <w:vAlign w:val="bottom"/>
            <w:gridSpan w:val="13"/>
          </w:tcPr>
          <w:p>
            <w:pPr>
              <w:spacing w:after="0"/>
              <w:rPr>
                <w:sz w:val="13"/>
                <w:szCs w:val="13"/>
                <w:color w:val="auto"/>
              </w:rPr>
            </w:pPr>
          </w:p>
        </w:tc>
        <w:tc>
          <w:tcPr>
            <w:tcW w:w="294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color w:val="auto"/>
                <w:w w:val="98"/>
              </w:rPr>
              <w:t>Los Angeles, CA</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F-1</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Lifestyle Beverage Brand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1/18/2024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776,747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10,003,934</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9,999,996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43"/>
        </w:trPr>
        <w:tc>
          <w:tcPr>
            <w:tcW w:w="2720" w:type="dxa"/>
            <w:vAlign w:val="bottom"/>
            <w:gridSpan w:val="15"/>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Shogun Enterprises, Inc. (d/b/a</w:t>
            </w: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60" w:type="dxa"/>
            <w:vAlign w:val="bottom"/>
            <w:tcBorders>
              <w:top w:val="single" w:sz="8" w:color="auto"/>
            </w:tcBorders>
            <w:gridSpan w:val="10"/>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Hearth)</w:t>
            </w:r>
          </w:p>
        </w:tc>
        <w:tc>
          <w:tcPr>
            <w:tcW w:w="760" w:type="dxa"/>
            <w:vAlign w:val="bottom"/>
            <w:gridSpan w:val="5"/>
          </w:tcPr>
          <w:p>
            <w:pPr>
              <w:spacing w:after="0"/>
              <w:rPr>
                <w:sz w:val="13"/>
                <w:szCs w:val="13"/>
                <w:color w:val="auto"/>
              </w:rPr>
            </w:pPr>
          </w:p>
        </w:tc>
        <w:tc>
          <w:tcPr>
            <w:tcW w:w="294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color w:val="auto"/>
                <w:w w:val="97"/>
              </w:rPr>
              <w:t>Austin, TX</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2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Home Improvement Finance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436,844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3,501,657</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2,342,458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301,750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3,501,661</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2,342,461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76"/>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5/2/2022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56,936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530,822</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355,264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48,267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366,606</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334,636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2"/>
        </w:trPr>
        <w:tc>
          <w:tcPr>
            <w:tcW w:w="2720" w:type="dxa"/>
            <w:vAlign w:val="bottom"/>
            <w:gridSpan w:val="15"/>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86,076</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7/12/2026</w:t>
            </w:r>
          </w:p>
        </w:tc>
        <w:tc>
          <w:tcPr>
            <w:tcW w:w="2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140,060</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720" w:type="dxa"/>
            <w:vAlign w:val="bottom"/>
            <w:tcBorders>
              <w:bottom w:val="single" w:sz="8" w:color="CCEEFF"/>
            </w:tcBorders>
            <w:gridSpan w:val="15"/>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8,040,806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5,374,819</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3.41</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720" w:type="dxa"/>
            <w:vAlign w:val="bottom"/>
            <w:gridSpan w:val="15"/>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Orchard Technologies, Inc.</w:t>
            </w:r>
          </w:p>
        </w:tc>
        <w:tc>
          <w:tcPr>
            <w:tcW w:w="294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5"/>
                <w:szCs w:val="15"/>
                <w:color w:val="auto"/>
                <w:w w:val="95"/>
              </w:rPr>
              <w:t>New York, NY</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8"/>
              </w:rPr>
              <w:t>Real Estate Platform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558,052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Preferred shares, Series 2 8%</w:t>
            </w:r>
          </w:p>
        </w:tc>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58,771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587,951</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Senior Preferred shares, Series 1 7%</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441,228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4,418,406</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4,412,280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187"/>
        </w:trPr>
        <w:tc>
          <w:tcPr>
            <w:tcW w:w="27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558,053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720" w:type="dxa"/>
            <w:vAlign w:val="bottom"/>
            <w:tcBorders>
              <w:bottom w:val="single" w:sz="8" w:color="CCEEFF"/>
            </w:tcBorders>
            <w:gridSpan w:val="15"/>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12,509,393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4,412,280</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2.80</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720" w:type="dxa"/>
            <w:vAlign w:val="bottom"/>
            <w:gridSpan w:val="15"/>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Neutron Holdings, Inc. (d/b/a/ Lime)</w:t>
            </w:r>
          </w:p>
        </w:tc>
        <w:tc>
          <w:tcPr>
            <w:tcW w:w="294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5"/>
                <w:szCs w:val="15"/>
                <w:color w:val="auto"/>
                <w:w w:val="99"/>
              </w:rPr>
              <w:t>San Francisco, CA</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5"/>
                <w:szCs w:val="15"/>
                <w:color w:val="auto"/>
              </w:rPr>
              <w:t>Junior Preferred shares, Series 1-D</w:t>
            </w:r>
          </w:p>
        </w:tc>
        <w:tc>
          <w:tcPr>
            <w:tcW w:w="420" w:type="dxa"/>
            <w:vAlign w:val="bottom"/>
            <w:tcBorders>
              <w:top w:val="single" w:sz="8" w:color="CCEEFF"/>
            </w:tcBorders>
            <w:gridSpan w:val="4"/>
          </w:tcPr>
          <w:p>
            <w:pPr>
              <w:spacing w:after="0"/>
              <w:rPr>
                <w:sz w:val="15"/>
                <w:szCs w:val="15"/>
                <w:color w:val="auto"/>
              </w:rPr>
            </w:pPr>
          </w:p>
        </w:tc>
        <w:tc>
          <w:tcPr>
            <w:tcW w:w="294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8"/>
              </w:rPr>
              <w:t>Micromobility</w:t>
            </w:r>
          </w:p>
        </w:tc>
        <w:tc>
          <w:tcPr>
            <w:tcW w:w="11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8"/>
              </w:rPr>
              <w:t>1/25/2019</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41,237,113</w:t>
            </w:r>
          </w:p>
        </w:tc>
        <w:tc>
          <w:tcPr>
            <w:tcW w:w="9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10,007,322</w:t>
            </w:r>
          </w:p>
        </w:tc>
        <w:tc>
          <w:tcPr>
            <w:tcW w:w="128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3,485,014</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64"/>
        </w:trPr>
        <w:tc>
          <w:tcPr>
            <w:tcW w:w="272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Junior Preferred Convertible Note 4%</w:t>
            </w:r>
          </w:p>
        </w:tc>
        <w:tc>
          <w:tcPr>
            <w:tcW w:w="2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720" w:type="dxa"/>
            <w:vAlign w:val="bottom"/>
            <w:gridSpan w:val="15"/>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Due 5/11/2027</w:t>
            </w:r>
            <w:r>
              <w:rPr>
                <w:rFonts w:ascii="Times New Roman" w:cs="Times New Roman" w:eastAsia="Times New Roman" w:hAnsi="Times New Roman"/>
                <w:sz w:val="24"/>
                <w:szCs w:val="24"/>
                <w:color w:val="auto"/>
                <w:vertAlign w:val="superscript"/>
              </w:rPr>
              <w:t>***</w:t>
            </w:r>
          </w:p>
        </w:tc>
        <w:tc>
          <w:tcPr>
            <w:tcW w:w="2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5/11/2020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506,339</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2"/>
        </w:trPr>
        <w:tc>
          <w:tcPr>
            <w:tcW w:w="2720" w:type="dxa"/>
            <w:vAlign w:val="bottom"/>
            <w:gridSpan w:val="15"/>
          </w:tcPr>
          <w:p>
            <w:pPr>
              <w:spacing w:after="0" w:line="162"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5/11/2020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2,032,967</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2720" w:type="dxa"/>
            <w:vAlign w:val="bottom"/>
            <w:gridSpan w:val="15"/>
          </w:tcPr>
          <w:p>
            <w:pPr>
              <w:spacing w:after="0"/>
              <w:rPr>
                <w:sz w:val="20"/>
                <w:szCs w:val="20"/>
                <w:color w:val="auto"/>
              </w:rPr>
            </w:pPr>
            <w:r>
              <w:rPr>
                <w:rFonts w:ascii="Times New Roman" w:cs="Times New Roman" w:eastAsia="Times New Roman" w:hAnsi="Times New Roman"/>
                <w:sz w:val="15"/>
                <w:szCs w:val="15"/>
                <w:color w:val="auto"/>
              </w:rPr>
              <w:t>Expiration Date 5/11/2027</w:t>
            </w: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720" w:type="dxa"/>
            <w:vAlign w:val="bottom"/>
            <w:tcBorders>
              <w:top w:val="single" w:sz="8" w:color="CCEEFF"/>
            </w:tcBorders>
            <w:gridSpan w:val="1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7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10,513,661</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3,991,353</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2.53</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6"/>
        </w:trPr>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9"/>
          </w:tcPr>
          <w:p>
            <w:pPr>
              <w:jc w:val="center"/>
              <w:ind w:left="266"/>
              <w:spacing w:after="0"/>
              <w:rPr>
                <w:sz w:val="20"/>
                <w:szCs w:val="20"/>
                <w:color w:val="auto"/>
              </w:rPr>
            </w:pPr>
            <w:r>
              <w:rPr>
                <w:rFonts w:ascii="Times New Roman" w:cs="Times New Roman" w:eastAsia="Times New Roman" w:hAnsi="Times New Roman"/>
                <w:sz w:val="15"/>
                <w:szCs w:val="15"/>
                <w:b w:val="1"/>
                <w:bCs w:val="1"/>
                <w:color w:val="auto"/>
                <w:w w:val="97"/>
              </w:rPr>
              <w:t>SURO CAPITAL CORP. AND SUBSIDIARIES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500" w:type="dxa"/>
            <w:vAlign w:val="bottom"/>
            <w:gridSpan w:val="9"/>
          </w:tcPr>
          <w:p>
            <w:pPr>
              <w:jc w:val="center"/>
              <w:ind w:left="266"/>
              <w:spacing w:after="0"/>
              <w:rPr>
                <w:sz w:val="20"/>
                <w:szCs w:val="20"/>
                <w:color w:val="auto"/>
              </w:rPr>
            </w:pPr>
            <w:r>
              <w:rPr>
                <w:rFonts w:ascii="Times New Roman" w:cs="Times New Roman" w:eastAsia="Times New Roman" w:hAnsi="Times New Roman"/>
                <w:sz w:val="15"/>
                <w:szCs w:val="15"/>
                <w:b w:val="1"/>
                <w:bCs w:val="1"/>
                <w:color w:val="auto"/>
                <w:w w:val="97"/>
              </w:rPr>
              <w:t>CONDENSED CONSOLIDATED SCHEDULE OF INVESTMENTS - continued</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0" w:type="dxa"/>
            <w:vAlign w:val="bottom"/>
            <w:gridSpan w:val="3"/>
          </w:tcPr>
          <w:p>
            <w:pPr>
              <w:jc w:val="center"/>
              <w:ind w:right="426"/>
              <w:spacing w:after="0"/>
              <w:rPr>
                <w:sz w:val="20"/>
                <w:szCs w:val="20"/>
                <w:color w:val="auto"/>
              </w:rPr>
            </w:pPr>
            <w:r>
              <w:rPr>
                <w:rFonts w:ascii="Times New Roman" w:cs="Times New Roman" w:eastAsia="Times New Roman" w:hAnsi="Times New Roman"/>
                <w:sz w:val="15"/>
                <w:szCs w:val="15"/>
                <w:b w:val="1"/>
                <w:bCs w:val="1"/>
                <w:color w:val="auto"/>
                <w:w w:val="97"/>
              </w:rPr>
              <w:t>December 31, 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b w:val="1"/>
                <w:bCs w:val="1"/>
                <w:color w:val="auto"/>
                <w:w w:val="98"/>
              </w:rPr>
              <w:t>Headquarters/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1"/>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200" w:type="dxa"/>
            <w:vAlign w:val="bottom"/>
            <w:gridSpan w:val="4"/>
          </w:tcPr>
          <w:p>
            <w:pPr>
              <w:jc w:val="center"/>
              <w:ind w:right="420"/>
              <w:spacing w:after="0" w:line="220"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67"/>
        </w:trPr>
        <w:tc>
          <w:tcPr>
            <w:tcW w:w="2480" w:type="dxa"/>
            <w:vAlign w:val="bottom"/>
            <w:tcBorders>
              <w:top w:val="single" w:sz="8" w:color="auto"/>
            </w:tcBorders>
            <w:gridSpan w:val="23"/>
            <w:shd w:val="clear" w:color="auto" w:fill="CCEEFF"/>
          </w:tcPr>
          <w:p>
            <w:pPr>
              <w:spacing w:after="0" w:line="167" w:lineRule="exact"/>
              <w:rPr>
                <w:sz w:val="20"/>
                <w:szCs w:val="20"/>
                <w:color w:val="auto"/>
              </w:rPr>
            </w:pPr>
            <w:r>
              <w:rPr>
                <w:rFonts w:ascii="Times New Roman" w:cs="Times New Roman" w:eastAsia="Times New Roman" w:hAnsi="Times New Roman"/>
                <w:sz w:val="12"/>
                <w:szCs w:val="12"/>
                <w:b w:val="1"/>
                <w:bCs w:val="1"/>
                <w:color w:val="auto"/>
              </w:rPr>
              <w:t>True Global Ventures 4 Plus Pte Ltd</w:t>
            </w:r>
            <w:r>
              <w:rPr>
                <w:rFonts w:ascii="Times New Roman" w:cs="Times New Roman" w:eastAsia="Times New Roman" w:hAnsi="Times New Roman"/>
                <w:sz w:val="19"/>
                <w:szCs w:val="19"/>
                <w:b w:val="1"/>
                <w:bCs w:val="1"/>
                <w:color w:val="auto"/>
                <w:vertAlign w:val="superscript"/>
              </w:rPr>
              <w:t>**</w:t>
            </w:r>
          </w:p>
        </w:tc>
        <w:tc>
          <w:tcPr>
            <w:tcW w:w="24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vMerge w:val="restart"/>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9"/>
              </w:rPr>
              <w:t>Singapore, Singapore</w:t>
            </w: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(10)</w:t>
            </w: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vMerge w:val="continue"/>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Limited Partner Fund Investment</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6"/>
              </w:rPr>
              <w:t>Venture Investment Fund</w:t>
            </w: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8"/>
              </w:rPr>
              <w:t>8/27/2021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585,016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3,489,005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56"/>
        </w:trPr>
        <w:tc>
          <w:tcPr>
            <w:tcW w:w="780" w:type="dxa"/>
            <w:vAlign w:val="bottom"/>
            <w:tcBorders>
              <w:bottom w:val="single" w:sz="8" w:color="auto"/>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PayJoy, Inc.</w:t>
            </w:r>
          </w:p>
        </w:tc>
        <w:tc>
          <w:tcPr>
            <w:tcW w:w="1940" w:type="dxa"/>
            <w:vAlign w:val="bottom"/>
            <w:tcBorders>
              <w:bottom w:val="single" w:sz="8" w:color="CCEEFF"/>
            </w:tcBorders>
            <w:gridSpan w:val="19"/>
            <w:shd w:val="clear" w:color="auto" w:fill="CCEEFF"/>
          </w:tcPr>
          <w:p>
            <w:pPr>
              <w:spacing w:after="0"/>
              <w:rPr>
                <w:sz w:val="13"/>
                <w:szCs w:val="13"/>
                <w:color w:val="auto"/>
              </w:rPr>
            </w:pPr>
          </w:p>
        </w:tc>
        <w:tc>
          <w:tcPr>
            <w:tcW w:w="2280" w:type="dxa"/>
            <w:vAlign w:val="bottom"/>
            <w:tcBorders>
              <w:bottom w:val="single" w:sz="8" w:color="CCEEFF"/>
            </w:tcBorders>
            <w:shd w:val="clear" w:color="auto" w:fill="CCEEFF"/>
          </w:tcPr>
          <w:p>
            <w:pPr>
              <w:jc w:val="center"/>
              <w:ind w:left="366"/>
              <w:spacing w:after="0" w:line="144" w:lineRule="exact"/>
              <w:rPr>
                <w:sz w:val="20"/>
                <w:szCs w:val="20"/>
                <w:color w:val="auto"/>
              </w:rPr>
            </w:pPr>
            <w:r>
              <w:rPr>
                <w:rFonts w:ascii="Times New Roman" w:cs="Times New Roman" w:eastAsia="Times New Roman" w:hAnsi="Times New Roman"/>
                <w:sz w:val="15"/>
                <w:szCs w:val="15"/>
                <w:color w:val="auto"/>
                <w:w w:val="99"/>
              </w:rPr>
              <w:t>San Francisco, CA</w:t>
            </w:r>
          </w:p>
        </w:tc>
        <w:tc>
          <w:tcPr>
            <w:tcW w:w="4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6"/>
              </w:rPr>
              <w:t>Mobile Access Technology</w:t>
            </w: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8"/>
              </w:rPr>
              <w:t>7/23/2021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244,117</w:t>
            </w: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2,501,570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2,500,002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7"/>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28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5/25/2023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500,000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501,470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7"/>
        </w:trPr>
        <w:tc>
          <w:tcPr>
            <w:tcW w:w="2720" w:type="dxa"/>
            <w:vAlign w:val="bottom"/>
            <w:tcBorders>
              <w:bottom w:val="single" w:sz="8" w:color="CCEEFF"/>
            </w:tcBorders>
            <w:gridSpan w:val="24"/>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2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3,003,040</w:t>
            </w: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3,000,002</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1.90</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6"/>
        </w:trPr>
        <w:tc>
          <w:tcPr>
            <w:tcW w:w="2720" w:type="dxa"/>
            <w:vAlign w:val="bottom"/>
            <w:gridSpan w:val="24"/>
            <w:shd w:val="clear" w:color="auto" w:fill="CCEEFF"/>
          </w:tcPr>
          <w:p>
            <w:pPr>
              <w:spacing w:after="0" w:line="157" w:lineRule="exact"/>
              <w:rPr>
                <w:sz w:val="20"/>
                <w:szCs w:val="20"/>
                <w:color w:val="auto"/>
              </w:rPr>
            </w:pPr>
            <w:r>
              <w:rPr>
                <w:rFonts w:ascii="Times New Roman" w:cs="Times New Roman" w:eastAsia="Times New Roman" w:hAnsi="Times New Roman"/>
                <w:sz w:val="12"/>
                <w:szCs w:val="12"/>
                <w:b w:val="1"/>
                <w:bCs w:val="1"/>
                <w:color w:val="auto"/>
              </w:rPr>
              <w:t>Trax Ltd.</w:t>
            </w:r>
            <w:r>
              <w:rPr>
                <w:rFonts w:ascii="Times New Roman" w:cs="Times New Roman" w:eastAsia="Times New Roman" w:hAnsi="Times New Roman"/>
                <w:sz w:val="18"/>
                <w:szCs w:val="18"/>
                <w:b w:val="1"/>
                <w:bCs w:val="1"/>
                <w:color w:val="auto"/>
                <w:vertAlign w:val="superscript"/>
              </w:rPr>
              <w:t>**</w:t>
            </w:r>
          </w:p>
        </w:tc>
        <w:tc>
          <w:tcPr>
            <w:tcW w:w="2280" w:type="dxa"/>
            <w:vAlign w:val="bottom"/>
            <w:shd w:val="clear" w:color="auto" w:fill="CCEEFF"/>
          </w:tcPr>
          <w:p>
            <w:pPr>
              <w:jc w:val="center"/>
              <w:ind w:left="366"/>
              <w:spacing w:after="0" w:line="156" w:lineRule="exact"/>
              <w:rPr>
                <w:sz w:val="20"/>
                <w:szCs w:val="20"/>
                <w:color w:val="auto"/>
              </w:rPr>
            </w:pPr>
            <w:r>
              <w:rPr>
                <w:rFonts w:ascii="Times New Roman" w:cs="Times New Roman" w:eastAsia="Times New Roman" w:hAnsi="Times New Roman"/>
                <w:sz w:val="15"/>
                <w:szCs w:val="15"/>
                <w:color w:val="auto"/>
                <w:w w:val="99"/>
              </w:rPr>
              <w:t>Singapore, Singapore</w:t>
            </w: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7"/>
              </w:rPr>
              <w:t>Retail Technology</w:t>
            </w: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55,591</w:t>
            </w: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2,781,148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83,306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0" w:type="dxa"/>
            <w:vAlign w:val="bottom"/>
          </w:tcPr>
          <w:p>
            <w:pPr>
              <w:spacing w:after="0"/>
              <w:rPr>
                <w:sz w:val="1"/>
                <w:szCs w:val="1"/>
                <w:color w:val="auto"/>
              </w:rPr>
            </w:pPr>
          </w:p>
        </w:tc>
      </w:tr>
      <w:tr>
        <w:trPr>
          <w:trHeight w:val="187"/>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228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144,409</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7,224,600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2,647,017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67"/>
        </w:trPr>
        <w:tc>
          <w:tcPr>
            <w:tcW w:w="2720" w:type="dxa"/>
            <w:vAlign w:val="bottom"/>
            <w:tcBorders>
              <w:bottom w:val="single" w:sz="8" w:color="CCEEFF"/>
            </w:tcBorders>
            <w:gridSpan w:val="24"/>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2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10,005,748</w:t>
            </w:r>
          </w:p>
        </w:tc>
        <w:tc>
          <w:tcPr>
            <w:tcW w:w="3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2,730,323</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1.73</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2720" w:type="dxa"/>
            <w:vAlign w:val="bottom"/>
            <w:gridSpan w:val="24"/>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Xgroup Holdings Limited (d/b/a</w:t>
            </w:r>
          </w:p>
        </w:tc>
        <w:tc>
          <w:tcPr>
            <w:tcW w:w="2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gridSpan w:val="16"/>
            <w:shd w:val="clear" w:color="auto" w:fill="CCEEFF"/>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Xpoint)</w:t>
            </w:r>
            <w:r>
              <w:rPr>
                <w:rFonts w:ascii="Times New Roman" w:cs="Times New Roman" w:eastAsia="Times New Roman" w:hAnsi="Times New Roman"/>
                <w:sz w:val="21"/>
                <w:szCs w:val="21"/>
                <w:b w:val="1"/>
                <w:bCs w:val="1"/>
                <w:color w:val="auto"/>
                <w:vertAlign w:val="superscript"/>
              </w:rPr>
              <w:t>(7)(12)</w:t>
            </w:r>
          </w:p>
        </w:tc>
        <w:tc>
          <w:tcPr>
            <w:tcW w:w="700" w:type="dxa"/>
            <w:vAlign w:val="bottom"/>
            <w:tcBorders>
              <w:top w:val="single" w:sz="8" w:color="CCEEFF"/>
            </w:tcBorders>
            <w:gridSpan w:val="8"/>
            <w:shd w:val="clear" w:color="auto" w:fill="CCEEFF"/>
          </w:tcPr>
          <w:p>
            <w:pPr>
              <w:spacing w:after="0"/>
              <w:rPr>
                <w:sz w:val="16"/>
                <w:szCs w:val="16"/>
                <w:color w:val="auto"/>
              </w:rPr>
            </w:pPr>
          </w:p>
        </w:tc>
        <w:tc>
          <w:tcPr>
            <w:tcW w:w="2280" w:type="dxa"/>
            <w:vAlign w:val="bottom"/>
            <w:tcBorders>
              <w:top w:val="single" w:sz="8" w:color="CCEEFF"/>
            </w:tcBorders>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6"/>
              </w:rPr>
              <w:t>Philadelphia, PA</w:t>
            </w:r>
          </w:p>
        </w:tc>
        <w:tc>
          <w:tcPr>
            <w:tcW w:w="4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A-1</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6"/>
              </w:rPr>
              <w:t>Geolocation Technology</w:t>
            </w: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454</w:t>
            </w: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136,114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161,862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2"/>
        </w:trPr>
        <w:tc>
          <w:tcPr>
            <w:tcW w:w="272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Series A-1 Warrants, Strike Price</w:t>
            </w:r>
          </w:p>
        </w:tc>
        <w:tc>
          <w:tcPr>
            <w:tcW w:w="2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$0.0001, Expiration Date 5/14/2044</w:t>
            </w:r>
          </w:p>
        </w:tc>
        <w:tc>
          <w:tcPr>
            <w:tcW w:w="228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3,286</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985,180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1,171,540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0" w:type="dxa"/>
            <w:vAlign w:val="bottom"/>
          </w:tcPr>
          <w:p>
            <w:pPr>
              <w:spacing w:after="0"/>
              <w:rPr>
                <w:sz w:val="1"/>
                <w:szCs w:val="1"/>
                <w:color w:val="auto"/>
              </w:rPr>
            </w:pPr>
          </w:p>
        </w:tc>
      </w:tr>
      <w:tr>
        <w:trPr>
          <w:trHeight w:val="162"/>
        </w:trPr>
        <w:tc>
          <w:tcPr>
            <w:tcW w:w="272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auto"/>
              </w:rPr>
              <w:t>Series A Warrants, Strike Price $0.0001,</w:t>
            </w: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Expiration Date 5/14/2044</w:t>
            </w:r>
          </w:p>
        </w:tc>
        <w:tc>
          <w:tcPr>
            <w:tcW w:w="2280" w:type="dxa"/>
            <w:vAlign w:val="bottom"/>
          </w:tcPr>
          <w:p>
            <w:pPr>
              <w:spacing w:after="0"/>
              <w:rPr>
                <w:sz w:val="17"/>
                <w:szCs w:val="17"/>
                <w:color w:val="auto"/>
              </w:rPr>
            </w:pP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873</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261,735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324,931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8"/>
        </w:trPr>
        <w:tc>
          <w:tcPr>
            <w:tcW w:w="2720" w:type="dxa"/>
            <w:vAlign w:val="bottom"/>
            <w:tcBorders>
              <w:top w:val="single" w:sz="8" w:color="CCEEFF"/>
            </w:tcBorders>
            <w:gridSpan w:val="24"/>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1,383,029</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1,658,333</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1.05</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1620" w:type="dxa"/>
            <w:vAlign w:val="bottom"/>
            <w:tcBorders>
              <w:bottom w:val="single" w:sz="8" w:color="auto"/>
            </w:tcBorders>
            <w:gridSpan w:val="1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PSQ Holdings, Inc. (d/b/a</w:t>
            </w:r>
          </w:p>
        </w:tc>
        <w:tc>
          <w:tcPr>
            <w:tcW w:w="1100" w:type="dxa"/>
            <w:vAlign w:val="bottom"/>
            <w:gridSpan w:val="11"/>
          </w:tcPr>
          <w:p>
            <w:pPr>
              <w:spacing w:after="0"/>
              <w:rPr>
                <w:sz w:val="10"/>
                <w:szCs w:val="10"/>
                <w:color w:val="auto"/>
              </w:rPr>
            </w:pPr>
          </w:p>
        </w:tc>
        <w:tc>
          <w:tcPr>
            <w:tcW w:w="2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720" w:type="dxa"/>
            <w:vAlign w:val="bottom"/>
            <w:gridSpan w:val="24"/>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PublicSquare)</w:t>
            </w:r>
          </w:p>
        </w:tc>
        <w:tc>
          <w:tcPr>
            <w:tcW w:w="2280" w:type="dxa"/>
            <w:vAlign w:val="bottom"/>
          </w:tcPr>
          <w:p>
            <w:pPr>
              <w:jc w:val="center"/>
              <w:ind w:left="366"/>
              <w:spacing w:after="0" w:line="156" w:lineRule="exact"/>
              <w:rPr>
                <w:sz w:val="20"/>
                <w:szCs w:val="20"/>
                <w:color w:val="auto"/>
              </w:rPr>
            </w:pPr>
            <w:r>
              <w:rPr>
                <w:rFonts w:ascii="Times New Roman" w:cs="Times New Roman" w:eastAsia="Times New Roman" w:hAnsi="Times New Roman"/>
                <w:sz w:val="15"/>
                <w:szCs w:val="15"/>
                <w:color w:val="auto"/>
                <w:w w:val="97"/>
              </w:rPr>
              <w:t>West Palm Beach, FL</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Warrants, Strike Price $11.50,</w:t>
            </w:r>
          </w:p>
        </w:tc>
        <w:tc>
          <w:tcPr>
            <w:tcW w:w="2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20" w:type="dxa"/>
            <w:vAlign w:val="bottom"/>
            <w:gridSpan w:val="24"/>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Expiration Date 7/19/2028</w:t>
            </w:r>
            <w:r>
              <w:rPr>
                <w:rFonts w:ascii="Times New Roman" w:cs="Times New Roman" w:eastAsia="Times New Roman" w:hAnsi="Times New Roman"/>
                <w:sz w:val="24"/>
                <w:szCs w:val="24"/>
                <w:color w:val="auto"/>
                <w:vertAlign w:val="superscript"/>
              </w:rPr>
              <w:t>(3)</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8"/>
              </w:rPr>
              <w:t>E-Commerce Marketplace</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7"/>
              </w:rPr>
              <w:t>4/1/2021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1,796,037</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771,065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1,436,830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0" w:type="dxa"/>
            <w:vAlign w:val="bottom"/>
          </w:tcPr>
          <w:p>
            <w:pPr>
              <w:spacing w:after="0"/>
              <w:rPr>
                <w:sz w:val="1"/>
                <w:szCs w:val="1"/>
                <w:color w:val="auto"/>
              </w:rPr>
            </w:pPr>
          </w:p>
        </w:tc>
      </w:tr>
      <w:tr>
        <w:trPr>
          <w:trHeight w:val="143"/>
        </w:trPr>
        <w:tc>
          <w:tcPr>
            <w:tcW w:w="2120" w:type="dxa"/>
            <w:vAlign w:val="bottom"/>
            <w:tcBorders>
              <w:bottom w:val="single" w:sz="8" w:color="auto"/>
            </w:tcBorders>
            <w:gridSpan w:val="18"/>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Residential Homes for Rent, LLC</w:t>
            </w:r>
          </w:p>
        </w:tc>
        <w:tc>
          <w:tcPr>
            <w:tcW w:w="600" w:type="dxa"/>
            <w:vAlign w:val="bottom"/>
            <w:gridSpan w:val="6"/>
          </w:tcPr>
          <w:p>
            <w:pPr>
              <w:spacing w:after="0"/>
              <w:rPr>
                <w:sz w:val="12"/>
                <w:szCs w:val="12"/>
                <w:color w:val="auto"/>
              </w:rPr>
            </w:pP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24"/>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(d/b/a Second Avenue)</w:t>
            </w:r>
            <w:r>
              <w:rPr>
                <w:rFonts w:ascii="Times New Roman" w:cs="Times New Roman" w:eastAsia="Times New Roman" w:hAnsi="Times New Roman"/>
                <w:sz w:val="21"/>
                <w:szCs w:val="21"/>
                <w:b w:val="1"/>
                <w:bCs w:val="1"/>
                <w:color w:val="auto"/>
                <w:vertAlign w:val="superscript"/>
              </w:rPr>
              <w:t>(11)</w:t>
            </w:r>
          </w:p>
        </w:tc>
        <w:tc>
          <w:tcPr>
            <w:tcW w:w="228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Chicago, IL</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28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8"/>
              </w:rPr>
              <w:t>Real Estate Platform</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6"/>
              </w:rPr>
              <w:t>12/23/2020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150,000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1,500,000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1,431,967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0" w:type="dxa"/>
            <w:vAlign w:val="bottom"/>
          </w:tcPr>
          <w:p>
            <w:pPr>
              <w:spacing w:after="0"/>
              <w:rPr>
                <w:sz w:val="1"/>
                <w:szCs w:val="1"/>
                <w:color w:val="auto"/>
              </w:rPr>
            </w:pPr>
          </w:p>
        </w:tc>
      </w:tr>
      <w:tr>
        <w:trPr>
          <w:trHeight w:val="176"/>
        </w:trPr>
        <w:tc>
          <w:tcPr>
            <w:tcW w:w="2720" w:type="dxa"/>
            <w:vAlign w:val="bottom"/>
            <w:gridSpan w:val="24"/>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Varo Money, Inc.</w:t>
            </w:r>
            <w:r>
              <w:rPr>
                <w:rFonts w:ascii="Times New Roman" w:cs="Times New Roman" w:eastAsia="Times New Roman" w:hAnsi="Times New Roman"/>
                <w:sz w:val="20"/>
                <w:szCs w:val="20"/>
                <w:b w:val="1"/>
                <w:bCs w:val="1"/>
                <w:color w:val="auto"/>
                <w:vertAlign w:val="superscript"/>
              </w:rPr>
              <w:t>**</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9"/>
              </w:rPr>
              <w:t>San Francisco, CA</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640" w:type="dxa"/>
            <w:vAlign w:val="bottom"/>
            <w:gridSpan w:val="17"/>
            <w:shd w:val="clear" w:color="auto" w:fill="CCEEFF"/>
          </w:tcPr>
          <w:p>
            <w:pPr>
              <w:spacing w:after="0"/>
              <w:rPr>
                <w:sz w:val="16"/>
                <w:szCs w:val="16"/>
                <w:color w:val="auto"/>
              </w:rPr>
            </w:pP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7"/>
              </w:rPr>
              <w:t>Financial Services</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5"/>
              </w:rPr>
              <w:t>8/11/2021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1,079,266</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10,005,548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1,347,058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0" w:type="dxa"/>
            <w:vAlign w:val="bottom"/>
          </w:tcPr>
          <w:p>
            <w:pPr>
              <w:spacing w:after="0"/>
              <w:rPr>
                <w:sz w:val="1"/>
                <w:szCs w:val="1"/>
                <w:color w:val="auto"/>
              </w:rPr>
            </w:pPr>
          </w:p>
        </w:tc>
      </w:tr>
      <w:tr>
        <w:trPr>
          <w:trHeight w:val="143"/>
        </w:trPr>
        <w:tc>
          <w:tcPr>
            <w:tcW w:w="2720" w:type="dxa"/>
            <w:vAlign w:val="bottom"/>
            <w:gridSpan w:val="24"/>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Skillsoft Corp.</w:t>
            </w:r>
          </w:p>
        </w:tc>
        <w:tc>
          <w:tcPr>
            <w:tcW w:w="2280" w:type="dxa"/>
            <w:vAlign w:val="bottom"/>
          </w:tcPr>
          <w:p>
            <w:pPr>
              <w:jc w:val="center"/>
              <w:ind w:left="366"/>
              <w:spacing w:after="0" w:line="144" w:lineRule="exact"/>
              <w:rPr>
                <w:sz w:val="20"/>
                <w:szCs w:val="20"/>
                <w:color w:val="auto"/>
              </w:rPr>
            </w:pPr>
            <w:r>
              <w:rPr>
                <w:rFonts w:ascii="Times New Roman" w:cs="Times New Roman" w:eastAsia="Times New Roman" w:hAnsi="Times New Roman"/>
                <w:sz w:val="15"/>
                <w:szCs w:val="15"/>
                <w:color w:val="auto"/>
                <w:w w:val="97"/>
              </w:rPr>
              <w:t>Nashua, NH</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gridSpan w:val="24"/>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8"/>
              </w:rPr>
              <w:t>Online Education</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7"/>
              </w:rPr>
              <w:t>6/8/2021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49,092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9,818,428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1,176,244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0" w:type="dxa"/>
            <w:vAlign w:val="bottom"/>
          </w:tcPr>
          <w:p>
            <w:pPr>
              <w:spacing w:after="0"/>
              <w:rPr>
                <w:sz w:val="1"/>
                <w:szCs w:val="1"/>
                <w:color w:val="auto"/>
              </w:rPr>
            </w:pPr>
          </w:p>
        </w:tc>
      </w:tr>
      <w:tr>
        <w:trPr>
          <w:trHeight w:val="143"/>
        </w:trPr>
        <w:tc>
          <w:tcPr>
            <w:tcW w:w="2720" w:type="dxa"/>
            <w:vAlign w:val="bottom"/>
            <w:gridSpan w:val="24"/>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Commercial Streaming Solutions Inc.</w:t>
            </w: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60" w:type="dxa"/>
            <w:vAlign w:val="bottom"/>
            <w:tcBorders>
              <w:top w:val="single" w:sz="8" w:color="auto"/>
            </w:tcBorders>
            <w:gridSpan w:val="22"/>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(d/b/a BettorView)</w:t>
            </w:r>
            <w:r>
              <w:rPr>
                <w:rFonts w:ascii="Times New Roman" w:cs="Times New Roman" w:eastAsia="Times New Roman" w:hAnsi="Times New Roman"/>
                <w:sz w:val="21"/>
                <w:szCs w:val="21"/>
                <w:b w:val="1"/>
                <w:bCs w:val="1"/>
                <w:color w:val="auto"/>
                <w:vertAlign w:val="superscript"/>
              </w:rPr>
              <w:t>(7)</w:t>
            </w:r>
          </w:p>
        </w:tc>
        <w:tc>
          <w:tcPr>
            <w:tcW w:w="360" w:type="dxa"/>
            <w:vAlign w:val="bottom"/>
            <w:gridSpan w:val="2"/>
          </w:tcPr>
          <w:p>
            <w:pPr>
              <w:spacing w:after="0"/>
              <w:rPr>
                <w:sz w:val="16"/>
                <w:szCs w:val="16"/>
                <w:color w:val="auto"/>
              </w:rPr>
            </w:pP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5"/>
              </w:rPr>
              <w:t>Las Vegas, NV</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7"/>
              </w:rPr>
              <w:t>Interactive Media &amp; Services</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3/26/2021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1,004,240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0" w:type="dxa"/>
            <w:vAlign w:val="bottom"/>
          </w:tcPr>
          <w:p>
            <w:pPr>
              <w:spacing w:after="0"/>
              <w:rPr>
                <w:sz w:val="1"/>
                <w:szCs w:val="1"/>
                <w:color w:val="auto"/>
              </w:rPr>
            </w:pPr>
          </w:p>
        </w:tc>
      </w:tr>
      <w:tr>
        <w:trPr>
          <w:trHeight w:val="143"/>
        </w:trPr>
        <w:tc>
          <w:tcPr>
            <w:tcW w:w="2720" w:type="dxa"/>
            <w:vAlign w:val="bottom"/>
            <w:gridSpan w:val="24"/>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2280" w:type="dxa"/>
            <w:vAlign w:val="bottom"/>
          </w:tcPr>
          <w:p>
            <w:pPr>
              <w:jc w:val="center"/>
              <w:ind w:left="346"/>
              <w:spacing w:after="0" w:line="144" w:lineRule="exact"/>
              <w:rPr>
                <w:sz w:val="20"/>
                <w:szCs w:val="20"/>
                <w:color w:val="auto"/>
              </w:rPr>
            </w:pPr>
            <w:r>
              <w:rPr>
                <w:rFonts w:ascii="Times New Roman" w:cs="Times New Roman" w:eastAsia="Times New Roman" w:hAnsi="Times New Roman"/>
                <w:sz w:val="15"/>
                <w:szCs w:val="15"/>
                <w:color w:val="auto"/>
                <w:w w:val="97"/>
              </w:rPr>
              <w:t>Chicago, IL</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920" w:type="dxa"/>
            <w:vAlign w:val="bottom"/>
            <w:tcBorders>
              <w:top w:val="single" w:sz="8" w:color="auto"/>
            </w:tcBorders>
            <w:gridSpan w:val="14"/>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800" w:type="dxa"/>
            <w:vAlign w:val="bottom"/>
            <w:gridSpan w:val="10"/>
            <w:shd w:val="clear" w:color="auto" w:fill="CCEEFF"/>
          </w:tcPr>
          <w:p>
            <w:pPr>
              <w:spacing w:after="0"/>
              <w:rPr>
                <w:sz w:val="19"/>
                <w:szCs w:val="19"/>
                <w:color w:val="auto"/>
              </w:rPr>
            </w:pP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8"/>
              </w:rPr>
              <w:t>Cannabis REIT</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5"/>
              </w:rPr>
              <w:t>9/11/2019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312,500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2,580,750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962,341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0" w:type="dxa"/>
            <w:vAlign w:val="bottom"/>
          </w:tcPr>
          <w:p>
            <w:pPr>
              <w:spacing w:after="0"/>
              <w:rPr>
                <w:sz w:val="1"/>
                <w:szCs w:val="1"/>
                <w:color w:val="auto"/>
              </w:rPr>
            </w:pPr>
          </w:p>
        </w:tc>
      </w:tr>
      <w:tr>
        <w:trPr>
          <w:trHeight w:val="143"/>
        </w:trPr>
        <w:tc>
          <w:tcPr>
            <w:tcW w:w="1180" w:type="dxa"/>
            <w:vAlign w:val="bottom"/>
            <w:tcBorders>
              <w:bottom w:val="single" w:sz="8" w:color="auto"/>
            </w:tcBorders>
            <w:gridSpan w:val="8"/>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Forge Global, Inc.</w:t>
            </w:r>
          </w:p>
        </w:tc>
        <w:tc>
          <w:tcPr>
            <w:tcW w:w="1540" w:type="dxa"/>
            <w:vAlign w:val="bottom"/>
            <w:gridSpan w:val="16"/>
          </w:tcPr>
          <w:p>
            <w:pPr>
              <w:spacing w:after="0"/>
              <w:rPr>
                <w:sz w:val="12"/>
                <w:szCs w:val="12"/>
                <w:color w:val="auto"/>
              </w:rPr>
            </w:pPr>
          </w:p>
        </w:tc>
        <w:tc>
          <w:tcPr>
            <w:tcW w:w="2280" w:type="dxa"/>
            <w:vAlign w:val="bottom"/>
          </w:tcPr>
          <w:p>
            <w:pPr>
              <w:jc w:val="center"/>
              <w:ind w:left="366"/>
              <w:spacing w:after="0" w:line="144" w:lineRule="exact"/>
              <w:rPr>
                <w:sz w:val="20"/>
                <w:szCs w:val="20"/>
                <w:color w:val="auto"/>
              </w:rPr>
            </w:pPr>
            <w:r>
              <w:rPr>
                <w:rFonts w:ascii="Times New Roman" w:cs="Times New Roman" w:eastAsia="Times New Roman" w:hAnsi="Times New Roman"/>
                <w:sz w:val="15"/>
                <w:szCs w:val="15"/>
                <w:color w:val="auto"/>
                <w:w w:val="99"/>
              </w:rPr>
              <w:t>San Francisco, CA</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720" w:type="dxa"/>
            <w:vAlign w:val="bottom"/>
            <w:gridSpan w:val="24"/>
            <w:shd w:val="clear" w:color="auto" w:fill="CCEEFF"/>
          </w:tcPr>
          <w:p>
            <w:pPr>
              <w:spacing w:after="0" w:line="222"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8"/>
              </w:rPr>
              <w:t>Online Marketplace Finance</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5"/>
              </w:rPr>
              <w:t>7/20/2011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1,020,875</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1,978,921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950,333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w:t>
            </w:r>
          </w:p>
        </w:tc>
        <w:tc>
          <w:tcPr>
            <w:tcW w:w="0" w:type="dxa"/>
            <w:vAlign w:val="bottom"/>
          </w:tcPr>
          <w:p>
            <w:pPr>
              <w:spacing w:after="0"/>
              <w:rPr>
                <w:sz w:val="1"/>
                <w:szCs w:val="1"/>
                <w:color w:val="auto"/>
              </w:rPr>
            </w:pPr>
          </w:p>
        </w:tc>
      </w:tr>
      <w:tr>
        <w:trPr>
          <w:trHeight w:val="143"/>
        </w:trPr>
        <w:tc>
          <w:tcPr>
            <w:tcW w:w="2720" w:type="dxa"/>
            <w:vAlign w:val="bottom"/>
            <w:gridSpan w:val="24"/>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Stake Trade, Inc. (d/b/a Prophet</w:t>
            </w: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20" w:type="dxa"/>
            <w:vAlign w:val="bottom"/>
            <w:tcBorders>
              <w:top w:val="single" w:sz="8" w:color="auto"/>
            </w:tcBorders>
            <w:gridSpan w:val="16"/>
          </w:tcPr>
          <w:p>
            <w:pPr>
              <w:spacing w:after="0" w:line="190" w:lineRule="exact"/>
              <w:rPr>
                <w:sz w:val="20"/>
                <w:szCs w:val="20"/>
                <w:color w:val="auto"/>
              </w:rPr>
            </w:pP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21"/>
                <w:szCs w:val="21"/>
                <w:b w:val="1"/>
                <w:bCs w:val="1"/>
                <w:color w:val="auto"/>
                <w:vertAlign w:val="superscript"/>
              </w:rPr>
              <w:t>(7)</w:t>
            </w:r>
          </w:p>
        </w:tc>
        <w:tc>
          <w:tcPr>
            <w:tcW w:w="700" w:type="dxa"/>
            <w:vAlign w:val="bottom"/>
            <w:gridSpan w:val="8"/>
          </w:tcPr>
          <w:p>
            <w:pPr>
              <w:spacing w:after="0"/>
              <w:rPr>
                <w:sz w:val="16"/>
                <w:szCs w:val="16"/>
                <w:color w:val="auto"/>
              </w:rPr>
            </w:pP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5"/>
              </w:rPr>
              <w:t>New York, NY</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7"/>
              </w:rPr>
              <w:t>Sports Betting</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7/26/2023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1,002,153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862,362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0" w:type="dxa"/>
            <w:vAlign w:val="bottom"/>
          </w:tcPr>
          <w:p>
            <w:pPr>
              <w:spacing w:after="0"/>
              <w:rPr>
                <w:sz w:val="1"/>
                <w:szCs w:val="1"/>
                <w:color w:val="auto"/>
              </w:rPr>
            </w:pPr>
          </w:p>
        </w:tc>
      </w:tr>
      <w:tr>
        <w:trPr>
          <w:trHeight w:val="176"/>
        </w:trPr>
        <w:tc>
          <w:tcPr>
            <w:tcW w:w="2720" w:type="dxa"/>
            <w:vAlign w:val="bottom"/>
            <w:gridSpan w:val="24"/>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280" w:type="dxa"/>
            <w:vAlign w:val="bottom"/>
          </w:tcPr>
          <w:p>
            <w:pPr>
              <w:jc w:val="center"/>
              <w:ind w:left="366"/>
              <w:spacing w:after="0"/>
              <w:rPr>
                <w:sz w:val="20"/>
                <w:szCs w:val="20"/>
                <w:color w:val="auto"/>
              </w:rPr>
            </w:pPr>
            <w:r>
              <w:rPr>
                <w:rFonts w:ascii="Times New Roman" w:cs="Times New Roman" w:eastAsia="Times New Roman" w:hAnsi="Times New Roman"/>
                <w:sz w:val="15"/>
                <w:szCs w:val="15"/>
                <w:color w:val="auto"/>
                <w:w w:val="96"/>
              </w:rPr>
              <w:t>San Diego, CA</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6"/>
              </w:rPr>
              <w:t>Gaming Technology</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5/18/2022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456,704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501,330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21"/>
        </w:trPr>
        <w:tc>
          <w:tcPr>
            <w:tcW w:w="1960" w:type="dxa"/>
            <w:vAlign w:val="bottom"/>
            <w:gridSpan w:val="15"/>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Rebric, Inc. (d/b/a Compliable)</w:t>
            </w:r>
          </w:p>
        </w:tc>
        <w:tc>
          <w:tcPr>
            <w:tcW w:w="140" w:type="dxa"/>
            <w:vAlign w:val="bottom"/>
            <w:tcBorders>
              <w:bottom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(7)</w:t>
            </w:r>
          </w:p>
        </w:tc>
        <w:tc>
          <w:tcPr>
            <w:tcW w:w="4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520" w:type="dxa"/>
            <w:vAlign w:val="bottom"/>
            <w:gridSpan w:val="4"/>
            <w:vMerge w:val="restart"/>
          </w:tcPr>
          <w:p>
            <w:pPr>
              <w:spacing w:after="0"/>
              <w:rPr>
                <w:sz w:val="10"/>
                <w:szCs w:val="10"/>
                <w:color w:val="auto"/>
              </w:rPr>
            </w:pPr>
          </w:p>
        </w:tc>
        <w:tc>
          <w:tcPr>
            <w:tcW w:w="2280" w:type="dxa"/>
            <w:vAlign w:val="bottom"/>
            <w:vMerge w:val="restart"/>
          </w:tcPr>
          <w:p>
            <w:pPr>
              <w:jc w:val="center"/>
              <w:ind w:left="366"/>
              <w:spacing w:after="0"/>
              <w:rPr>
                <w:sz w:val="20"/>
                <w:szCs w:val="20"/>
                <w:color w:val="auto"/>
              </w:rPr>
            </w:pPr>
            <w:r>
              <w:rPr>
                <w:rFonts w:ascii="Times New Roman" w:cs="Times New Roman" w:eastAsia="Times New Roman" w:hAnsi="Times New Roman"/>
                <w:sz w:val="15"/>
                <w:szCs w:val="15"/>
                <w:color w:val="auto"/>
                <w:w w:val="99"/>
              </w:rPr>
              <w:t>Denver, CO</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960" w:type="dxa"/>
            <w:vAlign w:val="bottom"/>
            <w:tcBorders>
              <w:bottom w:val="single" w:sz="8" w:color="auto"/>
            </w:tcBorders>
            <w:gridSpan w:val="15"/>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4"/>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7"/>
              </w:rPr>
              <w:t>Gaming Licensing</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6"/>
              </w:rPr>
              <w:t>10/12/2021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2,406,492</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1,002,755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157,658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43"/>
        </w:trPr>
        <w:tc>
          <w:tcPr>
            <w:tcW w:w="1460" w:type="dxa"/>
            <w:vAlign w:val="bottom"/>
            <w:tcBorders>
              <w:bottom w:val="single" w:sz="8" w:color="auto"/>
            </w:tcBorders>
            <w:gridSpan w:val="11"/>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Kinetiq Holdings, LLC</w:t>
            </w:r>
          </w:p>
        </w:tc>
        <w:tc>
          <w:tcPr>
            <w:tcW w:w="1260" w:type="dxa"/>
            <w:vAlign w:val="bottom"/>
            <w:gridSpan w:val="13"/>
          </w:tcPr>
          <w:p>
            <w:pPr>
              <w:spacing w:after="0"/>
              <w:rPr>
                <w:sz w:val="12"/>
                <w:szCs w:val="12"/>
                <w:color w:val="auto"/>
              </w:rPr>
            </w:pPr>
          </w:p>
        </w:tc>
        <w:tc>
          <w:tcPr>
            <w:tcW w:w="2280" w:type="dxa"/>
            <w:vAlign w:val="bottom"/>
          </w:tcPr>
          <w:p>
            <w:pPr>
              <w:jc w:val="center"/>
              <w:ind w:left="346"/>
              <w:spacing w:after="0" w:line="144" w:lineRule="exact"/>
              <w:rPr>
                <w:sz w:val="20"/>
                <w:szCs w:val="20"/>
                <w:color w:val="auto"/>
              </w:rPr>
            </w:pPr>
            <w:r>
              <w:rPr>
                <w:rFonts w:ascii="Times New Roman" w:cs="Times New Roman" w:eastAsia="Times New Roman" w:hAnsi="Times New Roman"/>
                <w:sz w:val="15"/>
                <w:szCs w:val="15"/>
                <w:color w:val="auto"/>
                <w:w w:val="96"/>
              </w:rPr>
              <w:t>Philadelphia, PA</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8"/>
              </w:rPr>
              <w:t>Social Data Platform</w:t>
            </w:r>
          </w:p>
        </w:tc>
        <w:tc>
          <w:tcPr>
            <w:tcW w:w="1800" w:type="dxa"/>
            <w:vAlign w:val="bottom"/>
            <w:gridSpan w:val="3"/>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8"/>
              </w:rPr>
              <w:t>3/30/2012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112,374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2140" w:type="dxa"/>
            <w:vAlign w:val="bottom"/>
            <w:tcBorders>
              <w:bottom w:val="single" w:sz="8" w:color="auto"/>
            </w:tcBorders>
            <w:gridSpan w:val="19"/>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CTN Holdings, Inc. (d/b/a Catona</w:t>
            </w:r>
          </w:p>
        </w:tc>
        <w:tc>
          <w:tcPr>
            <w:tcW w:w="580" w:type="dxa"/>
            <w:vAlign w:val="bottom"/>
            <w:gridSpan w:val="5"/>
          </w:tcPr>
          <w:p>
            <w:pPr>
              <w:spacing w:after="0"/>
              <w:rPr>
                <w:sz w:val="12"/>
                <w:szCs w:val="12"/>
                <w:color w:val="auto"/>
              </w:rPr>
            </w:pP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Borders>
              <w:bottom w:val="single" w:sz="8" w:color="auto"/>
            </w:tcBorders>
            <w:gridSpan w:val="20"/>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7"/>
              </w:rPr>
              <w:t>Climate, f/k/a Aspiration Partners,</w:t>
            </w:r>
          </w:p>
        </w:tc>
        <w:tc>
          <w:tcPr>
            <w:tcW w:w="520" w:type="dxa"/>
            <w:vAlign w:val="bottom"/>
            <w:gridSpan w:val="4"/>
          </w:tcPr>
          <w:p>
            <w:pPr>
              <w:spacing w:after="0"/>
              <w:rPr>
                <w:sz w:val="13"/>
                <w:szCs w:val="13"/>
                <w:color w:val="auto"/>
              </w:rPr>
            </w:pP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4"/>
              </w:rPr>
              <w:t>Inc.)</w:t>
            </w:r>
          </w:p>
        </w:tc>
        <w:tc>
          <w:tcPr>
            <w:tcW w:w="2420" w:type="dxa"/>
            <w:vAlign w:val="bottom"/>
            <w:gridSpan w:val="23"/>
          </w:tcPr>
          <w:p>
            <w:pPr>
              <w:spacing w:after="0"/>
              <w:rPr>
                <w:sz w:val="13"/>
                <w:szCs w:val="13"/>
                <w:color w:val="auto"/>
              </w:rPr>
            </w:pPr>
          </w:p>
        </w:tc>
        <w:tc>
          <w:tcPr>
            <w:tcW w:w="2280" w:type="dxa"/>
            <w:vAlign w:val="bottom"/>
          </w:tcPr>
          <w:p>
            <w:pPr>
              <w:jc w:val="center"/>
              <w:ind w:left="366"/>
              <w:spacing w:after="0" w:line="156" w:lineRule="exact"/>
              <w:rPr>
                <w:sz w:val="20"/>
                <w:szCs w:val="20"/>
                <w:color w:val="auto"/>
              </w:rPr>
            </w:pPr>
            <w:r>
              <w:rPr>
                <w:rFonts w:ascii="Times New Roman" w:cs="Times New Roman" w:eastAsia="Times New Roman" w:hAnsi="Times New Roman"/>
                <w:sz w:val="15"/>
                <w:szCs w:val="15"/>
                <w:color w:val="auto"/>
                <w:w w:val="95"/>
              </w:rPr>
              <w:t>Marina Del Rey, CA</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28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5"/>
                <w:szCs w:val="15"/>
                <w:color w:val="auto"/>
                <w:w w:val="97"/>
              </w:rPr>
              <w:t>Carbon Credit Services</w:t>
            </w:r>
          </w:p>
        </w:tc>
        <w:tc>
          <w:tcPr>
            <w:tcW w:w="1800" w:type="dxa"/>
            <w:vAlign w:val="bottom"/>
            <w:gridSpan w:val="3"/>
            <w:shd w:val="clear" w:color="auto" w:fill="CCEEFF"/>
          </w:tcPr>
          <w:p>
            <w:pPr>
              <w:jc w:val="center"/>
              <w:ind w:left="586"/>
              <w:spacing w:after="0"/>
              <w:rPr>
                <w:sz w:val="20"/>
                <w:szCs w:val="20"/>
                <w:color w:val="auto"/>
              </w:rPr>
            </w:pPr>
            <w:r>
              <w:rPr>
                <w:rFonts w:ascii="Times New Roman" w:cs="Times New Roman" w:eastAsia="Times New Roman" w:hAnsi="Times New Roman"/>
                <w:sz w:val="15"/>
                <w:szCs w:val="15"/>
                <w:color w:val="auto"/>
                <w:w w:val="95"/>
              </w:rPr>
              <w:t>8/11/2015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540,270</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1,001,815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2280" w:type="dxa"/>
            <w:vAlign w:val="bottom"/>
          </w:tcPr>
          <w:p>
            <w:pPr>
              <w:spacing w:after="0"/>
              <w:rPr>
                <w:sz w:val="16"/>
                <w:szCs w:val="16"/>
                <w:color w:val="auto"/>
              </w:rPr>
            </w:pPr>
          </w:p>
        </w:tc>
        <w:tc>
          <w:tcPr>
            <w:tcW w:w="1800" w:type="dxa"/>
            <w:vAlign w:val="bottom"/>
            <w:gridSpan w:val="3"/>
          </w:tcPr>
          <w:p>
            <w:pPr>
              <w:jc w:val="center"/>
              <w:ind w:left="606"/>
              <w:spacing w:after="0"/>
              <w:rPr>
                <w:sz w:val="20"/>
                <w:szCs w:val="20"/>
                <w:color w:val="auto"/>
              </w:rPr>
            </w:pPr>
            <w:r>
              <w:rPr>
                <w:rFonts w:ascii="Times New Roman" w:cs="Times New Roman" w:eastAsia="Times New Roman" w:hAnsi="Times New Roman"/>
                <w:sz w:val="15"/>
                <w:szCs w:val="15"/>
                <w:color w:val="auto"/>
                <w:w w:val="98"/>
              </w:rPr>
              <w:t>8/12/2019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24,912</w:t>
            </w:r>
          </w:p>
        </w:tc>
        <w:tc>
          <w:tcPr>
            <w:tcW w:w="8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281,190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720" w:type="dxa"/>
            <w:vAlign w:val="bottom"/>
            <w:tcBorders>
              <w:top w:val="single" w:sz="8" w:color="CCEEFF"/>
            </w:tcBorders>
            <w:gridSpan w:val="24"/>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1,283,005</w:t>
            </w: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Date of Initial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1"/>
        </w:trPr>
        <w:tc>
          <w:tcPr>
            <w:tcW w:w="266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0" w:type="dxa"/>
            <w:vAlign w:val="bottom"/>
          </w:tcPr>
          <w:p>
            <w:pPr>
              <w:spacing w:after="0"/>
              <w:rPr>
                <w:sz w:val="19"/>
                <w:szCs w:val="19"/>
                <w:color w:val="auto"/>
              </w:rPr>
            </w:pPr>
          </w:p>
        </w:tc>
        <w:tc>
          <w:tcPr>
            <w:tcW w:w="1120" w:type="dxa"/>
            <w:vAlign w:val="bottom"/>
            <w:gridSpan w:val="3"/>
          </w:tcPr>
          <w:p>
            <w:pPr>
              <w:jc w:val="center"/>
              <w:ind w:right="320"/>
              <w:spacing w:after="0" w:line="220" w:lineRule="exact"/>
              <w:rPr>
                <w:sz w:val="20"/>
                <w:szCs w:val="20"/>
                <w:color w:val="auto"/>
              </w:rPr>
            </w:pPr>
            <w:r>
              <w:rPr>
                <w:rFonts w:ascii="Times New Roman" w:cs="Times New Roman" w:eastAsia="Times New Roman" w:hAnsi="Times New Roman"/>
                <w:sz w:val="15"/>
                <w:szCs w:val="15"/>
                <w:b w:val="1"/>
                <w:bCs w:val="1"/>
                <w:color w:val="auto"/>
                <w:w w:val="94"/>
              </w:rPr>
              <w:t>Quantity</w:t>
            </w:r>
            <w:r>
              <w:rPr>
                <w:rFonts w:ascii="Times New Roman" w:cs="Times New Roman" w:eastAsia="Times New Roman" w:hAnsi="Times New Roman"/>
                <w:sz w:val="24"/>
                <w:szCs w:val="24"/>
                <w:b w:val="1"/>
                <w:bCs w:val="1"/>
                <w:color w:val="auto"/>
                <w:w w:val="94"/>
                <w:vertAlign w:val="superscript"/>
              </w:rPr>
              <w:t>(5)</w:t>
            </w:r>
          </w:p>
        </w:tc>
        <w:tc>
          <w:tcPr>
            <w:tcW w:w="10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20" w:type="dxa"/>
            <w:vAlign w:val="bottom"/>
            <w:tcBorders>
              <w:top w:val="single" w:sz="8" w:color="auto"/>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Fullbridge, Inc.</w:t>
            </w:r>
          </w:p>
        </w:tc>
        <w:tc>
          <w:tcPr>
            <w:tcW w:w="220" w:type="dxa"/>
            <w:vAlign w:val="bottom"/>
            <w:tcBorders>
              <w:top w:val="single" w:sz="8" w:color="CCEEFF"/>
            </w:tcBorders>
            <w:shd w:val="clear" w:color="auto" w:fill="CCEEFF"/>
          </w:tcPr>
          <w:p>
            <w:pPr>
              <w:spacing w:after="0"/>
              <w:rPr>
                <w:sz w:val="12"/>
                <w:szCs w:val="12"/>
                <w:color w:val="auto"/>
              </w:rPr>
            </w:pPr>
          </w:p>
        </w:tc>
        <w:tc>
          <w:tcPr>
            <w:tcW w:w="266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5"/>
                <w:szCs w:val="15"/>
                <w:color w:val="auto"/>
                <w:w w:val="99"/>
              </w:rPr>
              <w:t>Cambridge, MA</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6"/>
              </w:rPr>
              <w:t>Common shares</w:t>
            </w:r>
          </w:p>
        </w:tc>
        <w:tc>
          <w:tcPr>
            <w:tcW w:w="1680" w:type="dxa"/>
            <w:vAlign w:val="bottom"/>
            <w:tcBorders>
              <w:top w:val="single" w:sz="8" w:color="CCEEFF"/>
            </w:tcBorders>
            <w:gridSpan w:val="6"/>
          </w:tcPr>
          <w:p>
            <w:pPr>
              <w:spacing w:after="0"/>
              <w:rPr>
                <w:sz w:val="15"/>
                <w:szCs w:val="15"/>
                <w:color w:val="auto"/>
              </w:rPr>
            </w:pPr>
          </w:p>
        </w:tc>
        <w:tc>
          <w:tcPr>
            <w:tcW w:w="28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Business Education</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5"/>
              </w:rPr>
              <w:t>5/13/2012</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517,917</w:t>
            </w: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6,150,506</w:t>
            </w: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4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Promissory Note 1.47%, Due</w:t>
            </w: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0" w:type="dxa"/>
            <w:vAlign w:val="bottom"/>
            <w:gridSpan w:val="2"/>
            <w:shd w:val="clear" w:color="auto" w:fill="CCEEFF"/>
          </w:tcPr>
          <w:p>
            <w:pPr>
              <w:spacing w:after="0" w:line="234" w:lineRule="exact"/>
              <w:rPr>
                <w:sz w:val="20"/>
                <w:szCs w:val="20"/>
                <w:color w:val="auto"/>
              </w:rPr>
            </w:pPr>
            <w:r>
              <w:rPr>
                <w:rFonts w:ascii="Times New Roman" w:cs="Times New Roman" w:eastAsia="Times New Roman" w:hAnsi="Times New Roman"/>
                <w:sz w:val="15"/>
                <w:szCs w:val="15"/>
                <w:color w:val="auto"/>
                <w:w w:val="88"/>
              </w:rPr>
              <w:t>11/9/2021</w:t>
            </w:r>
            <w:r>
              <w:rPr>
                <w:rFonts w:ascii="Times New Roman" w:cs="Times New Roman" w:eastAsia="Times New Roman" w:hAnsi="Times New Roman"/>
                <w:sz w:val="24"/>
                <w:szCs w:val="24"/>
                <w:color w:val="auto"/>
                <w:w w:val="88"/>
                <w:vertAlign w:val="superscript"/>
              </w:rPr>
              <w:t>(4)(13)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3/3/2016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2,270,458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2,270,858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8"/>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8,421,364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20" w:type="dxa"/>
            <w:vAlign w:val="bottom"/>
            <w:tcBorders>
              <w:bottom w:val="single" w:sz="8" w:color="auto"/>
            </w:tcBorders>
            <w:gridSpan w:val="6"/>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Treehouse Real Estate Investment</w:t>
            </w:r>
          </w:p>
        </w:tc>
        <w:tc>
          <w:tcPr>
            <w:tcW w:w="520" w:type="dxa"/>
            <w:vAlign w:val="bottom"/>
            <w:tcBorders>
              <w:bottom w:val="single" w:sz="8" w:color="CCEEFF"/>
            </w:tcBorders>
            <w:gridSpan w:val="2"/>
            <w:shd w:val="clear" w:color="auto" w:fill="CCEEFF"/>
          </w:tcPr>
          <w:p>
            <w:pPr>
              <w:spacing w:after="0"/>
              <w:rPr>
                <w:sz w:val="10"/>
                <w:szCs w:val="10"/>
                <w:color w:val="auto"/>
              </w:rPr>
            </w:pPr>
          </w:p>
        </w:tc>
        <w:tc>
          <w:tcPr>
            <w:tcW w:w="26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gridSpan w:val="8"/>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Trust, Inc.</w:t>
            </w:r>
          </w:p>
        </w:tc>
        <w:tc>
          <w:tcPr>
            <w:tcW w:w="2880" w:type="dxa"/>
            <w:vAlign w:val="bottom"/>
            <w:gridSpan w:val="2"/>
            <w:shd w:val="clear" w:color="auto" w:fill="CCEEFF"/>
          </w:tcPr>
          <w:p>
            <w:pPr>
              <w:jc w:val="center"/>
              <w:ind w:right="220"/>
              <w:spacing w:after="0" w:line="156" w:lineRule="exact"/>
              <w:rPr>
                <w:sz w:val="20"/>
                <w:szCs w:val="20"/>
                <w:color w:val="auto"/>
              </w:rPr>
            </w:pPr>
            <w:r>
              <w:rPr>
                <w:rFonts w:ascii="Times New Roman" w:cs="Times New Roman" w:eastAsia="Times New Roman" w:hAnsi="Times New Roman"/>
                <w:sz w:val="15"/>
                <w:szCs w:val="15"/>
                <w:color w:val="auto"/>
                <w:w w:val="97"/>
              </w:rPr>
              <w:t>Chicago, IL</w:t>
            </w: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8"/>
          </w:tcPr>
          <w:p>
            <w:pPr>
              <w:spacing w:after="0" w:line="210"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9/11/2019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312,500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4,919,250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8"/>
              </w:rPr>
              <w:t>234,601,314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198,511,915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125.98%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8"/>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NON-CONTROLLED/AFFILIATE</w:t>
            </w:r>
            <w:r>
              <w:rPr>
                <w:rFonts w:ascii="Times New Roman" w:cs="Times New Roman" w:eastAsia="Times New Roman" w:hAnsi="Times New Roman"/>
                <w:sz w:val="24"/>
                <w:szCs w:val="24"/>
                <w:b w:val="1"/>
                <w:bCs w:val="1"/>
                <w:color w:val="auto"/>
                <w:vertAlign w:val="superscript"/>
              </w:rPr>
              <w:t>(1)</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(14)</w:t>
            </w:r>
          </w:p>
        </w:tc>
        <w:tc>
          <w:tcPr>
            <w:tcW w:w="2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Scottsdale, AZ</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Interactive Learning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11/26/2019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329,337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257,267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501,626</w:t>
            </w:r>
          </w:p>
        </w:tc>
        <w:tc>
          <w:tcPr>
            <w:tcW w:w="32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1/7/2014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4,000,787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5,376,994</w:t>
            </w:r>
          </w:p>
        </w:tc>
        <w:tc>
          <w:tcPr>
            <w:tcW w:w="3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12/16/2011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2,019,687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3,233,922</w:t>
            </w:r>
          </w:p>
        </w:tc>
        <w:tc>
          <w:tcPr>
            <w:tcW w:w="32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2/25/2014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366,666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110,000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156,285</w:t>
            </w:r>
          </w:p>
        </w:tc>
        <w:tc>
          <w:tcPr>
            <w:tcW w:w="3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8"/>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6,387,741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9,268,827</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5.88</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Maven Research, Inc.</w:t>
            </w:r>
          </w:p>
        </w:tc>
        <w:tc>
          <w:tcPr>
            <w:tcW w:w="28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Knowledge Networks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7/2/2012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318,979</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2,000,447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2/28/2012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49,505</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217,206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8"/>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2,217,653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Curious.com, Inc.</w:t>
            </w:r>
          </w:p>
        </w:tc>
        <w:tc>
          <w:tcPr>
            <w:tcW w:w="2880" w:type="dxa"/>
            <w:vAlign w:val="bottom"/>
            <w:gridSpan w:val="2"/>
            <w:shd w:val="clear" w:color="auto" w:fill="CCEEFF"/>
          </w:tcPr>
          <w:p>
            <w:pPr>
              <w:jc w:val="center"/>
              <w:ind w:right="220"/>
              <w:spacing w:after="0" w:line="135" w:lineRule="exact"/>
              <w:rPr>
                <w:sz w:val="20"/>
                <w:szCs w:val="20"/>
                <w:color w:val="auto"/>
              </w:rPr>
            </w:pPr>
            <w:r>
              <w:rPr>
                <w:rFonts w:ascii="Times New Roman" w:cs="Times New Roman" w:eastAsia="Times New Roman" w:hAnsi="Times New Roman"/>
                <w:sz w:val="15"/>
                <w:szCs w:val="15"/>
                <w:color w:val="auto"/>
                <w:w w:val="99"/>
              </w:rPr>
              <w:t>Menlo Park, CA</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540" w:type="dxa"/>
            <w:vAlign w:val="bottom"/>
            <w:tcBorders>
              <w:top w:val="single" w:sz="8" w:color="CCEEFF"/>
            </w:tcBorders>
            <w:gridSpan w:val="5"/>
          </w:tcPr>
          <w:p>
            <w:pPr>
              <w:spacing w:after="0"/>
              <w:rPr>
                <w:sz w:val="15"/>
                <w:szCs w:val="15"/>
                <w:color w:val="auto"/>
              </w:rPr>
            </w:pPr>
          </w:p>
        </w:tc>
        <w:tc>
          <w:tcPr>
            <w:tcW w:w="28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6"/>
              </w:rPr>
              <w:t>11/22/2013</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1,135,944</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12,000,006</w:t>
            </w: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20,605,400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9,268,827</w:t>
            </w:r>
          </w:p>
        </w:tc>
        <w:tc>
          <w:tcPr>
            <w:tcW w:w="3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5.88%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8"/>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4"/>
                <w:szCs w:val="24"/>
                <w:b w:val="1"/>
                <w:bCs w:val="1"/>
                <w:color w:val="auto"/>
                <w:vertAlign w:val="superscript"/>
              </w:rPr>
              <w:t>(2)</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gridSpan w:val="8"/>
            <w:shd w:val="clear" w:color="auto" w:fill="CCEEFF"/>
          </w:tcPr>
          <w:p>
            <w:pPr>
              <w:spacing w:after="0" w:line="177" w:lineRule="exact"/>
              <w:rPr>
                <w:sz w:val="20"/>
                <w:szCs w:val="20"/>
                <w:color w:val="auto"/>
              </w:rPr>
            </w:pPr>
            <w:r>
              <w:rPr>
                <w:rFonts w:ascii="Times New Roman" w:cs="Times New Roman" w:eastAsia="Times New Roman" w:hAnsi="Times New Roman"/>
                <w:sz w:val="13"/>
                <w:szCs w:val="13"/>
                <w:b w:val="1"/>
                <w:bCs w:val="1"/>
                <w:color w:val="auto"/>
              </w:rPr>
              <w:t>Colombier Sponsor II LLC</w:t>
            </w:r>
            <w:r>
              <w:rPr>
                <w:rFonts w:ascii="Times New Roman" w:cs="Times New Roman" w:eastAsia="Times New Roman" w:hAnsi="Times New Roman"/>
                <w:sz w:val="20"/>
                <w:szCs w:val="20"/>
                <w:b w:val="1"/>
                <w:bCs w:val="1"/>
                <w:color w:val="auto"/>
                <w:vertAlign w:val="superscript"/>
              </w:rPr>
              <w:t>**(6)</w:t>
            </w:r>
          </w:p>
        </w:tc>
        <w:tc>
          <w:tcPr>
            <w:tcW w:w="2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Palm Beach, FL</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940" w:type="dxa"/>
            <w:vAlign w:val="bottom"/>
            <w:tcBorders>
              <w:top w:val="single" w:sz="8" w:color="CCEEFF"/>
            </w:tcBorders>
            <w:gridSpan w:val="3"/>
          </w:tcPr>
          <w:p>
            <w:pPr>
              <w:spacing w:after="0"/>
              <w:rPr>
                <w:sz w:val="15"/>
                <w:szCs w:val="15"/>
                <w:color w:val="auto"/>
              </w:rPr>
            </w:pPr>
          </w:p>
        </w:tc>
        <w:tc>
          <w:tcPr>
            <w:tcW w:w="28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Special Purpose Acquisition Company</w:t>
            </w:r>
          </w:p>
        </w:tc>
        <w:tc>
          <w:tcPr>
            <w:tcW w:w="11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6"/>
              </w:rPr>
              <w:t>11/20/2023</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1,103,719</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3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2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499,221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498,305</w:t>
            </w:r>
          </w:p>
        </w:tc>
        <w:tc>
          <w:tcPr>
            <w:tcW w:w="3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EEFF"/>
            </w:tcBorders>
            <w:gridSpan w:val="8"/>
          </w:tcPr>
          <w:p>
            <w:pPr>
              <w:ind w:left="140"/>
              <w:spacing w:after="0" w:line="168" w:lineRule="exact"/>
              <w:rPr>
                <w:sz w:val="20"/>
                <w:szCs w:val="20"/>
                <w:color w:val="auto"/>
              </w:rPr>
            </w:pPr>
            <w:r>
              <w:rPr>
                <w:rFonts w:ascii="Times New Roman" w:cs="Times New Roman" w:eastAsia="Times New Roman" w:hAnsi="Times New Roman"/>
                <w:sz w:val="15"/>
                <w:szCs w:val="15"/>
                <w:color w:val="auto"/>
              </w:rPr>
              <w:t>Total</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1,602,940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1,600,000</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1.02</w:t>
            </w:r>
          </w:p>
        </w:tc>
        <w:tc>
          <w:tcPr>
            <w:tcW w:w="160" w:type="dxa"/>
            <w:vAlign w:val="bottom"/>
            <w:tcBorders>
              <w:bottom w:val="single" w:sz="8" w:color="CCEEFF"/>
            </w:tcBorders>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1,600,000</w:t>
            </w:r>
          </w:p>
        </w:tc>
        <w:tc>
          <w:tcPr>
            <w:tcW w:w="3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8"/>
              </w:rPr>
              <w:t>256,809,654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209,380,742</w:t>
            </w:r>
          </w:p>
        </w:tc>
        <w:tc>
          <w:tcPr>
            <w:tcW w:w="3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380" w:hanging="372"/>
        <w:spacing w:after="0" w:line="250" w:lineRule="auto"/>
        <w:tabs>
          <w:tab w:leader="none" w:pos="3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6" w:lineRule="exact"/>
        <w:rPr>
          <w:sz w:val="20"/>
          <w:szCs w:val="20"/>
          <w:color w:val="auto"/>
        </w:rPr>
      </w:pPr>
    </w:p>
    <w:p>
      <w:pPr>
        <w:ind w:left="380" w:hanging="372"/>
        <w:spacing w:after="0" w:line="255" w:lineRule="auto"/>
        <w:tabs>
          <w:tab w:leader="none" w:pos="3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December 31, 2024, 39.56% of its total investments are non-qualifying assets, excluding cash and short-term US treasuries.</w:t>
      </w:r>
    </w:p>
    <w:p>
      <w:pPr>
        <w:ind w:left="380" w:hanging="372"/>
        <w:spacing w:after="0"/>
        <w:tabs>
          <w:tab w:leader="none" w:pos="3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66" w:lineRule="exact"/>
        <w:rPr>
          <w:sz w:val="20"/>
          <w:szCs w:val="20"/>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securities with the right to elect directors) of such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investments noted had been placed on non-accrual status.</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respective number of shares, principal amount, fund commitment, or membership interest.</w:t>
      </w:r>
    </w:p>
    <w:p>
      <w:pPr>
        <w:spacing w:after="0" w:line="180"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9"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Sports”).</w:t>
      </w:r>
    </w:p>
    <w:p>
      <w:pPr>
        <w:spacing w:after="0" w:line="139" w:lineRule="exact"/>
        <w:rPr>
          <w:rFonts w:ascii="Times New Roman" w:cs="Times New Roman" w:eastAsia="Times New Roman" w:hAnsi="Times New Roman"/>
          <w:sz w:val="15"/>
          <w:szCs w:val="15"/>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 special purpose vehicle (“SPV”) for which the Class A Interest is solely invested in the Series C Preferred Shares of CoreWeave, Inc. SuRo Capital Corp. is invested in the Series C Preferred Shares of CoreWeave, Inc. through its investment in the Class A Interest of CW Opportunity 2 LP. The Series C Preferred Shares of CoreWeave, Inc. accrue a 10% per annum dividend, paid quarterly in cash or in-kind. CW Opportunity 2 LP does not charge a management fee but does charge an incentive fee of 20%, subject to an annual 15% IRR hurdle rate.</w:t>
      </w:r>
    </w:p>
    <w:p>
      <w:pPr>
        <w:spacing w:after="0" w:line="152" w:lineRule="exact"/>
        <w:rPr>
          <w:rFonts w:ascii="Times New Roman" w:cs="Times New Roman" w:eastAsia="Times New Roman" w:hAnsi="Times New Roman"/>
          <w:sz w:val="15"/>
          <w:szCs w:val="15"/>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 Corp.’s investment in the fund.</w:t>
      </w:r>
    </w:p>
    <w:p>
      <w:pPr>
        <w:spacing w:after="0" w:line="152" w:lineRule="exact"/>
        <w:rPr>
          <w:rFonts w:ascii="Times New Roman" w:cs="Times New Roman" w:eastAsia="Times New Roman" w:hAnsi="Times New Roman"/>
          <w:sz w:val="15"/>
          <w:szCs w:val="15"/>
          <w:color w:val="auto"/>
        </w:rPr>
      </w:pPr>
    </w:p>
    <w:p>
      <w:pPr>
        <w:ind w:left="380" w:right="20" w:hanging="372"/>
        <w:spacing w:after="0" w:line="27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 True Global Ventures 4 Plus Pte Ltd charges a 1.8% management fee and a 22.5% incentive fee, subject to an annual 5% IRR hurdle rate.</w:t>
      </w:r>
    </w:p>
    <w:p>
      <w:pPr>
        <w:spacing w:after="0" w:line="139"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SuRo Capital Corp.’s investment in Residential Homes for Rent, LLC (d/b/a Second Avenue) is held through SuRo Capital Corp.’s wholly owned subsidiary, GSVC AV Holdings, Inc.</w:t>
      </w:r>
    </w:p>
    <w:p>
      <w:pPr>
        <w:spacing w:after="0" w:line="191" w:lineRule="exact"/>
        <w:rPr>
          <w:rFonts w:ascii="Times New Roman" w:cs="Times New Roman" w:eastAsia="Times New Roman" w:hAnsi="Times New Roman"/>
          <w:sz w:val="14"/>
          <w:szCs w:val="14"/>
          <w:color w:val="auto"/>
        </w:rPr>
      </w:pPr>
    </w:p>
    <w:p>
      <w:pPr>
        <w:ind w:left="380" w:hanging="372"/>
        <w:spacing w:after="0" w:line="27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14, 2024, as part of Xgroup Holding Limited (d/b/a Xpoint)’s most recent financing round, SuRo Capital Corp.’s 6% Convertible Note due October 17, 2024 was converted into Series A-1 Shares, Series A Warrants, and Series A-1 Warrants.</w:t>
      </w:r>
    </w:p>
    <w:p>
      <w:pPr>
        <w:spacing w:after="0" w:line="139"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80" w:lineRule="exact"/>
        <w:rPr>
          <w:rFonts w:ascii="Times New Roman" w:cs="Times New Roman" w:eastAsia="Times New Roman" w:hAnsi="Times New Roman"/>
          <w:sz w:val="15"/>
          <w:szCs w:val="15"/>
          <w:color w:val="auto"/>
        </w:rPr>
      </w:pPr>
    </w:p>
    <w:p>
      <w:pPr>
        <w:ind w:left="380" w:hanging="372"/>
        <w:spacing w:after="0"/>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80" w:lineRule="exact"/>
        <w:rPr>
          <w:rFonts w:ascii="Times New Roman" w:cs="Times New Roman" w:eastAsia="Times New Roman" w:hAnsi="Times New Roman"/>
          <w:sz w:val="15"/>
          <w:szCs w:val="15"/>
          <w:color w:val="auto"/>
        </w:rPr>
      </w:pPr>
    </w:p>
    <w:p>
      <w:pPr>
        <w:jc w:val="both"/>
        <w:ind w:left="380" w:hanging="372"/>
        <w:spacing w:after="0" w:line="258"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SuRo Capital Corp. is invested in the Series B Preferred Shares of VAST Data, Ltd. through its investment in the Membership Interest of IH10, LLC. IH10, LLC does not charge a management or an incentive fee; however, SuRo Capital Corp. has prepaid operating expenses. Accordingly, these will adjust the total cost basis of SuRo Capital Corp.’s investment.</w:t>
      </w:r>
    </w:p>
    <w:p>
      <w:pPr>
        <w:spacing w:after="0" w:line="149" w:lineRule="exact"/>
        <w:rPr>
          <w:rFonts w:ascii="Times New Roman" w:cs="Times New Roman" w:eastAsia="Times New Roman" w:hAnsi="Times New Roman"/>
          <w:sz w:val="15"/>
          <w:szCs w:val="15"/>
          <w:color w:val="auto"/>
        </w:rPr>
      </w:pPr>
    </w:p>
    <w:p>
      <w:pPr>
        <w:ind w:left="380" w:hanging="372"/>
        <w:spacing w:after="0" w:line="271" w:lineRule="auto"/>
        <w:tabs>
          <w:tab w:leader="none" w:pos="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SuRo Capital Corp.’s shares of ServiceTitan, Inc. were not registered and were therefore subject to certain restrictions on sale or transfer for which the Company has applied a discount to the closing public share price as of year-end. The Company anticipates the shares will be registered and freely tradable in June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1—NATURE OF OPERATIONS</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50"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table below displays the Company’s subsidiaries as of March 31, 2025,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5"/>
          <w:szCs w:val="15"/>
          <w:i w:val="1"/>
          <w:iCs w:val="1"/>
          <w:color w:val="auto"/>
        </w:rPr>
        <w:t>Basis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Consolidation</w:t>
      </w:r>
      <w:r>
        <w:rPr>
          <w:rFonts w:ascii="Times New Roman" w:cs="Times New Roman" w:eastAsia="Times New Roman" w:hAnsi="Times New Roman"/>
          <w:sz w:val="15"/>
          <w:szCs w:val="15"/>
          <w:color w:val="auto"/>
        </w:rPr>
        <w:t>” below for further detail.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Jurisdiction of</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Formation</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Percentage</w:t>
            </w:r>
          </w:p>
        </w:tc>
      </w:tr>
      <w:tr>
        <w:trPr>
          <w:trHeight w:val="19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Incorporation</w:t>
            </w:r>
          </w:p>
        </w:tc>
        <w:tc>
          <w:tcPr>
            <w:tcW w:w="2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6"/>
                <w:szCs w:val="16"/>
                <w:color w:val="auto"/>
              </w:rPr>
            </w:pPr>
          </w:p>
        </w:tc>
      </w:tr>
      <w:tr>
        <w:trPr>
          <w:trHeight w:val="168"/>
        </w:trPr>
        <w:tc>
          <w:tcPr>
            <w:tcW w:w="56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GCL</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7"/>
              </w:rPr>
              <w:t>Delaware</w:t>
            </w:r>
          </w:p>
        </w:tc>
        <w:tc>
          <w:tcPr>
            <w:tcW w:w="2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7"/>
              </w:rPr>
              <w:t>April 13, 2012</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100%</w:t>
            </w:r>
          </w:p>
        </w:tc>
      </w:tr>
      <w:tr>
        <w:trPr>
          <w:trHeight w:val="17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SuRo Capital Sports, LLC (“SuRo Sports”)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March 19, 2021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7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Subsidiaries below are referred to collectively as the “Taxable Subsidiaries”</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AE Holdings, Inc. (“GAE”)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November 28, 2012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7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AV Holdings, Inc. (“GAV”)</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8"/>
              </w:rPr>
              <w:t>November 28, 2012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7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SW Holdings, Inc. (“GSW”)</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November 28, 2012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7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SVDS Holdings, Inc. (“SVDS”)</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8"/>
              </w:rPr>
              <w:t>August 13, 2013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bl>
    <w:p>
      <w:pPr>
        <w:spacing w:after="0" w:line="16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2—SIGNIFICANT ACCOUNTING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 xml:space="preserve">The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5"/>
          <w:szCs w:val="15"/>
          <w:i w:val="1"/>
          <w:iCs w:val="1"/>
          <w:color w:val="auto"/>
        </w:rPr>
        <w:t>Financial Services—Investment Companies</w:t>
      </w:r>
      <w:r>
        <w:rPr>
          <w:rFonts w:ascii="Times New Roman" w:cs="Times New Roman" w:eastAsia="Times New Roman" w:hAnsi="Times New Roman"/>
          <w:sz w:val="15"/>
          <w:szCs w:val="15"/>
          <w:color w:val="auto"/>
        </w:rPr>
        <w:t>. In the opinion of management, all adjustments, all of which were of a normal recurring nature, were considered necessary for the fair presentation of condensed consolidated financial statements for the period have been included.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Consolidation</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 owned subsidiaries. All intercompany balances and transactions have been eliminated in consolidation. The Company operates as a single operating segment.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Segments</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SuRo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Consolidated Statement of Operations along with significant expenses. The measure of segment assets is reported on the Consolidated Balance Sheets as total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Uncertainties and Risk Factors</w:t>
      </w:r>
    </w:p>
    <w:p>
      <w:pPr>
        <w:spacing w:after="0" w:line="18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Investments at Fair Value</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0"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—Valuations based on unadjusted quoted prices for identical assets or liabilities in an active market that the Company has the ability to access at the measurement date.</w:t>
      </w:r>
    </w:p>
    <w:p>
      <w:pPr>
        <w:spacing w:after="0" w:line="180" w:lineRule="exact"/>
        <w:rPr>
          <w:sz w:val="20"/>
          <w:szCs w:val="20"/>
          <w:color w:val="auto"/>
        </w:rPr>
      </w:pPr>
    </w:p>
    <w:p>
      <w:pPr>
        <w:jc w:val="both"/>
        <w:ind w:firstLine="265"/>
        <w:spacing w:after="0" w:line="274" w:lineRule="auto"/>
        <w:rPr>
          <w:sz w:val="20"/>
          <w:szCs w:val="20"/>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—Valuations based on observable inputs other than Level 1 prices, such as quoted prices for similar assets or liabilities; quoted prices in markets that are not active; or other inputs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are observable or can be corroborated by observable market data at the measurement date for substantially the full term of the assets or liabilities.</w:t>
      </w:r>
    </w:p>
    <w:p>
      <w:pPr>
        <w:spacing w:after="0" w:line="136" w:lineRule="exact"/>
        <w:rPr>
          <w:sz w:val="20"/>
          <w:szCs w:val="20"/>
          <w:color w:val="auto"/>
        </w:rPr>
      </w:pPr>
    </w:p>
    <w:p>
      <w:pPr>
        <w:jc w:val="both"/>
        <w:ind w:firstLine="265"/>
        <w:spacing w:after="0" w:line="259" w:lineRule="auto"/>
        <w:rPr>
          <w:sz w:val="20"/>
          <w:szCs w:val="20"/>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—Valuations based on unobservable inputs that reflect management’s best estimate of what market participants would use in pricing the asset or liability at the measurement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9"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5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(as defined below),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50" w:lineRule="exact"/>
        <w:rPr>
          <w:sz w:val="20"/>
          <w:szCs w:val="20"/>
          <w:color w:val="auto"/>
        </w:rPr>
      </w:pPr>
    </w:p>
    <w:p>
      <w:pPr>
        <w:ind w:left="540" w:hanging="267"/>
        <w:spacing w:after="0" w:line="271"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quarterly valuation process begins with each portfolio company or investment being initially valued by the internal investment professionals responsible for the portfolio investment;</w:t>
      </w:r>
    </w:p>
    <w:p>
      <w:pPr>
        <w:spacing w:after="0" w:line="139"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 estimates are then documented and discussed with senior management;</w:t>
      </w:r>
    </w:p>
    <w:p>
      <w:pPr>
        <w:spacing w:after="0" w:line="180"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39"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39"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Board of Directors then discusses the valuations recommended by the Valuation Committee and determines in good faith the fair value of each investment in the portfolio.</w:t>
      </w:r>
    </w:p>
    <w:p>
      <w:pPr>
        <w:spacing w:after="0" w:line="140"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5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184"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59"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Investments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Options</w:t>
      </w:r>
    </w:p>
    <w:p>
      <w:pPr>
        <w:spacing w:after="0" w:line="184"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SPVs and Investment Funds</w:t>
      </w:r>
    </w:p>
    <w:p>
      <w:pPr>
        <w:spacing w:after="0" w:line="184"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At various times, the Company may utilize SPVs and similar investment fund structures in the investment process. The Company advances money to these SPVs or investment funds that are formed for the specific purpose of investing in securities of a single private issuer. Generally speaking, these entities have the following characteristics: (1) the underlying investment in the securities of the single private issuer is the sole activity of the SPV or investment fund; (2) the Company’s underlying ownership of the single private issuer is proportionate to the Company’s contributions made to the SPV or investment fund; and (3) the Company will receive its proportionate share of the cash proceeds as the single private issuer is monetized and distributed. The Consolidated Schedule of Investments presents the value of the Company’s investment in the SPV or investment fund. These SPV and fund investments are valued at estimated fair value as determined in good faith by the Company’s Board of Directors. The SPVs may incur a tax liability associated with distributions made by underlying portfolio investments. If an SPV or investment fund charges fees or expenses, those fees may impact the fair value of the Company’s investment.</w:t>
      </w:r>
    </w:p>
    <w:p>
      <w:pPr>
        <w:spacing w:after="0" w:line="159"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In valuing the Company’s investments in venture investment funds (“Venture Investment Funds”), the Company may apply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Purpose Acquisition Companies</w:t>
      </w:r>
    </w:p>
    <w:p>
      <w:pPr>
        <w:spacing w:after="0" w:line="184"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The Company’s SPAC investments are valued at estimated fair value as determined in good faith by the Company’s 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Company Investment Classification</w:t>
      </w:r>
    </w:p>
    <w:p>
      <w:pPr>
        <w:spacing w:after="0" w:line="184"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2025 and December 31, 2024 for details regarding the nature and composition of the Company’s investment portfolio.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Levelling Policy</w:t>
      </w:r>
    </w:p>
    <w:p>
      <w:pPr>
        <w:spacing w:after="0" w:line="184"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Transactions</w:t>
      </w:r>
    </w:p>
    <w:p>
      <w:pPr>
        <w:spacing w:after="0" w:line="180" w:lineRule="exact"/>
        <w:rPr>
          <w:sz w:val="20"/>
          <w:szCs w:val="20"/>
          <w:color w:val="auto"/>
        </w:rPr>
      </w:pPr>
    </w:p>
    <w:p>
      <w:pPr>
        <w:jc w:val="both"/>
        <w:ind w:firstLine="265"/>
        <w:spacing w:after="0" w:line="259" w:lineRule="auto"/>
        <w:rPr>
          <w:sz w:val="20"/>
          <w:szCs w:val="20"/>
          <w:color w:val="auto"/>
        </w:rPr>
      </w:pPr>
      <w:r>
        <w:rPr>
          <w:rFonts w:ascii="Times New Roman" w:cs="Times New Roman" w:eastAsia="Times New Roman" w:hAnsi="Times New Roman"/>
          <w:sz w:val="15"/>
          <w:szCs w:val="15"/>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of Other Financial Instruments</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carrying amounts of the Company’s other, non-investment financial instruments, consisting of cash, receivables, accounts payable, and accrued expenses, approximate fair value due to their short-term nature.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w:t>
      </w:r>
    </w:p>
    <w:p>
      <w:pPr>
        <w:spacing w:after="0" w:line="18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Escrow Proceeds Receivable</w:t>
      </w:r>
    </w:p>
    <w:p>
      <w:pPr>
        <w:spacing w:after="0" w:line="184"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March 31, 2025 and December 31, 2024, the Company had $27,347 and $45,298, respectively, in escrow proceeds receivable.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Financing Costs</w:t>
      </w:r>
    </w:p>
    <w:p>
      <w:pPr>
        <w:spacing w:after="0" w:line="184"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March 31, 2025 and December 31, 2024, the Company had deferred financing costs of $538,413 and $526,261, respectively, on the Condensed Consolidated Statement of Assets and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68"/>
        </w:trPr>
        <w:tc>
          <w:tcPr>
            <w:tcW w:w="70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Deferred debt issuance costs</w:t>
            </w: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1,413,886</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1,417,155</w:t>
            </w:r>
          </w:p>
        </w:tc>
        <w:tc>
          <w:tcPr>
            <w:tcW w:w="120" w:type="dxa"/>
            <w:vAlign w:val="bottom"/>
            <w:tcBorders>
              <w:top w:val="single" w:sz="8" w:color="CCEEFF"/>
            </w:tcBorders>
            <w:shd w:val="clear" w:color="auto" w:fill="CCEEFF"/>
          </w:tcPr>
          <w:p>
            <w:pPr>
              <w:spacing w:after="0"/>
              <w:rPr>
                <w:sz w:val="14"/>
                <w:szCs w:val="14"/>
                <w:color w:val="auto"/>
              </w:rPr>
            </w:pPr>
          </w:p>
        </w:tc>
      </w:t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538,413</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526,261</w:t>
            </w:r>
          </w:p>
        </w:tc>
      </w:tr>
      <w:tr>
        <w:trPr>
          <w:trHeight w:val="17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1,952,299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1,943,416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Refer to “Note 10 — Debt Capital Activities” for further detail regarding the Company’s deferred debt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&amp; Related Deposits</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 xml:space="preserve">The Company accounts for its operating leases as prescribed by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September 1, 2024, the Company extended the previous operating lease for office space for an additional term of three years and three months, expiring March 31, 2028.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5"/>
          <w:szCs w:val="15"/>
          <w:i w:val="1"/>
          <w:iCs w:val="1"/>
          <w:color w:val="auto"/>
        </w:rPr>
        <w:t>Operating Leases and Related Deposits</w:t>
      </w:r>
      <w:r>
        <w:rPr>
          <w:rFonts w:ascii="Times New Roman" w:cs="Times New Roman" w:eastAsia="Times New Roman" w:hAnsi="Times New Roman"/>
          <w:sz w:val="15"/>
          <w:szCs w:val="15"/>
          <w:color w:val="auto"/>
        </w:rPr>
        <w:t>” for further detail.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82" w:lineRule="exact"/>
        <w:rPr>
          <w:sz w:val="20"/>
          <w:szCs w:val="20"/>
          <w:color w:val="auto"/>
        </w:rPr>
      </w:pPr>
    </w:p>
    <w:p>
      <w:pPr>
        <w:jc w:val="both"/>
        <w:ind w:firstLine="265"/>
        <w:spacing w:after="0" w:line="255" w:lineRule="auto"/>
        <w:rPr>
          <w:sz w:val="20"/>
          <w:szCs w:val="20"/>
          <w:color w:val="auto"/>
        </w:rPr>
      </w:pPr>
      <w:r>
        <w:rPr>
          <w:rFonts w:ascii="Times New Roman" w:cs="Times New Roman" w:eastAsia="Times New Roman" w:hAnsi="Times New Roman"/>
          <w:sz w:val="15"/>
          <w:szCs w:val="15"/>
          <w:color w:val="auto"/>
        </w:rPr>
        <w:t xml:space="preserve">Using the fair value recognition provisions as prescribed by ASC 718, </w:t>
      </w:r>
      <w:r>
        <w:rPr>
          <w:rFonts w:ascii="Times New Roman" w:cs="Times New Roman" w:eastAsia="Times New Roman" w:hAnsi="Times New Roman"/>
          <w:sz w:val="15"/>
          <w:szCs w:val="15"/>
          <w:i w:val="1"/>
          <w:iCs w:val="1"/>
          <w:color w:val="auto"/>
        </w:rPr>
        <w:t>Stock Compensation</w:t>
      </w:r>
      <w:r>
        <w:rPr>
          <w:rFonts w:ascii="Times New Roman" w:cs="Times New Roman" w:eastAsia="Times New Roman" w:hAnsi="Times New Roman"/>
          <w:sz w:val="15"/>
          <w:szCs w:val="15"/>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Transaction Costs and Escrow Deposits</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2025 and December 31, 2024, the Company had no escrow deposits.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Unrealized Appreciation or Depreciation of Investments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Unrealized appreciation or depreciation is calculated as the difference between the fair value of the investment and the cost basis of such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Federal and State Income Taxes</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57"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57" w:lineRule="exact"/>
        <w:rPr>
          <w:sz w:val="20"/>
          <w:szCs w:val="20"/>
          <w:color w:val="auto"/>
        </w:rPr>
      </w:pPr>
    </w:p>
    <w:p>
      <w:pPr>
        <w:jc w:val="both"/>
        <w:ind w:firstLine="265"/>
        <w:spacing w:after="0" w:line="247" w:lineRule="auto"/>
        <w:rPr>
          <w:sz w:val="20"/>
          <w:szCs w:val="20"/>
          <w:color w:val="auto"/>
        </w:rPr>
      </w:pPr>
      <w:r>
        <w:rPr>
          <w:rFonts w:ascii="Times New Roman" w:cs="Times New Roman" w:eastAsia="Times New Roman" w:hAnsi="Times New Roman"/>
          <w:sz w:val="15"/>
          <w:szCs w:val="15"/>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 Share Information</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5"/>
          <w:szCs w:val="15"/>
          <w:i w:val="1"/>
          <w:iCs w:val="1"/>
          <w:color w:val="auto"/>
        </w:rPr>
        <w:t>, Earnings Per Share</w:t>
      </w:r>
      <w:r>
        <w:rPr>
          <w:rFonts w:ascii="Times New Roman" w:cs="Times New Roman" w:eastAsia="Times New Roman" w:hAnsi="Times New Roman"/>
          <w:sz w:val="15"/>
          <w:szCs w:val="15"/>
          <w:color w:val="auto"/>
        </w:rPr>
        <w:t xml:space="preserve"> (“ASC 260”), to determine the number of potentially dilutive shares outstanding. Refer to “Note 6—Net Increase in Net Assets Resulting from Operations per Common Share—Basic and Diluted” for further detail.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Recently Issued or Adopted Accounting Standards</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October 2023, the FASB issued ASU 2023-06, “Disclosure Improvements: Codification Amendments in Response to the SEC’s Disclosure Update and Simplification Initiative.” ASU 2023-06 amends the disclosure or presentation requirements related to various subtopics in the FASB Accounting Standards Codification including requiring investment companies to disclose the components of capital on the balance sheet. The amendments in ASU 2023-06 will become effective on the date which the SEC’s removal of related disclosures from Regulation S-X or Regulation S-K become effective. The Company is currently evaluating the impact of the new guidance. However, it does not expect ASU 2023-06 to have a material impact on the Company’s future financial statements.</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In December 2023, the FASB issued ASU 2023-09, “Improvements to Income Tax Disclosures.” ASU 2023-09 requires more disaggregated information on income taxes paid. The standard is effective for annual periods beginning after December 15, 2024. Early adoption is permitted; however, the Company has not elected to adopt this provision as of the date of the condensed consolidated financial statements. The Company is still assessing the impact of the new guidance. However, it does not expect ASU 2023-09 to have a material impact on the Company’s future financial statements.</w:t>
      </w:r>
    </w:p>
    <w:p>
      <w:pPr>
        <w:spacing w:after="0" w:line="15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In March 2024, the FASB issued ASU 2024-01, “Compensation - 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currently effective for public entities. The Company adopted this provision as of the date of the condensed consolidated financial statements. However, ASU 2024-01 does not have a material impact on the Company’s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financial statements.</w:t>
      </w:r>
    </w:p>
    <w:p>
      <w:pPr>
        <w:spacing w:after="0" w:line="157"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is still assessing the impact of the new guidance.</w:t>
      </w:r>
    </w:p>
    <w:p>
      <w:pPr>
        <w:spacing w:after="0" w:line="15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3—RELATED-PARTY ARRANGEMENTS</w:t>
      </w:r>
    </w:p>
    <w:p>
      <w:pPr>
        <w:spacing w:after="0" w:line="18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50"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5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52" w:lineRule="exact"/>
        <w:rPr>
          <w:sz w:val="20"/>
          <w:szCs w:val="20"/>
          <w:color w:val="auto"/>
        </w:rPr>
      </w:pPr>
    </w:p>
    <w:p>
      <w:pPr>
        <w:jc w:val="both"/>
        <w:ind w:firstLine="265"/>
        <w:spacing w:after="0" w:line="274" w:lineRule="auto"/>
        <w:rPr>
          <w:sz w:val="20"/>
          <w:szCs w:val="20"/>
          <w:color w:val="auto"/>
        </w:rPr>
      </w:pPr>
      <w:r>
        <w:rPr>
          <w:rFonts w:ascii="Times New Roman" w:cs="Times New Roman" w:eastAsia="Times New Roman" w:hAnsi="Times New Roman"/>
          <w:sz w:val="14"/>
          <w:szCs w:val="14"/>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On August 18, 2024, Churchill Capital Corp. VII announced that it would not consummate an initial business combination within the time period required by its Amended and Restated Certificate of Incorporation, as amended, and the Company realized a loss on the entirety of its Churchill Sponsor VII LLC common share units and warrant units in the amount of $300,000.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34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March 31, 2025, the fair value of the Company’s remote-affiliate investment in Skillsoft was $944,530.</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controlled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November 15, 2024, the Company had sold its investment in Oklo,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4—INVESTMENTS AT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Portfolio Composition</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March 31, 2025, the Company had 61 positions in 37 portfolio companies. As of December 31, 2024, the Company had 60 positions in 37 portfolio companies.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tables summarize the composition of the Company’s investment portfolio by security type at cost and fair value as of March 31, 2025 and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1"/>
        </w:trPr>
        <w:tc>
          <w:tcPr>
            <w:tcW w:w="3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tcPr>
          <w:p>
            <w:pPr>
              <w:spacing w:after="0"/>
              <w:rPr>
                <w:sz w:val="13"/>
                <w:szCs w:val="13"/>
                <w:color w:val="auto"/>
              </w:rPr>
            </w:pPr>
          </w:p>
        </w:tc>
      </w:tr>
      <w:tr>
        <w:trPr>
          <w:trHeight w:val="176"/>
        </w:trPr>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26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5"/>
              </w:rPr>
              <w:t>of</w:t>
            </w:r>
          </w:p>
        </w:tc>
      </w:tr>
      <w:tr>
        <w:trPr>
          <w:trHeight w:val="193"/>
        </w:trPr>
        <w:tc>
          <w:tcPr>
            <w:tcW w:w="3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40" w:type="dxa"/>
            <w:vAlign w:val="bottom"/>
            <w:gridSpan w:val="2"/>
          </w:tcPr>
          <w:p>
            <w:pPr>
              <w:jc w:val="center"/>
              <w:ind w:right="26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6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gridSpan w:val="2"/>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r>
      <w:tr>
        <w:trPr>
          <w:trHeight w:val="168"/>
        </w:trPr>
        <w:tc>
          <w:tcPr>
            <w:tcW w:w="368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8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10"/>
        </w:trPr>
        <w:tc>
          <w:tcPr>
            <w:tcW w:w="3680" w:type="dxa"/>
            <w:vAlign w:val="bottom"/>
          </w:tcPr>
          <w:p>
            <w:pPr>
              <w:ind w:left="160"/>
              <w:spacing w:after="0" w:line="210"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$ 140,643,661</w:t>
            </w:r>
          </w:p>
        </w:tc>
        <w:tc>
          <w:tcPr>
            <w:tcW w:w="1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$ 140,040,964</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89.3%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$ 159,592,108</w:t>
            </w:r>
          </w:p>
        </w:tc>
        <w:tc>
          <w:tcPr>
            <w:tcW w:w="60" w:type="dxa"/>
            <w:vAlign w:val="bottom"/>
          </w:tcPr>
          <w:p>
            <w:pPr>
              <w:spacing w:after="0"/>
              <w:rPr>
                <w:sz w:val="18"/>
                <w:szCs w:val="18"/>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$ 151,003,991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95.8%</w:t>
            </w:r>
          </w:p>
        </w:tc>
      </w:tr>
      <w:tr>
        <w:trPr>
          <w:trHeight w:val="210"/>
        </w:trPr>
        <w:tc>
          <w:tcPr>
            <w:tcW w:w="3680" w:type="dxa"/>
            <w:vAlign w:val="bottom"/>
            <w:shd w:val="clear" w:color="auto" w:fill="CCEEFF"/>
          </w:tcPr>
          <w:p>
            <w:pPr>
              <w:ind w:left="160"/>
              <w:spacing w:after="0" w:line="210"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77,643,113</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45,370,853</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28.9%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67,469,643</w:t>
            </w: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35,922,154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r>
      <w:tr>
        <w:trPr>
          <w:trHeight w:val="176"/>
        </w:trPr>
        <w:tc>
          <w:tcPr>
            <w:tcW w:w="3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2,777,197</w:t>
            </w:r>
          </w:p>
        </w:tc>
        <w:tc>
          <w:tcPr>
            <w:tcW w:w="120" w:type="dxa"/>
            <w:vAlign w:val="bottom"/>
          </w:tcPr>
          <w:p>
            <w:pPr>
              <w:spacing w:after="0"/>
              <w:rPr>
                <w:sz w:val="15"/>
                <w:szCs w:val="15"/>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0.3%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2,777,197</w:t>
            </w:r>
          </w:p>
        </w:tc>
        <w:tc>
          <w:tcPr>
            <w:tcW w:w="60" w:type="dxa"/>
            <w:vAlign w:val="bottom"/>
          </w:tcPr>
          <w:p>
            <w:pPr>
              <w:spacing w:after="0"/>
              <w:rPr>
                <w:sz w:val="15"/>
                <w:szCs w:val="15"/>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21"/>
        </w:trPr>
        <w:tc>
          <w:tcPr>
            <w:tcW w:w="368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4,473,031</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5,321,281</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4,394,059</w:t>
            </w:r>
          </w:p>
        </w:tc>
        <w:tc>
          <w:tcPr>
            <w:tcW w:w="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4,357,138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67"/>
        </w:trPr>
        <w:tc>
          <w:tcPr>
            <w:tcW w:w="3680" w:type="dxa"/>
            <w:vAlign w:val="bottom"/>
            <w:tcBorders>
              <w:bottom w:val="single" w:sz="8" w:color="CCEEFF"/>
            </w:tcBorders>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Total Private Portfolio Companies</w:t>
            </w:r>
          </w:p>
        </w:tc>
        <w:tc>
          <w:tcPr>
            <w:tcW w:w="8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225,537,002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191,239,437</w:t>
            </w:r>
          </w:p>
        </w:tc>
        <w:tc>
          <w:tcPr>
            <w:tcW w:w="3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121.9</w:t>
            </w:r>
          </w:p>
        </w:tc>
        <w:tc>
          <w:tcPr>
            <w:tcW w:w="340" w:type="dxa"/>
            <w:vAlign w:val="bottom"/>
            <w:tcBorders>
              <w:bottom w:val="single" w:sz="8" w:color="CCEEFF"/>
            </w:tcBorders>
          </w:tcPr>
          <w:p>
            <w:pPr>
              <w:jc w:val="right"/>
              <w:ind w:right="14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234,233,007</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121.7</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67"/>
        </w:trPr>
        <w:tc>
          <w:tcPr>
            <w:tcW w:w="36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8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3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31,809,165</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21,924,672</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14.0%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21,805,582</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16,154,290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87"/>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771,065</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413,089</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771,065</w:t>
            </w:r>
          </w:p>
        </w:tc>
        <w:tc>
          <w:tcPr>
            <w:tcW w:w="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1,436,830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167"/>
        </w:trPr>
        <w:tc>
          <w:tcPr>
            <w:tcW w:w="3680" w:type="dxa"/>
            <w:vAlign w:val="bottom"/>
            <w:tcBorders>
              <w:bottom w:val="single" w:sz="8" w:color="CCEEFF"/>
            </w:tcBorders>
          </w:tcPr>
          <w:p>
            <w:pPr>
              <w:ind w:left="160"/>
              <w:spacing w:after="0" w:line="168" w:lineRule="exact"/>
              <w:rPr>
                <w:sz w:val="20"/>
                <w:szCs w:val="20"/>
                <w:color w:val="auto"/>
              </w:rPr>
            </w:pPr>
            <w:r>
              <w:rPr>
                <w:rFonts w:ascii="Times New Roman" w:cs="Times New Roman" w:eastAsia="Times New Roman" w:hAnsi="Times New Roman"/>
                <w:sz w:val="15"/>
                <w:szCs w:val="15"/>
                <w:b w:val="1"/>
                <w:bCs w:val="1"/>
                <w:color w:val="auto"/>
              </w:rPr>
              <w:t>Total Publicly Traded Portfolio Companies</w:t>
            </w:r>
          </w:p>
        </w:tc>
        <w:tc>
          <w:tcPr>
            <w:tcW w:w="8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32,580,230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22,337,761</w:t>
            </w:r>
          </w:p>
        </w:tc>
        <w:tc>
          <w:tcPr>
            <w:tcW w:w="3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14.3</w:t>
            </w:r>
          </w:p>
        </w:tc>
        <w:tc>
          <w:tcPr>
            <w:tcW w:w="340" w:type="dxa"/>
            <w:vAlign w:val="bottom"/>
            <w:tcBorders>
              <w:bottom w:val="single" w:sz="8" w:color="CCEEFF"/>
            </w:tcBorders>
          </w:tcPr>
          <w:p>
            <w:pPr>
              <w:jc w:val="right"/>
              <w:ind w:right="14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22,576,647</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17,591,120</w:t>
            </w:r>
          </w:p>
        </w:tc>
        <w:tc>
          <w:tcPr>
            <w:tcW w:w="3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11.2</w:t>
            </w:r>
          </w:p>
        </w:tc>
        <w:tc>
          <w:tcPr>
            <w:tcW w:w="140" w:type="dxa"/>
            <w:vAlign w:val="bottom"/>
            <w:tcBorders>
              <w:bottom w:val="single" w:sz="8" w:color="CCEEFF"/>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r>
      <w:tr>
        <w:trPr>
          <w:trHeight w:val="179"/>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8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$ 258,117,232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$ 213,577,198</w:t>
            </w: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340" w:type="dxa"/>
            <w:vAlign w:val="bottom"/>
            <w:tcBorders>
              <w:bottom w:val="single" w:sz="8" w:color="CCEEFF"/>
            </w:tcBorders>
            <w:shd w:val="clear" w:color="auto" w:fill="CCEEFF"/>
          </w:tcPr>
          <w:p>
            <w:pPr>
              <w:jc w:val="right"/>
              <w:ind w:right="1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$ 256,809,654</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$ 209,380,742</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14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3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380" w:hanging="372"/>
        <w:spacing w:after="0" w:line="248" w:lineRule="auto"/>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 As of December 31, 2024, 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3" w:lineRule="exact"/>
        <w:rPr>
          <w:rFonts w:ascii="Times New Roman" w:cs="Times New Roman" w:eastAsia="Times New Roman" w:hAnsi="Times New Roman"/>
          <w:sz w:val="15"/>
          <w:szCs w:val="15"/>
          <w:color w:val="auto"/>
        </w:rPr>
      </w:pPr>
    </w:p>
    <w:p>
      <w:pPr>
        <w:jc w:val="both"/>
        <w:ind w:left="380" w:hanging="372"/>
        <w:spacing w:after="0" w:line="245" w:lineRule="auto"/>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Common Stock also includes the Company’s Limited Partner Fund Investment in True Global Ventures 4 Plus Pte Ltd. and the Company’s investment in the Class A Interest of CW Opportunity 2 LP which is invested in Class A common stock. As of December 31, 2024, Common Stock also includes the Company’s Limited Partner Fund Investment in True Global Ventures 4 Plus Pte Ltd.</w:t>
      </w:r>
    </w:p>
    <w:p>
      <w:pPr>
        <w:spacing w:after="0" w:line="1" w:lineRule="exact"/>
        <w:rPr>
          <w:rFonts w:ascii="Times New Roman" w:cs="Times New Roman" w:eastAsia="Times New Roman" w:hAnsi="Times New Roman"/>
          <w:sz w:val="15"/>
          <w:szCs w:val="15"/>
          <w:color w:val="auto"/>
        </w:rPr>
      </w:pPr>
    </w:p>
    <w:p>
      <w:pPr>
        <w:jc w:val="both"/>
        <w:ind w:left="380" w:hanging="372"/>
        <w:spacing w:after="0" w:line="248" w:lineRule="auto"/>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Options also includes the Company’s investments in the SAFEs of Orchard Technologies, Inc., PayJoy, Inc., Stake Trade, Inc. (d/b/a Prophet Exchange), and Whoop, Inc. As of December 31, 2024, Options also includes the Company’s investments in the SAFEs of Commercial Streaming Solutions Inc. (d/b/a BettorView), PayJoy, Inc., and Stake Trade, Inc. (d/b/a Prophet Exchange).</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geographic and industrial compositions of the Company’s portfolio at fair value as of March 31, 2025 and December 31, 2024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98"/>
              </w:rPr>
              <w:t>As of March 31, 2025</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w w:val="98"/>
              </w:rPr>
              <w:t>As of December 31, 2024</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right="286"/>
              <w:spacing w:after="0" w:line="151" w:lineRule="exact"/>
              <w:rPr>
                <w:sz w:val="20"/>
                <w:szCs w:val="20"/>
                <w:color w:val="auto"/>
              </w:rPr>
            </w:pPr>
            <w:r>
              <w:rPr>
                <w:rFonts w:ascii="Times New Roman" w:cs="Times New Roman" w:eastAsia="Times New Roman" w:hAnsi="Times New Roman"/>
                <w:sz w:val="15"/>
                <w:szCs w:val="15"/>
                <w:b w:val="1"/>
                <w:bCs w:val="1"/>
                <w:color w:val="auto"/>
                <w:w w:val="98"/>
              </w:rPr>
              <w:t>Percentage</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center"/>
              <w:ind w:right="380"/>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30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020" w:type="dxa"/>
            <w:vAlign w:val="bottom"/>
            <w:gridSpan w:val="2"/>
          </w:tcPr>
          <w:p>
            <w:pPr>
              <w:jc w:val="center"/>
              <w:ind w:right="18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80" w:type="dxa"/>
            <w:vAlign w:val="bottom"/>
            <w:gridSpan w:val="2"/>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320" w:type="dxa"/>
            <w:vAlign w:val="bottom"/>
          </w:tcPr>
          <w:p>
            <w:pPr>
              <w:spacing w:after="0"/>
              <w:rPr>
                <w:sz w:val="16"/>
                <w:szCs w:val="16"/>
                <w:color w:val="auto"/>
              </w:rPr>
            </w:pPr>
          </w:p>
        </w:tc>
        <w:tc>
          <w:tcPr>
            <w:tcW w:w="114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b w:val="1"/>
                <w:bCs w:val="1"/>
                <w:color w:val="auto"/>
                <w:w w:val="95"/>
              </w:rPr>
              <w:t>Portfolio</w:t>
            </w:r>
          </w:p>
        </w:tc>
        <w:tc>
          <w:tcPr>
            <w:tcW w:w="1020" w:type="dxa"/>
            <w:vAlign w:val="bottom"/>
            <w:gridSpan w:val="2"/>
          </w:tcPr>
          <w:p>
            <w:pPr>
              <w:jc w:val="center"/>
              <w:ind w:right="18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880" w:type="dxa"/>
            <w:vAlign w:val="bottom"/>
            <w:gridSpan w:val="2"/>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0" w:type="dxa"/>
            <w:vAlign w:val="bottom"/>
          </w:tcPr>
          <w:p>
            <w:pPr>
              <w:spacing w:after="0"/>
              <w:rPr>
                <w:sz w:val="1"/>
                <w:szCs w:val="1"/>
                <w:color w:val="auto"/>
              </w:rPr>
            </w:pPr>
          </w:p>
        </w:tc>
      </w:tr>
      <w:tr>
        <w:trPr>
          <w:trHeight w:val="168"/>
        </w:trPr>
        <w:tc>
          <w:tcPr>
            <w:tcW w:w="38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Geographic Region</w:t>
            </w:r>
          </w:p>
        </w:tc>
        <w:tc>
          <w:tcPr>
            <w:tcW w:w="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Northeast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72,166,042</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33.8%</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46.0%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72,100,161</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34.4%</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58,727,480</w:t>
            </w:r>
          </w:p>
        </w:tc>
        <w:tc>
          <w:tcPr>
            <w:tcW w:w="146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27.5%</w:t>
            </w:r>
          </w:p>
        </w:tc>
        <w:tc>
          <w:tcPr>
            <w:tcW w:w="10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61,124,969</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29.2%</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Southeast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38,426,779</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18.0%</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20,675,077</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9.9%</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Midwest</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27,361,086</w:t>
            </w:r>
          </w:p>
        </w:tc>
        <w:tc>
          <w:tcPr>
            <w:tcW w:w="146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12.8%</w:t>
            </w:r>
          </w:p>
        </w:tc>
        <w:tc>
          <w:tcPr>
            <w:tcW w:w="10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37,261,207</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17.8%</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16,895,811</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7.9%</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18,219,328</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79"/>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213,577,198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240" w:type="dxa"/>
            <w:vAlign w:val="bottom"/>
            <w:tcBorders>
              <w:top w:val="single" w:sz="8" w:color="CCEEFF"/>
              <w:bottom w:val="single" w:sz="8" w:color="CCEEFF"/>
            </w:tcBorders>
            <w:shd w:val="clear" w:color="auto" w:fill="CCEEFF"/>
          </w:tcPr>
          <w:p>
            <w:pPr>
              <w:jc w:val="right"/>
              <w:ind w:right="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Borders>
              <w:top w:val="single" w:sz="8" w:color="CCEEFF"/>
              <w:bottom w:val="single" w:sz="8" w:color="CCEEFF"/>
            </w:tcBorders>
            <w:shd w:val="clear" w:color="auto" w:fill="CCEEFF"/>
          </w:tcPr>
          <w:p>
            <w:pPr>
              <w:jc w:val="right"/>
              <w:ind w:right="1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140" w:type="dxa"/>
            <w:vAlign w:val="bottom"/>
            <w:tcBorders>
              <w:top w:val="single" w:sz="8" w:color="CCEEFF"/>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98"/>
              </w:rPr>
              <w:t>As of March 31, 2025</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w w:val="98"/>
              </w:rPr>
              <w:t>As of December 31, 2024</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right="286"/>
              <w:spacing w:after="0" w:line="151" w:lineRule="exact"/>
              <w:rPr>
                <w:sz w:val="20"/>
                <w:szCs w:val="20"/>
                <w:color w:val="auto"/>
              </w:rPr>
            </w:pPr>
            <w:r>
              <w:rPr>
                <w:rFonts w:ascii="Times New Roman" w:cs="Times New Roman" w:eastAsia="Times New Roman" w:hAnsi="Times New Roman"/>
                <w:sz w:val="15"/>
                <w:szCs w:val="15"/>
                <w:b w:val="1"/>
                <w:bCs w:val="1"/>
                <w:color w:val="auto"/>
                <w:w w:val="98"/>
              </w:rPr>
              <w:t>Percentage</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center"/>
              <w:ind w:right="380"/>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4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30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020" w:type="dxa"/>
            <w:vAlign w:val="bottom"/>
            <w:gridSpan w:val="2"/>
          </w:tcPr>
          <w:p>
            <w:pPr>
              <w:jc w:val="center"/>
              <w:ind w:right="18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80" w:type="dxa"/>
            <w:vAlign w:val="bottom"/>
            <w:gridSpan w:val="2"/>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320" w:type="dxa"/>
            <w:vAlign w:val="bottom"/>
          </w:tcPr>
          <w:p>
            <w:pPr>
              <w:spacing w:after="0"/>
              <w:rPr>
                <w:sz w:val="16"/>
                <w:szCs w:val="16"/>
                <w:color w:val="auto"/>
              </w:rPr>
            </w:pPr>
          </w:p>
        </w:tc>
        <w:tc>
          <w:tcPr>
            <w:tcW w:w="1140" w:type="dxa"/>
            <w:vAlign w:val="bottom"/>
            <w:gridSpan w:val="2"/>
          </w:tcPr>
          <w:p>
            <w:pPr>
              <w:jc w:val="center"/>
              <w:ind w:right="286"/>
              <w:spacing w:after="0"/>
              <w:rPr>
                <w:sz w:val="20"/>
                <w:szCs w:val="20"/>
                <w:color w:val="auto"/>
              </w:rPr>
            </w:pPr>
            <w:r>
              <w:rPr>
                <w:rFonts w:ascii="Times New Roman" w:cs="Times New Roman" w:eastAsia="Times New Roman" w:hAnsi="Times New Roman"/>
                <w:sz w:val="15"/>
                <w:szCs w:val="15"/>
                <w:b w:val="1"/>
                <w:bCs w:val="1"/>
                <w:color w:val="auto"/>
                <w:w w:val="95"/>
              </w:rPr>
              <w:t>Portfolio</w:t>
            </w:r>
          </w:p>
        </w:tc>
        <w:tc>
          <w:tcPr>
            <w:tcW w:w="1020" w:type="dxa"/>
            <w:vAlign w:val="bottom"/>
            <w:gridSpan w:val="2"/>
          </w:tcPr>
          <w:p>
            <w:pPr>
              <w:jc w:val="center"/>
              <w:ind w:right="18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880" w:type="dxa"/>
            <w:vAlign w:val="bottom"/>
            <w:gridSpan w:val="2"/>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0" w:type="dxa"/>
            <w:vAlign w:val="bottom"/>
          </w:tcPr>
          <w:p>
            <w:pPr>
              <w:spacing w:after="0"/>
              <w:rPr>
                <w:sz w:val="1"/>
                <w:szCs w:val="1"/>
                <w:color w:val="auto"/>
              </w:rPr>
            </w:pPr>
          </w:p>
        </w:tc>
      </w:tr>
      <w:tr>
        <w:trPr>
          <w:trHeight w:val="168"/>
        </w:trPr>
        <w:tc>
          <w:tcPr>
            <w:tcW w:w="38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Industry</w:t>
            </w:r>
          </w:p>
        </w:tc>
        <w:tc>
          <w:tcPr>
            <w:tcW w:w="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Artificial Intelligence Infrastructure &amp; Applications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59,297,192</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27.7%</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37.8%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58,072,060</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27.7%</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Software-as-a-Service</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46,326,421</w:t>
            </w:r>
          </w:p>
        </w:tc>
        <w:tc>
          <w:tcPr>
            <w:tcW w:w="146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21.7%</w:t>
            </w:r>
          </w:p>
        </w:tc>
        <w:tc>
          <w:tcPr>
            <w:tcW w:w="10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49,225,370</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23.5%</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Consumer Goods &amp; Services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35,853,025</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16.8%</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30,351,636</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14.5%</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Technology &amp; Services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25,527,026</w:t>
            </w:r>
          </w:p>
        </w:tc>
        <w:tc>
          <w:tcPr>
            <w:tcW w:w="146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12.0%</w:t>
            </w:r>
          </w:p>
        </w:tc>
        <w:tc>
          <w:tcPr>
            <w:tcW w:w="10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17,192,986</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8.2%</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Education Technology</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25,257,884</w:t>
            </w: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11.8%</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27,327,100</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13.1%</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Logistics &amp; Supply Chain</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17,294,955</w:t>
            </w:r>
          </w:p>
        </w:tc>
        <w:tc>
          <w:tcPr>
            <w:tcW w:w="146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8.1%</w:t>
            </w:r>
          </w:p>
        </w:tc>
        <w:tc>
          <w:tcPr>
            <w:tcW w:w="10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23,033,237</w:t>
            </w:r>
          </w:p>
        </w:tc>
        <w:tc>
          <w:tcPr>
            <w:tcW w:w="11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11.0%</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SuRo Sports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4,020,695</w:t>
            </w:r>
          </w:p>
        </w:tc>
        <w:tc>
          <w:tcPr>
            <w:tcW w:w="20" w:type="dxa"/>
            <w:vAlign w:val="bottom"/>
          </w:tcPr>
          <w:p>
            <w:pPr>
              <w:spacing w:after="0"/>
              <w:rPr>
                <w:sz w:val="16"/>
                <w:szCs w:val="16"/>
                <w:color w:val="auto"/>
              </w:rPr>
            </w:pPr>
          </w:p>
        </w:tc>
        <w:tc>
          <w:tcPr>
            <w:tcW w:w="1460" w:type="dxa"/>
            <w:vAlign w:val="bottom"/>
            <w:gridSpan w:val="3"/>
          </w:tcPr>
          <w:p>
            <w:pPr>
              <w:jc w:val="right"/>
              <w:ind w:right="166"/>
              <w:spacing w:after="0"/>
              <w:rPr>
                <w:sz w:val="20"/>
                <w:szCs w:val="20"/>
                <w:color w:val="auto"/>
              </w:rPr>
            </w:pPr>
            <w:r>
              <w:rPr>
                <w:rFonts w:ascii="Times New Roman" w:cs="Times New Roman" w:eastAsia="Times New Roman" w:hAnsi="Times New Roman"/>
                <w:sz w:val="15"/>
                <w:szCs w:val="15"/>
                <w:color w:val="auto"/>
              </w:rPr>
              <w:t>1.9%</w:t>
            </w:r>
          </w:p>
        </w:tc>
        <w:tc>
          <w:tcPr>
            <w:tcW w:w="10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4,178,353</w:t>
            </w: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2.0%</w:t>
            </w:r>
          </w:p>
        </w:tc>
        <w:tc>
          <w:tcPr>
            <w:tcW w:w="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79"/>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213,577,198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240" w:type="dxa"/>
            <w:vAlign w:val="bottom"/>
            <w:tcBorders>
              <w:top w:val="single" w:sz="8" w:color="CCEEFF"/>
              <w:bottom w:val="single" w:sz="8" w:color="CCEEFF"/>
            </w:tcBorders>
            <w:shd w:val="clear" w:color="auto" w:fill="CCEEFF"/>
          </w:tcPr>
          <w:p>
            <w:pPr>
              <w:jc w:val="right"/>
              <w:ind w:right="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Borders>
              <w:top w:val="single" w:sz="8" w:color="CCEEFF"/>
              <w:bottom w:val="single" w:sz="8" w:color="CCEEFF"/>
            </w:tcBorders>
            <w:shd w:val="clear" w:color="auto" w:fill="CCEEFF"/>
          </w:tcPr>
          <w:p>
            <w:pPr>
              <w:jc w:val="right"/>
              <w:ind w:right="1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140" w:type="dxa"/>
            <w:vAlign w:val="bottom"/>
            <w:tcBorders>
              <w:top w:val="single" w:sz="8" w:color="CCEEFF"/>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SURO CAPITAL CORP. AND</w:t>
      </w:r>
    </w:p>
    <w:p>
      <w:pPr>
        <w:spacing w:after="0" w:line="1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SUBSIDIARIES NOTES TO CONDENSED CONSOLIDATED FINANCIAL STATEMENTS</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details the composition of the Company’s industrial themes presented in the preceding tables:</w:t>
      </w:r>
    </w:p>
    <w:p>
      <w:pPr>
        <w:sectPr>
          <w:pgSz w:w="11900" w:h="16838" w:orient="portrait"/>
          <w:cols w:equalWidth="0" w:num="1">
            <w:col w:w="10159"/>
          </w:cols>
          <w:pgMar w:left="300" w:top="213" w:right="1440"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 Theme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Artificial Intelligence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7241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&amp; Applications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Consumer Goods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Logistics &amp;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SuRo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7241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241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Application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AI Infrastructure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Infrastructure Fund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E-Commerce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Fitness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Lifestyle Beverage Brand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Micromobility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Interactive Learning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Education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Carbon Credit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Mobile Access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Marketplace Finance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Real Estate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Special Purpose Acquisition 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Venture Investment Fund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Supply Chain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Warehouse Automation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Contractor Management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Home Improvement Finance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Knowledge Networks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Pharmaceutical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Productivity Software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Retail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 Data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Gaming 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429323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Gaming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Geolocation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Interactive Media &amp;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Sports Betting</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12065</wp:posOffset>
            </wp:positionV>
            <wp:extent cx="715772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2">
            <w:col w:w="3800" w:space="720"/>
            <w:col w:w="5639"/>
          </w:cols>
          <w:pgMar w:left="300" w:top="213"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Valuation Inputs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fair values of the Company’s investments disaggregated into the three levels of the fair value hierarchy based upon the lowest level of significant input used in the valuation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2025 and December 31,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5"/>
                <w:szCs w:val="15"/>
                <w:b w:val="1"/>
                <w:bCs w:val="1"/>
                <w:color w:val="auto"/>
              </w:rPr>
              <w:t>As of March 31, 2025</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1"/>
        </w:trPr>
        <w:tc>
          <w:tcPr>
            <w:tcW w:w="3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5"/>
                <w:szCs w:val="15"/>
                <w:b w:val="1"/>
                <w:bCs w:val="1"/>
                <w:color w:val="auto"/>
                <w:w w:val="97"/>
              </w:rPr>
              <w:t>Quoted Prices in</w:t>
            </w:r>
          </w:p>
        </w:tc>
        <w:tc>
          <w:tcPr>
            <w:tcW w:w="100" w:type="dxa"/>
            <w:vAlign w:val="bottom"/>
          </w:tcPr>
          <w:p>
            <w:pPr>
              <w:spacing w:after="0"/>
              <w:rPr>
                <w:sz w:val="13"/>
                <w:szCs w:val="13"/>
                <w:color w:val="auto"/>
              </w:rPr>
            </w:pPr>
          </w:p>
        </w:tc>
        <w:tc>
          <w:tcPr>
            <w:tcW w:w="1560" w:type="dxa"/>
            <w:vAlign w:val="bottom"/>
            <w:gridSpan w:val="2"/>
          </w:tcPr>
          <w:p>
            <w:pPr>
              <w:jc w:val="center"/>
              <w:ind w:right="440"/>
              <w:spacing w:after="0" w:line="151" w:lineRule="exact"/>
              <w:rPr>
                <w:sz w:val="20"/>
                <w:szCs w:val="20"/>
                <w:color w:val="auto"/>
              </w:rPr>
            </w:pPr>
            <w:r>
              <w:rPr>
                <w:rFonts w:ascii="Times New Roman" w:cs="Times New Roman" w:eastAsia="Times New Roman" w:hAnsi="Times New Roman"/>
                <w:sz w:val="15"/>
                <w:szCs w:val="15"/>
                <w:b w:val="1"/>
                <w:bCs w:val="1"/>
                <w:color w:val="auto"/>
                <w:w w:val="97"/>
              </w:rPr>
              <w:t>Significant Other</w:t>
            </w:r>
          </w:p>
        </w:tc>
        <w:tc>
          <w:tcPr>
            <w:tcW w:w="160" w:type="dxa"/>
            <w:vAlign w:val="bottom"/>
          </w:tcPr>
          <w:p>
            <w:pPr>
              <w:spacing w:after="0"/>
              <w:rPr>
                <w:sz w:val="13"/>
                <w:szCs w:val="13"/>
                <w:color w:val="auto"/>
              </w:rPr>
            </w:pPr>
          </w:p>
        </w:tc>
        <w:tc>
          <w:tcPr>
            <w:tcW w:w="1520" w:type="dxa"/>
            <w:vAlign w:val="bottom"/>
            <w:gridSpan w:val="2"/>
          </w:tcPr>
          <w:p>
            <w:pPr>
              <w:jc w:val="center"/>
              <w:ind w:right="480"/>
              <w:spacing w:after="0" w:line="151" w:lineRule="exact"/>
              <w:rPr>
                <w:sz w:val="20"/>
                <w:szCs w:val="20"/>
                <w:color w:val="auto"/>
              </w:rPr>
            </w:pPr>
            <w:r>
              <w:rPr>
                <w:rFonts w:ascii="Times New Roman" w:cs="Times New Roman" w:eastAsia="Times New Roman" w:hAnsi="Times New Roman"/>
                <w:sz w:val="15"/>
                <w:szCs w:val="15"/>
                <w:b w:val="1"/>
                <w:bCs w:val="1"/>
                <w:color w:val="auto"/>
                <w:w w:val="98"/>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Active Markets for</w:t>
            </w:r>
          </w:p>
        </w:tc>
        <w:tc>
          <w:tcPr>
            <w:tcW w:w="10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16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7"/>
              </w:rPr>
              <w:t>Identical Securities</w:t>
            </w:r>
          </w:p>
        </w:tc>
        <w:tc>
          <w:tcPr>
            <w:tcW w:w="10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6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3"/>
        </w:trPr>
        <w:tc>
          <w:tcPr>
            <w:tcW w:w="3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0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6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300" w:type="dxa"/>
            <w:vAlign w:val="bottom"/>
          </w:tcPr>
          <w:p>
            <w:pPr>
              <w:spacing w:after="0"/>
              <w:rPr>
                <w:sz w:val="16"/>
                <w:szCs w:val="16"/>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8"/>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3540" w:type="dxa"/>
            <w:vAlign w:val="bottom"/>
            <w:shd w:val="clear" w:color="auto" w:fill="CCEEFF"/>
          </w:tcPr>
          <w:p>
            <w:pPr>
              <w:ind w:left="160"/>
              <w:spacing w:after="0" w:line="210"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140,040,964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140,040,964</w:t>
            </w:r>
          </w:p>
        </w:tc>
        <w:tc>
          <w:tcPr>
            <w:tcW w:w="120" w:type="dxa"/>
            <w:vAlign w:val="bottom"/>
            <w:shd w:val="clear" w:color="auto" w:fill="CCEEFF"/>
          </w:tcPr>
          <w:p>
            <w:pPr>
              <w:spacing w:after="0"/>
              <w:rPr>
                <w:sz w:val="18"/>
                <w:szCs w:val="18"/>
                <w:color w:val="auto"/>
              </w:rPr>
            </w:pPr>
          </w:p>
        </w:tc>
      </w:tr>
      <w:tr>
        <w:trPr>
          <w:trHeight w:val="210"/>
        </w:trPr>
        <w:tc>
          <w:tcPr>
            <w:tcW w:w="3540" w:type="dxa"/>
            <w:vAlign w:val="bottom"/>
          </w:tcPr>
          <w:p>
            <w:pPr>
              <w:ind w:left="160"/>
              <w:spacing w:after="0" w:line="210"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45,370,853</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45,370,853</w:t>
            </w:r>
          </w:p>
        </w:tc>
      </w:tr>
      <w:tr>
        <w:trPr>
          <w:trHeight w:val="176"/>
        </w:trPr>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506,339</w:t>
            </w:r>
          </w:p>
        </w:tc>
      </w:tr>
      <w:tr>
        <w:trPr>
          <w:trHeight w:val="221"/>
        </w:trPr>
        <w:tc>
          <w:tcPr>
            <w:tcW w:w="3540" w:type="dxa"/>
            <w:vAlign w:val="bottom"/>
          </w:tcPr>
          <w:p>
            <w:pPr>
              <w:ind w:left="160"/>
              <w:spacing w:after="0" w:line="220"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5,321,281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5,321,281</w:t>
            </w:r>
          </w:p>
        </w:tc>
        <w:tc>
          <w:tcPr>
            <w:tcW w:w="120" w:type="dxa"/>
            <w:vAlign w:val="bottom"/>
          </w:tcPr>
          <w:p>
            <w:pPr>
              <w:spacing w:after="0"/>
              <w:rPr>
                <w:sz w:val="19"/>
                <w:szCs w:val="19"/>
                <w:color w:val="auto"/>
              </w:rPr>
            </w:pPr>
          </w:p>
        </w:tc>
      </w:tr>
      <w:tr>
        <w:trPr>
          <w:trHeight w:val="167"/>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191,239,437</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191,239,437</w:t>
            </w:r>
          </w:p>
        </w:tc>
        <w:tc>
          <w:tcPr>
            <w:tcW w:w="120" w:type="dxa"/>
            <w:vAlign w:val="bottom"/>
            <w:tcBorders>
              <w:top w:val="single" w:sz="8" w:color="CCEEFF"/>
            </w:tcBorders>
            <w:shd w:val="clear" w:color="auto" w:fill="CCEEFF"/>
          </w:tcPr>
          <w:p>
            <w:pPr>
              <w:spacing w:after="0"/>
              <w:rPr>
                <w:sz w:val="14"/>
                <w:szCs w:val="14"/>
                <w:color w:val="auto"/>
              </w:rPr>
            </w:pPr>
          </w:p>
        </w:tc>
      </w:tr>
      <w:tr>
        <w:trPr>
          <w:trHeight w:val="167"/>
        </w:trPr>
        <w:tc>
          <w:tcPr>
            <w:tcW w:w="354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1,518,262</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20,406,410</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21,924,672</w:t>
            </w:r>
          </w:p>
        </w:tc>
      </w:tr>
      <w:tr>
        <w:trPr>
          <w:trHeight w:val="187"/>
        </w:trPr>
        <w:tc>
          <w:tcPr>
            <w:tcW w:w="3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413,089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413,089</w:t>
            </w:r>
          </w:p>
        </w:tc>
      </w:tr>
      <w:tr>
        <w:trPr>
          <w:trHeight w:val="167"/>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1,931,351</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20,406,410</w:t>
            </w: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22,337,761</w:t>
            </w:r>
          </w:p>
        </w:tc>
        <w:tc>
          <w:tcPr>
            <w:tcW w:w="120" w:type="dxa"/>
            <w:vAlign w:val="bottom"/>
            <w:tcBorders>
              <w:top w:val="single" w:sz="8" w:color="CCEEFF"/>
            </w:tcBorders>
            <w:shd w:val="clear" w:color="auto" w:fill="CCEEFF"/>
          </w:tcPr>
          <w:p>
            <w:pPr>
              <w:spacing w:after="0"/>
              <w:rPr>
                <w:sz w:val="14"/>
                <w:szCs w:val="14"/>
                <w:color w:val="auto"/>
              </w:rPr>
            </w:pPr>
          </w:p>
        </w:tc>
      </w:tr>
      <w:tr>
        <w:trPr>
          <w:trHeight w:val="179"/>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2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1,931,351</w:t>
            </w:r>
          </w:p>
        </w:tc>
        <w:tc>
          <w:tcPr>
            <w:tcW w:w="3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20,406,410</w:t>
            </w:r>
          </w:p>
        </w:tc>
        <w:tc>
          <w:tcPr>
            <w:tcW w:w="32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191,239,437</w:t>
            </w:r>
          </w:p>
        </w:tc>
        <w:tc>
          <w:tcPr>
            <w:tcW w:w="320" w:type="dxa"/>
            <w:vAlign w:val="bottom"/>
          </w:tcPr>
          <w:p>
            <w:pPr>
              <w:spacing w:after="0"/>
              <w:rPr>
                <w:sz w:val="15"/>
                <w:szCs w:val="15"/>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213,577,198</w:t>
            </w:r>
          </w:p>
        </w:tc>
        <w:tc>
          <w:tcPr>
            <w:tcW w:w="12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ind w:left="380" w:right="20" w:hanging="372"/>
        <w:spacing w:after="0" w:line="273"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4"/>
          <w:szCs w:val="14"/>
          <w:color w:val="auto"/>
        </w:rPr>
      </w:pPr>
    </w:p>
    <w:p>
      <w:pPr>
        <w:ind w:left="380" w:hanging="372"/>
        <w:spacing w:after="0" w:line="245" w:lineRule="auto"/>
        <w:tabs>
          <w:tab w:leader="none" w:pos="3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 and the Company’s investment in the Class A Interest of CW Opportunity 2 LP which is invested in Class A common stock.</w:t>
      </w:r>
    </w:p>
    <w:p>
      <w:pPr>
        <w:ind w:left="380" w:hanging="372"/>
        <w:spacing w:after="0"/>
        <w:tabs>
          <w:tab w:leader="none" w:pos="3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Orchard Technologies, Inc., PayJoy, Inc., Stake Trade, Inc. (d/b/a Prophet Exchange), and Whoop, Inc.</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1"/>
        </w:trPr>
        <w:tc>
          <w:tcPr>
            <w:tcW w:w="3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5"/>
                <w:szCs w:val="15"/>
                <w:b w:val="1"/>
                <w:bCs w:val="1"/>
                <w:color w:val="auto"/>
                <w:w w:val="97"/>
              </w:rPr>
              <w:t>Quoted Prices in</w:t>
            </w:r>
          </w:p>
        </w:tc>
        <w:tc>
          <w:tcPr>
            <w:tcW w:w="100" w:type="dxa"/>
            <w:vAlign w:val="bottom"/>
          </w:tcPr>
          <w:p>
            <w:pPr>
              <w:spacing w:after="0"/>
              <w:rPr>
                <w:sz w:val="13"/>
                <w:szCs w:val="13"/>
                <w:color w:val="auto"/>
              </w:rPr>
            </w:pPr>
          </w:p>
        </w:tc>
        <w:tc>
          <w:tcPr>
            <w:tcW w:w="1560" w:type="dxa"/>
            <w:vAlign w:val="bottom"/>
            <w:gridSpan w:val="2"/>
          </w:tcPr>
          <w:p>
            <w:pPr>
              <w:jc w:val="center"/>
              <w:ind w:right="440"/>
              <w:spacing w:after="0" w:line="151" w:lineRule="exact"/>
              <w:rPr>
                <w:sz w:val="20"/>
                <w:szCs w:val="20"/>
                <w:color w:val="auto"/>
              </w:rPr>
            </w:pPr>
            <w:r>
              <w:rPr>
                <w:rFonts w:ascii="Times New Roman" w:cs="Times New Roman" w:eastAsia="Times New Roman" w:hAnsi="Times New Roman"/>
                <w:sz w:val="15"/>
                <w:szCs w:val="15"/>
                <w:b w:val="1"/>
                <w:bCs w:val="1"/>
                <w:color w:val="auto"/>
                <w:w w:val="97"/>
              </w:rPr>
              <w:t>Significant Other</w:t>
            </w:r>
          </w:p>
        </w:tc>
        <w:tc>
          <w:tcPr>
            <w:tcW w:w="160" w:type="dxa"/>
            <w:vAlign w:val="bottom"/>
          </w:tcPr>
          <w:p>
            <w:pPr>
              <w:spacing w:after="0"/>
              <w:rPr>
                <w:sz w:val="13"/>
                <w:szCs w:val="13"/>
                <w:color w:val="auto"/>
              </w:rPr>
            </w:pPr>
          </w:p>
        </w:tc>
        <w:tc>
          <w:tcPr>
            <w:tcW w:w="1520" w:type="dxa"/>
            <w:vAlign w:val="bottom"/>
            <w:gridSpan w:val="2"/>
          </w:tcPr>
          <w:p>
            <w:pPr>
              <w:jc w:val="center"/>
              <w:ind w:right="480"/>
              <w:spacing w:after="0" w:line="151" w:lineRule="exact"/>
              <w:rPr>
                <w:sz w:val="20"/>
                <w:szCs w:val="20"/>
                <w:color w:val="auto"/>
              </w:rPr>
            </w:pPr>
            <w:r>
              <w:rPr>
                <w:rFonts w:ascii="Times New Roman" w:cs="Times New Roman" w:eastAsia="Times New Roman" w:hAnsi="Times New Roman"/>
                <w:sz w:val="15"/>
                <w:szCs w:val="15"/>
                <w:b w:val="1"/>
                <w:bCs w:val="1"/>
                <w:color w:val="auto"/>
                <w:w w:val="98"/>
              </w:rPr>
              <w:t>Significant</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Active Markets for</w:t>
            </w:r>
          </w:p>
        </w:tc>
        <w:tc>
          <w:tcPr>
            <w:tcW w:w="10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16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7"/>
              </w:rPr>
              <w:t>Identical Securities</w:t>
            </w:r>
          </w:p>
        </w:tc>
        <w:tc>
          <w:tcPr>
            <w:tcW w:w="10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6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3"/>
        </w:trPr>
        <w:tc>
          <w:tcPr>
            <w:tcW w:w="3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0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6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300" w:type="dxa"/>
            <w:vAlign w:val="bottom"/>
          </w:tcPr>
          <w:p>
            <w:pPr>
              <w:spacing w:after="0"/>
              <w:rPr>
                <w:sz w:val="16"/>
                <w:szCs w:val="16"/>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8"/>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3540" w:type="dxa"/>
            <w:vAlign w:val="bottom"/>
            <w:shd w:val="clear" w:color="auto" w:fill="CCEEFF"/>
          </w:tcPr>
          <w:p>
            <w:pPr>
              <w:ind w:left="160"/>
              <w:spacing w:after="0" w:line="210"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120" w:type="dxa"/>
            <w:vAlign w:val="bottom"/>
            <w:shd w:val="clear" w:color="auto" w:fill="CCEEFF"/>
          </w:tcPr>
          <w:p>
            <w:pPr>
              <w:spacing w:after="0"/>
              <w:rPr>
                <w:sz w:val="18"/>
                <w:szCs w:val="18"/>
                <w:color w:val="auto"/>
              </w:rPr>
            </w:pPr>
          </w:p>
        </w:tc>
      </w:tr>
      <w:tr>
        <w:trPr>
          <w:trHeight w:val="210"/>
        </w:trPr>
        <w:tc>
          <w:tcPr>
            <w:tcW w:w="3540" w:type="dxa"/>
            <w:vAlign w:val="bottom"/>
          </w:tcPr>
          <w:p>
            <w:pPr>
              <w:ind w:left="160"/>
              <w:spacing w:after="0" w:line="210"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35,922,154</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35,922,154</w:t>
            </w:r>
          </w:p>
        </w:tc>
      </w:tr>
      <w:tr>
        <w:trPr>
          <w:trHeight w:val="176"/>
        </w:trPr>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506,339</w:t>
            </w:r>
          </w:p>
        </w:tc>
      </w:tr>
      <w:tr>
        <w:trPr>
          <w:trHeight w:val="221"/>
        </w:trPr>
        <w:tc>
          <w:tcPr>
            <w:tcW w:w="3540" w:type="dxa"/>
            <w:vAlign w:val="bottom"/>
          </w:tcPr>
          <w:p>
            <w:pPr>
              <w:ind w:left="160"/>
              <w:spacing w:after="0" w:line="220"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120" w:type="dxa"/>
            <w:vAlign w:val="bottom"/>
          </w:tcPr>
          <w:p>
            <w:pPr>
              <w:spacing w:after="0"/>
              <w:rPr>
                <w:sz w:val="19"/>
                <w:szCs w:val="19"/>
                <w:color w:val="auto"/>
              </w:rPr>
            </w:pPr>
          </w:p>
        </w:tc>
      </w:tr>
      <w:tr>
        <w:trPr>
          <w:trHeight w:val="167"/>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191,789,622</w:t>
            </w:r>
          </w:p>
        </w:tc>
        <w:tc>
          <w:tcPr>
            <w:tcW w:w="120" w:type="dxa"/>
            <w:vAlign w:val="bottom"/>
            <w:tcBorders>
              <w:top w:val="single" w:sz="8" w:color="CCEEFF"/>
            </w:tcBorders>
            <w:shd w:val="clear" w:color="auto" w:fill="CCEEFF"/>
          </w:tcPr>
          <w:p>
            <w:pPr>
              <w:spacing w:after="0"/>
              <w:rPr>
                <w:sz w:val="14"/>
                <w:szCs w:val="14"/>
                <w:color w:val="auto"/>
              </w:rPr>
            </w:pPr>
          </w:p>
        </w:tc>
      </w:tr>
      <w:tr>
        <w:trPr>
          <w:trHeight w:val="167"/>
        </w:trPr>
        <w:tc>
          <w:tcPr>
            <w:tcW w:w="354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2,126,577</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14,027,713</w:t>
            </w: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16,154,290</w:t>
            </w:r>
          </w:p>
        </w:tc>
      </w:tr>
      <w:tr>
        <w:trPr>
          <w:trHeight w:val="187"/>
        </w:trPr>
        <w:tc>
          <w:tcPr>
            <w:tcW w:w="35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1,436,830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1,436,830</w:t>
            </w:r>
          </w:p>
        </w:tc>
        <w:tc>
          <w:tcPr>
            <w:tcW w:w="120" w:type="dxa"/>
            <w:vAlign w:val="bottom"/>
          </w:tcPr>
          <w:p>
            <w:pPr>
              <w:spacing w:after="0"/>
              <w:rPr>
                <w:sz w:val="16"/>
                <w:szCs w:val="16"/>
                <w:color w:val="auto"/>
              </w:rPr>
            </w:pPr>
          </w:p>
        </w:tc>
      </w:tr>
      <w:tr>
        <w:trPr>
          <w:trHeight w:val="167"/>
        </w:trPr>
        <w:tc>
          <w:tcPr>
            <w:tcW w:w="35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3,563,407</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14,027,713</w:t>
            </w: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17,591,120</w:t>
            </w:r>
          </w:p>
        </w:tc>
        <w:tc>
          <w:tcPr>
            <w:tcW w:w="120" w:type="dxa"/>
            <w:vAlign w:val="bottom"/>
            <w:tcBorders>
              <w:top w:val="single" w:sz="8" w:color="CCEEFF"/>
            </w:tcBorders>
            <w:shd w:val="clear" w:color="auto" w:fill="CCEEFF"/>
          </w:tcPr>
          <w:p>
            <w:pPr>
              <w:spacing w:after="0"/>
              <w:rPr>
                <w:sz w:val="14"/>
                <w:szCs w:val="14"/>
                <w:color w:val="auto"/>
              </w:rPr>
            </w:pPr>
          </w:p>
        </w:tc>
      </w:tr>
      <w:tr>
        <w:trPr>
          <w:trHeight w:val="179"/>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2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3,563,407</w:t>
            </w:r>
          </w:p>
        </w:tc>
        <w:tc>
          <w:tcPr>
            <w:tcW w:w="3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14,027,713</w:t>
            </w:r>
          </w:p>
        </w:tc>
        <w:tc>
          <w:tcPr>
            <w:tcW w:w="32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Pr>
          <w:p>
            <w:pPr>
              <w:spacing w:after="0"/>
              <w:rPr>
                <w:sz w:val="15"/>
                <w:szCs w:val="15"/>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209,380,742</w:t>
            </w:r>
          </w:p>
        </w:tc>
        <w:tc>
          <w:tcPr>
            <w:tcW w:w="12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75" w:lineRule="exact"/>
        <w:rPr>
          <w:sz w:val="20"/>
          <w:szCs w:val="20"/>
          <w:color w:val="auto"/>
        </w:rPr>
      </w:pPr>
    </w:p>
    <w:p>
      <w:pPr>
        <w:jc w:val="both"/>
        <w:ind w:left="380" w:hanging="372"/>
        <w:spacing w:after="0" w:line="252" w:lineRule="auto"/>
        <w:tabs>
          <w:tab w:leader="none" w:pos="3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380" w:hanging="372"/>
        <w:spacing w:after="0"/>
        <w:tabs>
          <w:tab w:leader="none" w:pos="3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3" w:lineRule="exact"/>
        <w:rPr>
          <w:rFonts w:ascii="Times New Roman" w:cs="Times New Roman" w:eastAsia="Times New Roman" w:hAnsi="Times New Roman"/>
          <w:sz w:val="15"/>
          <w:szCs w:val="15"/>
          <w:color w:val="auto"/>
        </w:rPr>
      </w:pPr>
    </w:p>
    <w:p>
      <w:pPr>
        <w:ind w:left="380" w:hanging="372"/>
        <w:spacing w:after="0" w:line="251" w:lineRule="auto"/>
        <w:tabs>
          <w:tab w:leader="none" w:pos="3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Commercial Streaming Solutions Inc. (d/b/a BettorView), PayJoy, Inc., and Stake Trade, Inc. (d/b/a Prophet Exchange).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Unobservable Inputs for Level 3 Assets and Liabilities</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 xml:space="preserve">In accordance with FASB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the tables below provide quantitative information about the fair value measurements of the Company’s Level 3 assets as of March 31, 2025 and December 31, 2024.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March 31, 2025 and December 31, 2024. Significant changes in the inputs in isolation would result in a significant change in the fair value measurement, depending on the input and the materiality of the investment. Refer to “Note 2—Significant Accounting Policies— </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As of March 31, 2025</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Valuation</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240" w:type="dxa"/>
            <w:vAlign w:val="bottom"/>
            <w:gridSpan w:val="2"/>
          </w:tcPr>
          <w:p>
            <w:pPr>
              <w:jc w:val="center"/>
              <w:ind w:right="220"/>
              <w:spacing w:after="0" w:line="225" w:lineRule="exact"/>
              <w:rPr>
                <w:sz w:val="20"/>
                <w:szCs w:val="20"/>
                <w:color w:val="auto"/>
              </w:rPr>
            </w:pPr>
            <w:r>
              <w:rPr>
                <w:rFonts w:ascii="Times New Roman" w:cs="Times New Roman" w:eastAsia="Times New Roman" w:hAnsi="Times New Roman"/>
                <w:sz w:val="15"/>
                <w:szCs w:val="15"/>
                <w:b w:val="1"/>
                <w:bCs w:val="1"/>
                <w:color w:val="auto"/>
                <w:w w:val="94"/>
              </w:rPr>
              <w:t>Approach/Technique</w:t>
            </w:r>
            <w:r>
              <w:rPr>
                <w:rFonts w:ascii="Times New Roman" w:cs="Times New Roman" w:eastAsia="Times New Roman" w:hAnsi="Times New Roman"/>
                <w:sz w:val="24"/>
                <w:szCs w:val="24"/>
                <w:b w:val="1"/>
                <w:bCs w:val="1"/>
                <w:color w:val="auto"/>
                <w:w w:val="94"/>
                <w:vertAlign w:val="superscript"/>
              </w:rPr>
              <w:t>(1)</w:t>
            </w:r>
          </w:p>
        </w:tc>
        <w:tc>
          <w:tcPr>
            <w:tcW w:w="2480" w:type="dxa"/>
            <w:vAlign w:val="bottom"/>
            <w:gridSpan w:val="2"/>
          </w:tcPr>
          <w:p>
            <w:pPr>
              <w:jc w:val="center"/>
              <w:ind w:right="220"/>
              <w:spacing w:after="0" w:line="225" w:lineRule="exact"/>
              <w:rPr>
                <w:sz w:val="20"/>
                <w:szCs w:val="20"/>
                <w:color w:val="auto"/>
              </w:rPr>
            </w:pPr>
            <w:r>
              <w:rPr>
                <w:rFonts w:ascii="Times New Roman" w:cs="Times New Roman" w:eastAsia="Times New Roman" w:hAnsi="Times New Roman"/>
                <w:sz w:val="15"/>
                <w:szCs w:val="15"/>
                <w:b w:val="1"/>
                <w:bCs w:val="1"/>
                <w:color w:val="auto"/>
                <w:w w:val="95"/>
              </w:rPr>
              <w:t>Unobservable Inputs</w:t>
            </w:r>
            <w:r>
              <w:rPr>
                <w:rFonts w:ascii="Times New Roman" w:cs="Times New Roman" w:eastAsia="Times New Roman" w:hAnsi="Times New Roman"/>
                <w:sz w:val="24"/>
                <w:szCs w:val="24"/>
                <w:b w:val="1"/>
                <w:bCs w:val="1"/>
                <w:color w:val="auto"/>
                <w:w w:val="95"/>
                <w:vertAlign w:val="superscript"/>
              </w:rPr>
              <w:t>(2)</w:t>
            </w:r>
          </w:p>
        </w:tc>
        <w:tc>
          <w:tcPr>
            <w:tcW w:w="2080" w:type="dxa"/>
            <w:vAlign w:val="bottom"/>
            <w:gridSpan w:val="2"/>
          </w:tcPr>
          <w:p>
            <w:pPr>
              <w:jc w:val="right"/>
              <w:ind w:right="220"/>
              <w:spacing w:after="0" w:line="225" w:lineRule="exact"/>
              <w:rPr>
                <w:sz w:val="20"/>
                <w:szCs w:val="20"/>
                <w:color w:val="auto"/>
              </w:rPr>
            </w:pPr>
            <w:r>
              <w:rPr>
                <w:rFonts w:ascii="Times New Roman" w:cs="Times New Roman" w:eastAsia="Times New Roman" w:hAnsi="Times New Roman"/>
                <w:sz w:val="15"/>
                <w:szCs w:val="15"/>
                <w:b w:val="1"/>
                <w:bCs w:val="1"/>
                <w:color w:val="auto"/>
                <w:w w:val="95"/>
              </w:rPr>
              <w:t>Range (Weighted Average)</w:t>
            </w:r>
            <w:r>
              <w:rPr>
                <w:rFonts w:ascii="Times New Roman" w:cs="Times New Roman" w:eastAsia="Times New Roman" w:hAnsi="Times New Roman"/>
                <w:sz w:val="24"/>
                <w:szCs w:val="24"/>
                <w:b w:val="1"/>
                <w:bCs w:val="1"/>
                <w:color w:val="auto"/>
                <w:w w:val="95"/>
                <w:vertAlign w:val="superscript"/>
              </w:rPr>
              <w:t>(3)</w:t>
            </w:r>
          </w:p>
        </w:tc>
        <w:tc>
          <w:tcPr>
            <w:tcW w:w="0" w:type="dxa"/>
            <w:vAlign w:val="bottom"/>
          </w:tcPr>
          <w:p>
            <w:pPr>
              <w:spacing w:after="0"/>
              <w:rPr>
                <w:sz w:val="1"/>
                <w:szCs w:val="1"/>
                <w:color w:val="auto"/>
              </w:rPr>
            </w:pPr>
          </w:p>
        </w:tc>
      </w:tr>
      <w:tr>
        <w:trPr>
          <w:trHeight w:val="167"/>
        </w:trPr>
        <w:tc>
          <w:tcPr>
            <w:tcW w:w="24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Preferred stock in private companies</w:t>
            </w:r>
            <w:r>
              <w:rPr>
                <w:rFonts w:ascii="Times New Roman" w:cs="Times New Roman" w:eastAsia="Times New Roman" w:hAnsi="Times New Roman"/>
                <w:sz w:val="24"/>
                <w:szCs w:val="24"/>
                <w:color w:val="auto"/>
                <w:w w:val="96"/>
                <w:vertAlign w:val="superscript"/>
              </w:rPr>
              <w:t>(6)</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7"/>
              </w:rPr>
              <w:t>Market Approach</w:t>
            </w:r>
          </w:p>
        </w:tc>
        <w:tc>
          <w:tcPr>
            <w:tcW w:w="22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6"/>
              </w:rPr>
              <w:t>Revenue Multiples</w:t>
            </w:r>
          </w:p>
        </w:tc>
        <w:tc>
          <w:tcPr>
            <w:tcW w:w="2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0.56x - 5.80x (1.64x)</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140,040,964</w:t>
            </w:r>
          </w:p>
        </w:tc>
        <w:tc>
          <w:tcPr>
            <w:tcW w:w="22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Precedent Transactions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- 100% (83)%</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gridSpan w:val="2"/>
            <w:vMerge w:val="continue"/>
            <w:shd w:val="clear" w:color="auto" w:fill="CCEEFF"/>
          </w:tcPr>
          <w:p>
            <w:pPr>
              <w:spacing w:after="0"/>
              <w:rPr>
                <w:sz w:val="18"/>
                <w:szCs w:val="18"/>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1.31x - 5.00x (4.65x)</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Dissolution Risk</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0.46x - 8.29x (5.68x)</w:t>
            </w:r>
          </w:p>
        </w:tc>
        <w:tc>
          <w:tcPr>
            <w:tcW w:w="0" w:type="dxa"/>
            <w:vAlign w:val="bottom"/>
          </w:tcPr>
          <w:p>
            <w:pPr>
              <w:spacing w:after="0"/>
              <w:rPr>
                <w:sz w:val="1"/>
                <w:szCs w:val="1"/>
                <w:color w:val="auto"/>
              </w:rPr>
            </w:pPr>
          </w:p>
        </w:tc>
      </w:tr>
      <w:tr>
        <w:trPr>
          <w:trHeight w:val="191"/>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Common stock in private companies</w:t>
            </w:r>
            <w:r>
              <w:rPr>
                <w:rFonts w:ascii="Times New Roman" w:cs="Times New Roman" w:eastAsia="Times New Roman" w:hAnsi="Times New Roman"/>
                <w:sz w:val="24"/>
                <w:szCs w:val="24"/>
                <w:color w:val="auto"/>
                <w:w w:val="96"/>
                <w:vertAlign w:val="superscript"/>
              </w:rPr>
              <w:t>(7)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Discount Rate</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82"/>
        </w:trPr>
        <w:tc>
          <w:tcPr>
            <w:tcW w:w="2480" w:type="dxa"/>
            <w:vAlign w:val="bottom"/>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45,370,853</w:t>
            </w: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Precedent Transactions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 - 100% (78.6)%</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48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AFFO</w:t>
            </w:r>
            <w:r>
              <w:rPr>
                <w:rFonts w:ascii="Times New Roman" w:cs="Times New Roman" w:eastAsia="Times New Roman" w:hAnsi="Times New Roman"/>
                <w:sz w:val="24"/>
                <w:szCs w:val="24"/>
                <w:color w:val="auto"/>
                <w:w w:val="92"/>
                <w:vertAlign w:val="superscript"/>
              </w:rPr>
              <w:t>(4)</w:t>
            </w:r>
            <w:r>
              <w:rPr>
                <w:rFonts w:ascii="Times New Roman" w:cs="Times New Roman" w:eastAsia="Times New Roman" w:hAnsi="Times New Roman"/>
                <w:sz w:val="15"/>
                <w:szCs w:val="15"/>
                <w:color w:val="auto"/>
                <w:w w:val="92"/>
              </w:rPr>
              <w:t xml:space="preserve"> Multiples</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7.40x</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Dissolution Risk</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Discount Rate</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Debt investments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0.90x - 1.95x (1.85x)</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Term to Expiration (Years)</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1.25 - 2.11</w:t>
            </w:r>
          </w:p>
        </w:tc>
        <w:tc>
          <w:tcPr>
            <w:tcW w:w="0" w:type="dxa"/>
            <w:vAlign w:val="bottom"/>
          </w:tcPr>
          <w:p>
            <w:pPr>
              <w:spacing w:after="0"/>
              <w:rPr>
                <w:sz w:val="1"/>
                <w:szCs w:val="1"/>
                <w:color w:val="auto"/>
              </w:rPr>
            </w:pPr>
          </w:p>
        </w:tc>
      </w:tr>
      <w:tr>
        <w:trPr>
          <w:trHeight w:val="195"/>
        </w:trPr>
        <w:tc>
          <w:tcPr>
            <w:tcW w:w="24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7"/>
              </w:rPr>
              <w:t>Options</w:t>
            </w:r>
            <w:r>
              <w:rPr>
                <w:rFonts w:ascii="Times New Roman" w:cs="Times New Roman" w:eastAsia="Times New Roman" w:hAnsi="Times New Roman"/>
                <w:sz w:val="22"/>
                <w:szCs w:val="22"/>
                <w:color w:val="auto"/>
                <w:w w:val="97"/>
                <w:vertAlign w:val="superscript"/>
              </w:rPr>
              <w:t>(8)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5,321,281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Option Pricing Model</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Precedent Transaction</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3"/>
              </w:rPr>
              <w:t>Volatility</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 - 67% (47)%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9260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540" w:hanging="532"/>
        <w:spacing w:after="0" w:line="251"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2025,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 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left="320" w:hanging="312"/>
        <w:spacing w:after="0" w:line="265" w:lineRule="auto"/>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3" w:lineRule="exact"/>
        <w:rPr>
          <w:rFonts w:ascii="Times New Roman" w:cs="Times New Roman" w:eastAsia="Times New Roman" w:hAnsi="Times New Roman"/>
          <w:sz w:val="15"/>
          <w:szCs w:val="15"/>
          <w:color w:val="auto"/>
        </w:rPr>
      </w:pPr>
    </w:p>
    <w:p>
      <w:pPr>
        <w:ind w:left="320" w:hanging="312"/>
        <w:spacing w:after="0" w:line="263" w:lineRule="auto"/>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ind w:left="320" w:hanging="312"/>
        <w:spacing w:after="0" w:line="245" w:lineRule="auto"/>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 and the Company’s investment in the Class A Interest of CW Opportunity 2 LP which is invested in the Class A common stock.</w:t>
      </w:r>
    </w:p>
    <w:p>
      <w:pPr>
        <w:ind w:left="320" w:hanging="312"/>
        <w:spacing w:after="0"/>
        <w:tabs>
          <w:tab w:leader="none" w:pos="3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Options also includes the Company’s investments in the SAFEs of Orchard Technologies, Inc., PayJoy, Inc., Stake Trade, Inc. (d/b/a Prophet Exchange), and </w:t>
      </w:r>
      <w:r>
        <w:rPr>
          <w:rFonts w:ascii="Times New Roman" w:cs="Times New Roman" w:eastAsia="Times New Roman" w:hAnsi="Times New Roman"/>
          <w:sz w:val="13"/>
          <w:szCs w:val="13"/>
          <w:color w:val="auto"/>
        </w:rPr>
        <w:t>Whoop, Inc</w:t>
      </w:r>
      <w:r>
        <w:rPr>
          <w:rFonts w:ascii="Times New Roman" w:cs="Times New Roman" w:eastAsia="Times New Roman" w:hAnsi="Times New Roman"/>
          <w:sz w:val="15"/>
          <w:szCs w:val="15"/>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Valuation Approach/</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2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5"/>
                <w:szCs w:val="15"/>
                <w:b w:val="1"/>
                <w:bCs w:val="1"/>
                <w:color w:val="auto"/>
                <w:w w:val="92"/>
              </w:rPr>
              <w:t>Technique</w:t>
            </w:r>
            <w:r>
              <w:rPr>
                <w:rFonts w:ascii="Times New Roman" w:cs="Times New Roman" w:eastAsia="Times New Roman" w:hAnsi="Times New Roman"/>
                <w:sz w:val="24"/>
                <w:szCs w:val="24"/>
                <w:b w:val="1"/>
                <w:bCs w:val="1"/>
                <w:color w:val="auto"/>
                <w:w w:val="92"/>
                <w:vertAlign w:val="superscript"/>
              </w:rPr>
              <w:t>(1)</w:t>
            </w:r>
          </w:p>
        </w:tc>
        <w:tc>
          <w:tcPr>
            <w:tcW w:w="22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5"/>
                <w:szCs w:val="15"/>
                <w:b w:val="1"/>
                <w:bCs w:val="1"/>
                <w:color w:val="auto"/>
                <w:w w:val="95"/>
              </w:rPr>
              <w:t>Unobservable Inputs</w:t>
            </w:r>
            <w:r>
              <w:rPr>
                <w:rFonts w:ascii="Times New Roman" w:cs="Times New Roman" w:eastAsia="Times New Roman" w:hAnsi="Times New Roman"/>
                <w:sz w:val="24"/>
                <w:szCs w:val="24"/>
                <w:b w:val="1"/>
                <w:bCs w:val="1"/>
                <w:color w:val="auto"/>
                <w:w w:val="95"/>
                <w:vertAlign w:val="superscript"/>
              </w:rPr>
              <w:t>(2)</w:t>
            </w:r>
          </w:p>
        </w:tc>
        <w:tc>
          <w:tcPr>
            <w:tcW w:w="2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66"/>
              <w:spacing w:after="0" w:line="225" w:lineRule="exact"/>
              <w:rPr>
                <w:sz w:val="20"/>
                <w:szCs w:val="20"/>
                <w:color w:val="auto"/>
              </w:rPr>
            </w:pPr>
            <w:r>
              <w:rPr>
                <w:rFonts w:ascii="Times New Roman" w:cs="Times New Roman" w:eastAsia="Times New Roman" w:hAnsi="Times New Roman"/>
                <w:sz w:val="15"/>
                <w:szCs w:val="15"/>
                <w:b w:val="1"/>
                <w:bCs w:val="1"/>
                <w:color w:val="auto"/>
                <w:w w:val="99"/>
              </w:rPr>
              <w:t>Range (Weighted Average)</w:t>
            </w:r>
            <w:r>
              <w:rPr>
                <w:rFonts w:ascii="Times New Roman" w:cs="Times New Roman" w:eastAsia="Times New Roman" w:hAnsi="Times New Roman"/>
                <w:sz w:val="24"/>
                <w:szCs w:val="24"/>
                <w:b w:val="1"/>
                <w:bCs w:val="1"/>
                <w:color w:val="auto"/>
                <w:w w:val="99"/>
                <w:vertAlign w:val="superscript"/>
              </w:rPr>
              <w:t>(3)</w:t>
            </w:r>
          </w:p>
        </w:tc>
        <w:tc>
          <w:tcPr>
            <w:tcW w:w="0" w:type="dxa"/>
            <w:vAlign w:val="bottom"/>
          </w:tcPr>
          <w:p>
            <w:pPr>
              <w:spacing w:after="0"/>
              <w:rPr>
                <w:sz w:val="1"/>
                <w:szCs w:val="1"/>
                <w:color w:val="auto"/>
              </w:rPr>
            </w:pPr>
          </w:p>
        </w:tc>
      </w:tr>
      <w:tr>
        <w:trPr>
          <w:trHeight w:val="201"/>
        </w:trPr>
        <w:tc>
          <w:tcPr>
            <w:tcW w:w="24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4"/>
                <w:szCs w:val="14"/>
                <w:color w:val="auto"/>
              </w:rPr>
              <w:t>Preferred stock in private companies</w:t>
            </w:r>
            <w:r>
              <w:rPr>
                <w:rFonts w:ascii="Times New Roman" w:cs="Times New Roman" w:eastAsia="Times New Roman" w:hAnsi="Times New Roman"/>
                <w:sz w:val="23"/>
                <w:szCs w:val="23"/>
                <w:color w:val="auto"/>
                <w:vertAlign w:val="superscript"/>
              </w:rPr>
              <w:t>(6)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151,003,991</w:t>
            </w:r>
          </w:p>
        </w:tc>
        <w:tc>
          <w:tcPr>
            <w:tcW w:w="2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0.67x - 5.96x (1.82x)</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Precedent Transactions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- 100% (55)%</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vMerge w:val="continue"/>
            <w:shd w:val="clear" w:color="auto" w:fill="CCEEFF"/>
          </w:tcPr>
          <w:p>
            <w:pPr>
              <w:spacing w:after="0"/>
              <w:rPr>
                <w:sz w:val="18"/>
                <w:szCs w:val="18"/>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1.76x - 2.95x</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Dissolution Risk</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 - 100% (87.5)%</w:t>
            </w:r>
          </w:p>
        </w:tc>
        <w:tc>
          <w:tcPr>
            <w:tcW w:w="0" w:type="dxa"/>
            <w:vAlign w:val="bottom"/>
          </w:tcPr>
          <w:p>
            <w:pPr>
              <w:spacing w:after="0"/>
              <w:rPr>
                <w:sz w:val="1"/>
                <w:szCs w:val="1"/>
                <w:color w:val="auto"/>
              </w:rPr>
            </w:pPr>
          </w:p>
        </w:tc>
      </w:tr>
      <w:tr>
        <w:trPr>
          <w:trHeight w:val="195"/>
        </w:trPr>
        <w:tc>
          <w:tcPr>
            <w:tcW w:w="24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rPr>
              <w:t>Common stock in private companies</w:t>
            </w:r>
            <w:r>
              <w:rPr>
                <w:rFonts w:ascii="Times New Roman" w:cs="Times New Roman" w:eastAsia="Times New Roman" w:hAnsi="Times New Roman"/>
                <w:sz w:val="22"/>
                <w:szCs w:val="22"/>
                <w:color w:val="auto"/>
                <w:vertAlign w:val="superscript"/>
              </w:rPr>
              <w:t>(7)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35,922,154</w:t>
            </w: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0.77x - 8.81x (7.59x)</w:t>
            </w:r>
          </w:p>
        </w:tc>
        <w:tc>
          <w:tcPr>
            <w:tcW w:w="0" w:type="dxa"/>
            <w:vAlign w:val="bottom"/>
          </w:tcPr>
          <w:p>
            <w:pPr>
              <w:spacing w:after="0"/>
              <w:rPr>
                <w:sz w:val="1"/>
                <w:szCs w:val="1"/>
                <w:color w:val="auto"/>
              </w:rPr>
            </w:pPr>
          </w:p>
        </w:tc>
      </w:tr>
      <w:tr>
        <w:trPr>
          <w:trHeight w:val="178"/>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Precedent Transactions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48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AFFO</w:t>
            </w:r>
            <w:r>
              <w:rPr>
                <w:rFonts w:ascii="Times New Roman" w:cs="Times New Roman" w:eastAsia="Times New Roman" w:hAnsi="Times New Roman"/>
                <w:sz w:val="24"/>
                <w:szCs w:val="24"/>
                <w:color w:val="auto"/>
                <w:w w:val="92"/>
                <w:vertAlign w:val="superscript"/>
              </w:rPr>
              <w:t>(4)</w:t>
            </w:r>
            <w:r>
              <w:rPr>
                <w:rFonts w:ascii="Times New Roman" w:cs="Times New Roman" w:eastAsia="Times New Roman" w:hAnsi="Times New Roman"/>
                <w:sz w:val="15"/>
                <w:szCs w:val="15"/>
                <w:color w:val="auto"/>
                <w:w w:val="92"/>
              </w:rPr>
              <w:t xml:space="preserve"> Multiples</w:t>
            </w:r>
          </w:p>
        </w:tc>
        <w:tc>
          <w:tcPr>
            <w:tcW w:w="20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7.88x</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Dissolution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Debt investments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506,339</w:t>
            </w:r>
          </w:p>
        </w:tc>
        <w:tc>
          <w:tcPr>
            <w:tcW w:w="2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Revenue Multiples</w:t>
            </w:r>
          </w:p>
        </w:tc>
        <w:tc>
          <w:tcPr>
            <w:tcW w:w="2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0.90x - 1.31x (1.22x)</w:t>
            </w:r>
          </w:p>
        </w:tc>
        <w:tc>
          <w:tcPr>
            <w:tcW w:w="0" w:type="dxa"/>
            <w:vAlign w:val="bottom"/>
          </w:tcPr>
          <w:p>
            <w:pPr>
              <w:spacing w:after="0"/>
              <w:rPr>
                <w:sz w:val="1"/>
                <w:szCs w:val="1"/>
                <w:color w:val="auto"/>
              </w:rPr>
            </w:pPr>
          </w:p>
        </w:tc>
      </w:tr>
      <w:tr>
        <w:trPr>
          <w:trHeight w:val="195"/>
        </w:trPr>
        <w:tc>
          <w:tcPr>
            <w:tcW w:w="24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7"/>
              </w:rPr>
              <w:t>Options</w:t>
            </w:r>
            <w:r>
              <w:rPr>
                <w:rFonts w:ascii="Times New Roman" w:cs="Times New Roman" w:eastAsia="Times New Roman" w:hAnsi="Times New Roman"/>
                <w:sz w:val="22"/>
                <w:szCs w:val="22"/>
                <w:color w:val="auto"/>
                <w:w w:val="97"/>
                <w:vertAlign w:val="superscript"/>
              </w:rPr>
              <w:t>(8)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4,357,138</w:t>
            </w:r>
          </w:p>
        </w:tc>
        <w:tc>
          <w:tcPr>
            <w:tcW w:w="22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Option Pricing Model</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Term to Expiration (Years)</w:t>
            </w:r>
          </w:p>
        </w:tc>
        <w:tc>
          <w:tcPr>
            <w:tcW w:w="208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1.5 - 19.38</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Precedent Transaction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3"/>
              </w:rPr>
              <w:t>Volatility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 - 67%</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5"/>
          <w:szCs w:val="15"/>
          <w:color w:val="auto"/>
        </w:rPr>
        <w:t>________________________</w:t>
      </w:r>
    </w:p>
    <w:p>
      <w:pPr>
        <w:spacing w:after="0" w:line="166" w:lineRule="exact"/>
        <w:rPr>
          <w:sz w:val="20"/>
          <w:szCs w:val="20"/>
          <w:color w:val="auto"/>
        </w:rPr>
      </w:pPr>
    </w:p>
    <w:p>
      <w:pPr>
        <w:jc w:val="both"/>
        <w:ind w:left="320" w:hanging="312"/>
        <w:spacing w:after="0" w:line="251" w:lineRule="auto"/>
        <w:tabs>
          <w:tab w:leader="none" w:pos="3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 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88" w:lineRule="exact"/>
        <w:rPr>
          <w:sz w:val="20"/>
          <w:szCs w:val="20"/>
          <w:color w:val="auto"/>
        </w:rPr>
      </w:pPr>
    </w:p>
    <w:p>
      <w:pPr>
        <w:jc w:val="both"/>
        <w:ind w:left="320" w:hanging="312"/>
        <w:spacing w:after="0" w:line="265" w:lineRule="auto"/>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3" w:lineRule="exact"/>
        <w:rPr>
          <w:rFonts w:ascii="Times New Roman" w:cs="Times New Roman" w:eastAsia="Times New Roman" w:hAnsi="Times New Roman"/>
          <w:sz w:val="15"/>
          <w:szCs w:val="15"/>
          <w:color w:val="auto"/>
        </w:rPr>
      </w:pPr>
    </w:p>
    <w:p>
      <w:pPr>
        <w:jc w:val="both"/>
        <w:ind w:left="320" w:hanging="312"/>
        <w:spacing w:after="0" w:line="245" w:lineRule="auto"/>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3" w:lineRule="exact"/>
        <w:rPr>
          <w:rFonts w:ascii="Times New Roman" w:cs="Times New Roman" w:eastAsia="Times New Roman" w:hAnsi="Times New Roman"/>
          <w:sz w:val="15"/>
          <w:szCs w:val="15"/>
          <w:color w:val="auto"/>
        </w:rPr>
      </w:pPr>
    </w:p>
    <w:p>
      <w:pPr>
        <w:ind w:left="320" w:hanging="312"/>
        <w:spacing w:after="0" w:line="251" w:lineRule="auto"/>
        <w:tabs>
          <w:tab w:leader="none" w:pos="3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Commercial Streaming Solutions Inc. (d/b/a BettorView), PayJoy, Inc., and Stake Trade, Inc. (d/b/a Prophet Exchange).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three months ended March 31, 2025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9"/>
          </w:tcPr>
          <w:p>
            <w:pPr>
              <w:jc w:val="right"/>
              <w:ind w:right="880"/>
              <w:spacing w:after="0"/>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Preferred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700"/>
              <w:spacing w:after="0" w:line="156" w:lineRule="exact"/>
              <w:rPr>
                <w:sz w:val="20"/>
                <w:szCs w:val="20"/>
                <w:color w:val="auto"/>
              </w:rPr>
            </w:pPr>
            <w:r>
              <w:rPr>
                <w:rFonts w:ascii="Times New Roman" w:cs="Times New Roman" w:eastAsia="Times New Roman" w:hAnsi="Times New Roman"/>
                <w:sz w:val="15"/>
                <w:szCs w:val="15"/>
                <w:b w:val="1"/>
                <w:bCs w:val="1"/>
                <w:color w:val="auto"/>
              </w:rPr>
              <w:t>Debt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7"/>
              </w:rPr>
              <w:t>Options</w:t>
            </w:r>
            <w:r>
              <w:rPr>
                <w:rFonts w:ascii="Times New Roman" w:cs="Times New Roman" w:eastAsia="Times New Roman" w:hAnsi="Times New Roman"/>
                <w:sz w:val="24"/>
                <w:szCs w:val="24"/>
                <w:b w:val="1"/>
                <w:bCs w:val="1"/>
                <w:color w:val="auto"/>
                <w:w w:val="97"/>
                <w:vertAlign w:val="superscript"/>
              </w:rPr>
              <w:t>(3)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60"/>
              <w:spacing w:after="0" w:line="220"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80"/>
              <w:spacing w:after="0" w:line="220"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w w:val="98"/>
              </w:rPr>
              <w:t>Investments</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7"/>
        </w:trPr>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2024</w:t>
            </w:r>
          </w:p>
        </w:tc>
        <w:tc>
          <w:tcPr>
            <w:tcW w:w="2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151,003,991</w:t>
            </w:r>
          </w:p>
        </w:tc>
        <w:tc>
          <w:tcPr>
            <w:tcW w:w="3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35,922,154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4,357,138</w:t>
            </w:r>
          </w:p>
        </w:tc>
        <w:tc>
          <w:tcPr>
            <w:tcW w:w="32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191,789,622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(5,221,824)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(5,221,824)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(10,443,648)</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224,366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1,083,211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1,307,577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Sales/Redemptions of investments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(16,770,915)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17,775,155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(1,004,240)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included in earnings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10,805,346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(3,104,632)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885,172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8,585,886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Fair Value as of March 31, 2025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140,040,964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45,370,853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5,321,281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191,239,437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46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Net change in unrealized appreciation/ (depreciation) of Level 3 investments</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still held as of March 31, 2025</w:t>
            </w:r>
          </w:p>
        </w:tc>
        <w:tc>
          <w:tcPr>
            <w:tcW w:w="2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10,805,346</w:t>
            </w:r>
          </w:p>
        </w:tc>
        <w:tc>
          <w:tcPr>
            <w:tcW w:w="3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(3,104,632)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880,930</w:t>
            </w:r>
          </w:p>
        </w:tc>
        <w:tc>
          <w:tcPr>
            <w:tcW w:w="3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8,581,644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w:t>
      </w:r>
    </w:p>
    <w:p>
      <w:pPr>
        <w:spacing w:after="0" w:line="4" w:lineRule="exact"/>
        <w:rPr>
          <w:sz w:val="20"/>
          <w:szCs w:val="20"/>
          <w:color w:val="auto"/>
        </w:rPr>
      </w:pPr>
    </w:p>
    <w:p>
      <w:pPr>
        <w:ind w:left="320" w:hanging="312"/>
        <w:spacing w:after="0" w:line="263" w:lineRule="auto"/>
        <w:tabs>
          <w:tab w:leader="none" w:pos="3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Preferred Stock also includes the Company’s investment in the Class A Interest of ARK Type One Deep Ventures Fund LLC which is invested in the Convertible Interest Rights of OpenAI Global, LLC, and the Company’s investment in the Membership Interest of IH10, LLC which is invested in the Series B Preferred Shares of VAST Data, Ltd. through an SPV.</w:t>
      </w:r>
    </w:p>
    <w:p>
      <w:pPr>
        <w:ind w:left="320" w:hanging="312"/>
        <w:spacing w:after="0" w:line="245" w:lineRule="auto"/>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 and the Company’s investment in the Class A Interest of CW Opportunity 2 LP which is invested in Class A common stock.</w:t>
      </w:r>
    </w:p>
    <w:p>
      <w:pPr>
        <w:ind w:left="320" w:hanging="312"/>
        <w:spacing w:after="0"/>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Options also includes the Company’s investments in the SAFEs of Orchard Technologies, Inc., PayJoy, Inc., Stake Trade, Inc. (d/b/a Prophet Exchange), and Whoop, Inc.</w:t>
      </w:r>
    </w:p>
    <w:p>
      <w:pPr>
        <w:spacing w:after="0" w:line="3"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three months ended March 31, 2025, the Company’s portfolio investments had the following corporate actions which are reflected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Conversion to</w:t>
            </w:r>
          </w:p>
        </w:tc>
      </w:tr>
      <w:tr>
        <w:trPr>
          <w:trHeight w:val="168"/>
        </w:trPr>
        <w:tc>
          <w:tcPr>
            <w:tcW w:w="362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CoreWeave, Inc.</w:t>
            </w:r>
          </w:p>
        </w:tc>
        <w:tc>
          <w:tcPr>
            <w:tcW w:w="22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7"/>
              </w:rPr>
              <w:t>Preferred shares, Series A Common shares</w:t>
            </w:r>
          </w:p>
        </w:tc>
        <w:tc>
          <w:tcPr>
            <w:tcW w:w="2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7"/>
              </w:rPr>
              <w:t>Common shares (Level 2)</w:t>
            </w:r>
          </w:p>
        </w:tc>
      </w:tr>
      <w:tr>
        <w:trPr>
          <w:trHeight w:val="176"/>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CW Opportunity 2 LP</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Preferred shares, Series C</w:t>
            </w: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Common shares (Level 3)</w:t>
            </w:r>
          </w:p>
        </w:tc>
      </w:tr>
      <w:tr>
        <w:trPr>
          <w:trHeight w:val="17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Streaming Solutions Inc. (d/b/a BettorView)</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Simple Agreement for Future Equity</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Preferred shares, Class A-1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-342265</wp:posOffset>
            </wp:positionV>
            <wp:extent cx="14033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335" cy="698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-342265</wp:posOffset>
            </wp:positionV>
            <wp:extent cx="14033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335" cy="6985"/>
                    </a:xfrm>
                    <a:prstGeom prst="rect">
                      <a:avLst/>
                    </a:prstGeom>
                    <a:noFill/>
                  </pic:spPr>
                </pic:pic>
              </a:graphicData>
            </a:graphic>
          </wp:anchor>
        </w:drawing>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year ended December 31, 2024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Preferred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700"/>
              <w:spacing w:after="0" w:line="156" w:lineRule="exact"/>
              <w:rPr>
                <w:sz w:val="20"/>
                <w:szCs w:val="20"/>
                <w:color w:val="auto"/>
              </w:rPr>
            </w:pPr>
            <w:r>
              <w:rPr>
                <w:rFonts w:ascii="Times New Roman" w:cs="Times New Roman" w:eastAsia="Times New Roman" w:hAnsi="Times New Roman"/>
                <w:sz w:val="15"/>
                <w:szCs w:val="15"/>
                <w:b w:val="1"/>
                <w:bCs w:val="1"/>
                <w:color w:val="auto"/>
              </w:rPr>
              <w:t>Debt</w:t>
            </w:r>
          </w:p>
        </w:tc>
        <w:tc>
          <w:tcPr>
            <w:tcW w:w="14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4"/>
              </w:rPr>
              <w:t>Options</w:t>
            </w:r>
            <w:r>
              <w:rPr>
                <w:rFonts w:ascii="Times New Roman" w:cs="Times New Roman" w:eastAsia="Times New Roman" w:hAnsi="Times New Roman"/>
                <w:sz w:val="24"/>
                <w:szCs w:val="24"/>
                <w:b w:val="1"/>
                <w:bCs w:val="1"/>
                <w:color w:val="auto"/>
                <w:w w:val="94"/>
                <w:vertAlign w:val="superscript"/>
              </w:rPr>
              <w:t>(3)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60"/>
              <w:spacing w:after="0" w:line="220"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80"/>
              <w:spacing w:after="0" w:line="220"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w w:val="98"/>
              </w:rPr>
              <w:t>Investments</w:t>
            </w: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7"/>
        </w:trPr>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2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122,744,564</w:t>
            </w:r>
          </w:p>
        </w:tc>
        <w:tc>
          <w:tcPr>
            <w:tcW w:w="3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39,086,792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4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3,638,161</w:t>
            </w:r>
          </w:p>
        </w:tc>
        <w:tc>
          <w:tcPr>
            <w:tcW w:w="32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(12,896,367)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(12,896,367)</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60,155,557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15,061,793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13,230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75,230,580</w:t>
            </w: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Sales/Redemptions of investments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(374,950)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(10,375,762)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(1,414,278)</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(1,585,722)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(13,750,712)</w:t>
            </w:r>
          </w:p>
        </w:tc>
        <w:tc>
          <w:tcPr>
            <w:tcW w:w="0" w:type="dxa"/>
            <w:vAlign w:val="bottom"/>
          </w:tcPr>
          <w:p>
            <w:pPr>
              <w:spacing w:after="0"/>
              <w:rPr>
                <w:sz w:val="1"/>
                <w:szCs w:val="1"/>
                <w:color w:val="auto"/>
              </w:rPr>
            </w:pPr>
          </w:p>
        </w:tc>
      </w:tr>
      <w:tr>
        <w:trPr>
          <w:trHeight w:val="210"/>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136,114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(1,338,976)</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1,246,916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44,054</w:t>
            </w: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gains/(losses)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(7,533,623)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(222,565)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384,102</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(7,076,812)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(14,448,898)</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included in earnings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(24,123,671)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5,268,263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(223,243)</w:t>
            </w: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8,121,365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(10,957,286)</w:t>
            </w:r>
          </w:p>
        </w:tc>
        <w:tc>
          <w:tcPr>
            <w:tcW w:w="0" w:type="dxa"/>
            <w:vAlign w:val="bottom"/>
          </w:tcPr>
          <w:p>
            <w:pPr>
              <w:spacing w:after="0"/>
              <w:rPr>
                <w:sz w:val="1"/>
                <w:szCs w:val="1"/>
                <w:color w:val="auto"/>
              </w:rPr>
            </w:pPr>
          </w:p>
        </w:tc>
      </w:tr>
      <w:tr>
        <w:trPr>
          <w:trHeight w:val="179"/>
        </w:trPr>
        <w:tc>
          <w:tcPr>
            <w:tcW w:w="464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Fair Value as of December 31, 2024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35,922,154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191,789,622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line="153" w:lineRule="exact"/>
              <w:rPr>
                <w:sz w:val="20"/>
                <w:szCs w:val="20"/>
                <w:color w:val="auto"/>
              </w:rPr>
            </w:pPr>
            <w:r>
              <w:rPr>
                <w:rFonts w:ascii="Times New Roman" w:cs="Times New Roman" w:eastAsia="Times New Roman" w:hAnsi="Times New Roman"/>
                <w:sz w:val="15"/>
                <w:szCs w:val="15"/>
                <w:color w:val="auto"/>
              </w:rPr>
              <w:t>Net change in unrealized appreciation/ (depreciation) of Level 3 investments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still held as of December 31, 2024</w:t>
            </w:r>
          </w:p>
        </w:tc>
        <w:tc>
          <w:tcPr>
            <w:tcW w:w="2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(32,741,143)</w:t>
            </w:r>
          </w:p>
        </w:tc>
        <w:tc>
          <w:tcPr>
            <w:tcW w:w="3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5,418,630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111,916</w:t>
            </w:r>
          </w:p>
        </w:tc>
        <w:tc>
          <w:tcPr>
            <w:tcW w:w="32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(27,210,597)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________________________</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20" w:hanging="312"/>
        <w:spacing w:after="0" w:line="245" w:lineRule="auto"/>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3"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3"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2024, the Company’s portfolio investments had the following corporate actions which are reflected above:</w:t>
      </w:r>
    </w:p>
    <w:p>
      <w:pPr>
        <w:sectPr>
          <w:pgSz w:w="11900" w:h="16838" w:orient="portrait"/>
          <w:cols w:equalWidth="0" w:num="1">
            <w:col w:w="11280"/>
          </w:cols>
          <w:pgMar w:left="300" w:top="213" w:right="31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Conversion from</w:t>
            </w:r>
          </w:p>
        </w:tc>
        <w:tc>
          <w:tcPr>
            <w:tcW w:w="0" w:type="dxa"/>
            <w:vAlign w:val="bottom"/>
          </w:tcPr>
          <w:p>
            <w:pPr>
              <w:spacing w:after="0"/>
              <w:rPr>
                <w:sz w:val="1"/>
                <w:szCs w:val="1"/>
                <w:color w:val="auto"/>
              </w:rPr>
            </w:pPr>
          </w:p>
        </w:tc>
      </w:tr>
      <w:tr>
        <w:trPr>
          <w:trHeight w:val="153"/>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AltC Sponsor LLC</w:t>
            </w:r>
          </w:p>
        </w:tc>
        <w:tc>
          <w:tcPr>
            <w:tcW w:w="362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w w:val="98"/>
              </w:rPr>
              <w:t>Common shares, Class A</w:t>
            </w:r>
          </w:p>
        </w:tc>
        <w:tc>
          <w:tcPr>
            <w:tcW w:w="0" w:type="dxa"/>
            <w:vAlign w:val="bottom"/>
          </w:tcPr>
          <w:p>
            <w:pPr>
              <w:spacing w:after="0"/>
              <w:rPr>
                <w:sz w:val="1"/>
                <w:szCs w:val="1"/>
                <w:color w:val="auto"/>
              </w:rPr>
            </w:pPr>
          </w:p>
        </w:tc>
      </w:tr>
      <w:tr>
        <w:trPr>
          <w:trHeight w:val="103"/>
        </w:trPr>
        <w:tc>
          <w:tcPr>
            <w:tcW w:w="3840" w:type="dxa"/>
            <w:vAlign w:val="bottom"/>
            <w:gridSpan w:val="2"/>
            <w:vMerge w:val="continue"/>
          </w:tcPr>
          <w:p>
            <w:pPr>
              <w:spacing w:after="0"/>
              <w:rPr>
                <w:sz w:val="8"/>
                <w:szCs w:val="8"/>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Common shares, Class B</w:t>
            </w: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Xgroup Holdings Limited (d/b/a Xpoint)</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Convertible Note 6%, Due 10/17/2024</w:t>
            </w:r>
          </w:p>
        </w:tc>
        <w:tc>
          <w:tcPr>
            <w:tcW w:w="0" w:type="dxa"/>
            <w:vAlign w:val="bottom"/>
          </w:tcPr>
          <w:p>
            <w:pPr>
              <w:spacing w:after="0"/>
              <w:rPr>
                <w:sz w:val="1"/>
                <w:szCs w:val="1"/>
                <w:color w:val="auto"/>
              </w:rPr>
            </w:pPr>
          </w:p>
        </w:tc>
      </w:tr>
      <w:tr>
        <w:trPr>
          <w:trHeight w:val="353"/>
        </w:trPr>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Common shares</w:t>
            </w:r>
          </w:p>
        </w:tc>
        <w:tc>
          <w:tcPr>
            <w:tcW w:w="0" w:type="dxa"/>
            <w:vAlign w:val="bottom"/>
          </w:tcPr>
          <w:p>
            <w:pPr>
              <w:spacing w:after="0"/>
              <w:rPr>
                <w:sz w:val="1"/>
                <w:szCs w:val="1"/>
                <w:color w:val="auto"/>
              </w:rPr>
            </w:pPr>
          </w:p>
        </w:tc>
      </w:tr>
      <w:tr>
        <w:trPr>
          <w:trHeight w:val="35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5772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7157720"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5772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Conversion to</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Oklo, Inc. - Common shares, Class A (Level 2)</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Preferred shares, Series A-1 (Level 3)</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Warrants, Series A-1 (Level 3)</w:t>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Warrants, Series A (Level 3)</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Common shares (Level 2)</w:t>
      </w:r>
    </w:p>
    <w:p>
      <w:pPr>
        <w:sectPr>
          <w:pgSz w:w="11900" w:h="16838" w:orient="portrait"/>
          <w:cols w:equalWidth="0" w:num="2">
            <w:col w:w="7460" w:space="620"/>
            <w:col w:w="3200"/>
          </w:cols>
          <w:pgMar w:left="300" w:top="213" w:right="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Transactions during the three months ended March 31, 2025 involving the Company’s controlled investments and non-controlled/affiliate investments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4"/>
              </w:rPr>
              <w:t>Fair Value at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Unrealized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Fair Value at</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3"/>
        </w:trPr>
        <w:tc>
          <w:tcPr>
            <w:tcW w:w="47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Type/Industry/Portfolio Company/Investment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Quantity</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w w:val="93"/>
              </w:rPr>
              <w:t>2024</w:t>
            </w:r>
          </w:p>
        </w:tc>
        <w:tc>
          <w:tcPr>
            <w:tcW w:w="3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12"/>
        </w:trPr>
        <w:tc>
          <w:tcPr>
            <w:tcW w:w="2240" w:type="dxa"/>
            <w:vAlign w:val="bottom"/>
            <w:tcBorders>
              <w:top w:val="single" w:sz="8" w:color="auto"/>
              <w:bottom w:val="single" w:sz="8" w:color="auto"/>
            </w:tcBorders>
            <w:vMerge w:val="restart"/>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7"/>
              </w:rPr>
              <w:t>CONTROLLED INVESTMENTS*</w:t>
            </w:r>
          </w:p>
        </w:tc>
        <w:tc>
          <w:tcPr>
            <w:tcW w:w="1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106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94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02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24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7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Special Purpose Acquisition Company</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gridSpan w:val="6"/>
          </w:tcPr>
          <w:p>
            <w:pPr>
              <w:ind w:left="280"/>
              <w:spacing w:after="0" w:line="210" w:lineRule="exact"/>
              <w:rPr>
                <w:sz w:val="20"/>
                <w:szCs w:val="20"/>
                <w:color w:val="auto"/>
              </w:rPr>
            </w:pPr>
            <w:r>
              <w:rPr>
                <w:rFonts w:ascii="Times New Roman" w:cs="Times New Roman" w:eastAsia="Times New Roman" w:hAnsi="Times New Roman"/>
                <w:sz w:val="15"/>
                <w:szCs w:val="15"/>
                <w:color w:val="auto"/>
              </w:rPr>
              <w:t>Colombier Sponsor II LLC**</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5"/>
                <w:szCs w:val="15"/>
                <w:color w:val="auto"/>
              </w:rPr>
              <w:t>–Class W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498,305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781,695</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1,280,000</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0.82%</w:t>
            </w: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498,305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781,695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1,280,000</w:t>
            </w:r>
          </w:p>
        </w:tc>
        <w:tc>
          <w:tcPr>
            <w:tcW w:w="3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0.82%</w:t>
            </w:r>
          </w:p>
        </w:tc>
        <w:tc>
          <w:tcPr>
            <w:tcW w:w="0" w:type="dxa"/>
            <w:vAlign w:val="bottom"/>
          </w:tcPr>
          <w:p>
            <w:pPr>
              <w:spacing w:after="0"/>
              <w:rPr>
                <w:sz w:val="1"/>
                <w:szCs w:val="1"/>
                <w:color w:val="auto"/>
              </w:rPr>
            </w:pPr>
          </w:p>
        </w:tc>
      </w:tr>
      <w:tr>
        <w:trPr>
          <w:trHeight w:val="176"/>
        </w:trPr>
        <w:tc>
          <w:tcPr>
            <w:tcW w:w="47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Special Purpose Acquisition Company</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gridSpan w:val="6"/>
          </w:tcPr>
          <w:p>
            <w:pPr>
              <w:ind w:left="280"/>
              <w:spacing w:after="0" w:line="210" w:lineRule="exact"/>
              <w:rPr>
                <w:sz w:val="20"/>
                <w:szCs w:val="20"/>
                <w:color w:val="auto"/>
              </w:rPr>
            </w:pPr>
            <w:r>
              <w:rPr>
                <w:rFonts w:ascii="Times New Roman" w:cs="Times New Roman" w:eastAsia="Times New Roman" w:hAnsi="Times New Roman"/>
                <w:sz w:val="15"/>
                <w:szCs w:val="15"/>
                <w:color w:val="auto"/>
              </w:rPr>
              <w:t>Colombier Sponsor II LLC**</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5"/>
                <w:szCs w:val="15"/>
                <w:color w:val="auto"/>
              </w:rPr>
              <w:t>–Class B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1,040,000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7,828,781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8,930,476</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5.70%</w:t>
            </w:r>
          </w:p>
        </w:tc>
        <w:tc>
          <w:tcPr>
            <w:tcW w:w="0" w:type="dxa"/>
            <w:vAlign w:val="bottom"/>
          </w:tcPr>
          <w:p>
            <w:pPr>
              <w:spacing w:after="0"/>
              <w:rPr>
                <w:sz w:val="1"/>
                <w:szCs w:val="1"/>
                <w:color w:val="auto"/>
              </w:rPr>
            </w:pPr>
          </w:p>
        </w:tc>
      </w:tr>
      <w:tr>
        <w:trPr>
          <w:trHeight w:val="187"/>
        </w:trPr>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7,828,781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8,930,476</w:t>
            </w:r>
          </w:p>
        </w:tc>
        <w:tc>
          <w:tcPr>
            <w:tcW w:w="3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5.70%</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TOTAL CONTROLLED INVESTMENTS*</w:t>
            </w:r>
            <w:r>
              <w:rPr>
                <w:rFonts w:ascii="Times New Roman" w:cs="Times New Roman" w:eastAsia="Times New Roman" w:hAnsi="Times New Roman"/>
                <w:sz w:val="24"/>
                <w:szCs w:val="24"/>
                <w:b w:val="1"/>
                <w:bCs w:val="1"/>
                <w:color w:val="auto"/>
                <w:vertAlign w:val="superscript"/>
              </w:rPr>
              <w:t>(2)</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gridSpan w:val="6"/>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1,600,000</w:t>
            </w:r>
          </w:p>
        </w:tc>
        <w:tc>
          <w:tcPr>
            <w:tcW w:w="3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8,610,476</w:t>
            </w:r>
          </w:p>
        </w:tc>
        <w:tc>
          <w:tcPr>
            <w:tcW w:w="180" w:type="dxa"/>
            <w:vAlign w:val="bottom"/>
          </w:tcPr>
          <w:p>
            <w:pPr>
              <w:spacing w:after="0"/>
              <w:rPr>
                <w:sz w:val="16"/>
                <w:szCs w:val="16"/>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10,210,476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6.51%</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NON-CONTROLLED/AFFILIATE INVESTMENTS*</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1180" w:type="dxa"/>
            <w:vAlign w:val="bottom"/>
            <w:tcBorders>
              <w:bottom w:val="single" w:sz="8" w:color="CCEEFF"/>
            </w:tcBorders>
            <w:gridSpan w:val="2"/>
            <w:vMerge w:val="restart"/>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4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gridSpan w:val="2"/>
            <w:vMerge w:val="continue"/>
            <w:shd w:val="clear" w:color="auto" w:fill="CCEEFF"/>
          </w:tcPr>
          <w:p>
            <w:pPr>
              <w:spacing w:after="0"/>
              <w:rPr>
                <w:sz w:val="4"/>
                <w:szCs w:val="4"/>
                <w:color w:val="auto"/>
              </w:rPr>
            </w:pPr>
          </w:p>
        </w:tc>
        <w:tc>
          <w:tcPr>
            <w:tcW w:w="10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7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Maven Research, Inc.–Preferred shares, Series C</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318,979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476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Maven Research, Inc.–Preferred shares, Series B</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49,505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60" w:type="dxa"/>
            <w:vAlign w:val="bottom"/>
            <w:gridSpan w:val="6"/>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vMerge w:val="continue"/>
          </w:tcPr>
          <w:p>
            <w:pPr>
              <w:spacing w:after="0"/>
              <w:rPr>
                <w:sz w:val="14"/>
                <w:szCs w:val="14"/>
                <w:color w:val="auto"/>
              </w:rPr>
            </w:pPr>
          </w:p>
        </w:tc>
        <w:tc>
          <w:tcPr>
            <w:tcW w:w="116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gridSpan w:val="6"/>
          </w:tcPr>
          <w:p>
            <w:pPr>
              <w:ind w:left="28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 Preferred shares, Series D 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329,337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501,626</w:t>
            </w:r>
          </w:p>
        </w:tc>
        <w:tc>
          <w:tcPr>
            <w:tcW w:w="100" w:type="dxa"/>
            <w:vAlign w:val="bottom"/>
          </w:tcPr>
          <w:p>
            <w:pPr>
              <w:spacing w:after="0"/>
              <w:rPr>
                <w:sz w:val="18"/>
                <w:szCs w:val="18"/>
                <w:color w:val="auto"/>
              </w:rPr>
            </w:pPr>
          </w:p>
        </w:tc>
        <w:tc>
          <w:tcPr>
            <w:tcW w:w="108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(22,044)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479,582</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210"/>
        </w:trPr>
        <w:tc>
          <w:tcPr>
            <w:tcW w:w="4760" w:type="dxa"/>
            <w:vAlign w:val="bottom"/>
            <w:gridSpan w:val="6"/>
            <w:shd w:val="clear" w:color="auto" w:fill="CCEEFF"/>
          </w:tcPr>
          <w:p>
            <w:pPr>
              <w:ind w:left="28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 Preferred shares, Series C 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2,779,134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5,376,994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(206,610)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5,170,384</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210"/>
        </w:trPr>
        <w:tc>
          <w:tcPr>
            <w:tcW w:w="4760" w:type="dxa"/>
            <w:vAlign w:val="bottom"/>
            <w:gridSpan w:val="6"/>
          </w:tcPr>
          <w:p>
            <w:pPr>
              <w:ind w:left="280"/>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 Preferred shares, Series B 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3,279,629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3,233,922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(219,516)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3,014,406</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221"/>
        </w:trPr>
        <w:tc>
          <w:tcPr>
            <w:tcW w:w="4760" w:type="dxa"/>
            <w:vAlign w:val="bottom"/>
            <w:gridSpan w:val="6"/>
            <w:shd w:val="clear" w:color="auto" w:fill="CCEEFF"/>
          </w:tcPr>
          <w:p>
            <w:pPr>
              <w:ind w:left="280"/>
              <w:spacing w:after="0" w:line="22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 Preferred shares, Series A 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366,666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156,285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(24,542)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131,743</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0.08%</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60" w:type="dxa"/>
            <w:vAlign w:val="bottom"/>
            <w:gridSpan w:val="6"/>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9,268,827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(472,712)</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8,796,115</w:t>
            </w:r>
          </w:p>
        </w:tc>
        <w:tc>
          <w:tcPr>
            <w:tcW w:w="320" w:type="dxa"/>
            <w:vAlign w:val="bottom"/>
            <w:vMerge w:val="continue"/>
          </w:tcPr>
          <w:p>
            <w:pPr>
              <w:spacing w:after="0"/>
              <w:rPr>
                <w:sz w:val="14"/>
                <w:szCs w:val="14"/>
                <w:color w:val="auto"/>
              </w:rPr>
            </w:pPr>
          </w:p>
        </w:tc>
        <w:tc>
          <w:tcPr>
            <w:tcW w:w="116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9,268,827</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(472,712)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8,796,115</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187"/>
        </w:trPr>
        <w:tc>
          <w:tcPr>
            <w:tcW w:w="47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Online Education</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Curious.com, Inc.–Common shares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1,135,944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760" w:type="dxa"/>
            <w:vAlign w:val="bottom"/>
            <w:gridSpan w:val="6"/>
            <w:vMerge w:val="restart"/>
          </w:tcPr>
          <w:p>
            <w:pPr>
              <w:spacing w:after="0" w:line="165" w:lineRule="exact"/>
              <w:rPr>
                <w:sz w:val="20"/>
                <w:szCs w:val="20"/>
                <w:color w:val="auto"/>
              </w:rPr>
            </w:pPr>
            <w:r>
              <w:rPr>
                <w:rFonts w:ascii="Times New Roman" w:cs="Times New Roman" w:eastAsia="Times New Roman" w:hAnsi="Times New Roman"/>
                <w:sz w:val="12"/>
                <w:szCs w:val="12"/>
                <w:b w:val="1"/>
                <w:bCs w:val="1"/>
                <w:color w:val="auto"/>
              </w:rPr>
              <w:t>TOTAL NON-CONTROLLED/AFFILIATE INVESTMENTS*</w:t>
            </w:r>
            <w:r>
              <w:rPr>
                <w:rFonts w:ascii="Times New Roman" w:cs="Times New Roman" w:eastAsia="Times New Roman" w:hAnsi="Times New Roman"/>
                <w:sz w:val="19"/>
                <w:szCs w:val="19"/>
                <w:b w:val="1"/>
                <w:bCs w:val="1"/>
                <w:color w:val="auto"/>
                <w:vertAlign w:val="superscript"/>
              </w:rPr>
              <w:t>(1)</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60" w:type="dxa"/>
            <w:vAlign w:val="bottom"/>
            <w:gridSpan w:val="6"/>
            <w:vMerge w:val="continue"/>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9,268,827</w:t>
            </w:r>
          </w:p>
        </w:tc>
        <w:tc>
          <w:tcPr>
            <w:tcW w:w="3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(472,712</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8,796,115</w:t>
            </w:r>
          </w:p>
        </w:tc>
        <w:tc>
          <w:tcPr>
            <w:tcW w:w="11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2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gridSpan w:val="2"/>
          </w:tcPr>
          <w:p>
            <w:pPr>
              <w:jc w:val="right"/>
              <w:ind w:right="20"/>
              <w:spacing w:after="0" w:line="67" w:lineRule="exact"/>
              <w:rPr>
                <w:sz w:val="20"/>
                <w:szCs w:val="20"/>
                <w:color w:val="auto"/>
              </w:rPr>
            </w:pPr>
            <w:r>
              <w:rPr>
                <w:rFonts w:ascii="Times New Roman" w:cs="Times New Roman" w:eastAsia="Times New Roman" w:hAnsi="Times New Roman"/>
                <w:sz w:val="7"/>
                <w:szCs w:val="7"/>
                <w:b w:val="1"/>
                <w:bCs w:val="1"/>
                <w:color w:val="auto"/>
              </w:rPr>
              <w:t>5.61</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320" w:hanging="312"/>
        <w:spacing w:after="0" w:line="250" w:lineRule="auto"/>
        <w:tabs>
          <w:tab w:leader="none" w:pos="3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Fair Value</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left="320" w:hanging="312"/>
        <w:spacing w:after="0" w:line="271" w:lineRule="auto"/>
        <w:tabs>
          <w:tab w:leader="none" w:pos="3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March 31, 2025, 47.59% of its total investments are non-qualifying assets, excluding cash and short-term US treasuries.</w:t>
      </w:r>
    </w:p>
    <w:p>
      <w:pPr>
        <w:spacing w:after="0" w:line="140" w:lineRule="exact"/>
        <w:rPr>
          <w:sz w:val="20"/>
          <w:szCs w:val="20"/>
          <w:color w:val="auto"/>
        </w:rPr>
      </w:pPr>
    </w:p>
    <w:p>
      <w:pPr>
        <w:jc w:val="both"/>
        <w:ind w:left="320" w:hanging="312"/>
        <w:spacing w:after="0" w:line="258" w:lineRule="auto"/>
        <w:tabs>
          <w:tab w:leader="none" w:pos="3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9" w:lineRule="exact"/>
        <w:rPr>
          <w:rFonts w:ascii="Times New Roman" w:cs="Times New Roman" w:eastAsia="Times New Roman" w:hAnsi="Times New Roman"/>
          <w:sz w:val="15"/>
          <w:szCs w:val="15"/>
          <w:color w:val="auto"/>
        </w:rPr>
      </w:pPr>
    </w:p>
    <w:p>
      <w:pPr>
        <w:jc w:val="both"/>
        <w:ind w:left="320" w:hanging="312"/>
        <w:spacing w:after="0" w:line="258" w:lineRule="auto"/>
        <w:tabs>
          <w:tab w:leader="none" w:pos="3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9" w:lineRule="exact"/>
        <w:rPr>
          <w:rFonts w:ascii="Times New Roman" w:cs="Times New Roman" w:eastAsia="Times New Roman" w:hAnsi="Times New Roman"/>
          <w:sz w:val="15"/>
          <w:szCs w:val="15"/>
          <w:color w:val="auto"/>
        </w:rPr>
      </w:pPr>
    </w:p>
    <w:p>
      <w:pPr>
        <w:ind w:left="320" w:hanging="312"/>
        <w:spacing w:after="0" w:line="271" w:lineRule="auto"/>
        <w:tabs>
          <w:tab w:leader="none" w:pos="3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9"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4" w:name="page35"/>
    <w:bookmarkEnd w:id="3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Transactions during the year ended December 31, 2024 involving the Company’s controlled investments and non-controlled/affiliate investments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Interest,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Fees, or</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Purchases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8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at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15"/>
                <w:szCs w:val="15"/>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Credited</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8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Transfer In/</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4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3"/>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Principal/Quantity</w:t>
            </w:r>
          </w:p>
        </w:tc>
        <w:tc>
          <w:tcPr>
            <w:tcW w:w="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 Income</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(Out)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Fees</w:t>
            </w:r>
          </w:p>
        </w:tc>
        <w:tc>
          <w:tcPr>
            <w:tcW w:w="12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Sales/Redemptions</w:t>
            </w:r>
          </w:p>
        </w:tc>
        <w:tc>
          <w:tcPr>
            <w:tcW w:w="10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w w:val="95"/>
              </w:rPr>
              <w:t>31, 2024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5"/>
        </w:trPr>
        <w:tc>
          <w:tcPr>
            <w:tcW w:w="1060" w:type="dxa"/>
            <w:vAlign w:val="bottom"/>
            <w:tcBorders>
              <w:top w:val="single" w:sz="8" w:color="auto"/>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w w:val="97"/>
              </w:rPr>
              <w:t>CONTROLLED</w:t>
            </w:r>
          </w:p>
        </w:tc>
        <w:tc>
          <w:tcPr>
            <w:tcW w:w="840" w:type="dxa"/>
            <w:vAlign w:val="bottom"/>
            <w:tcBorders>
              <w:top w:val="single" w:sz="8" w:color="auto"/>
              <w:bottom w:val="single" w:sz="8" w:color="CCEEFF"/>
            </w:tcBorders>
            <w:gridSpan w:val="4"/>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6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INVESTMENTS*</w:t>
            </w:r>
          </w:p>
        </w:tc>
        <w:tc>
          <w:tcPr>
            <w:tcW w:w="1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2"/>
                <w:szCs w:val="12"/>
                <w:b w:val="1"/>
                <w:bCs w:val="1"/>
                <w:color w:val="auto"/>
                <w:w w:val="85"/>
              </w:rPr>
              <w:t>(2)</w:t>
            </w: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16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00" w:type="dxa"/>
            <w:vAlign w:val="bottom"/>
            <w:gridSpan w:val="6"/>
            <w:shd w:val="clear" w:color="auto" w:fill="CCEEFF"/>
          </w:tcPr>
          <w:p>
            <w:pPr>
              <w:ind w:left="140"/>
              <w:spacing w:after="0" w:line="160"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00" w:type="dxa"/>
            <w:vAlign w:val="bottom"/>
            <w:gridSpan w:val="6"/>
          </w:tcPr>
          <w:p>
            <w:pPr>
              <w:ind w:left="280"/>
              <w:spacing w:after="0" w:line="164" w:lineRule="exact"/>
              <w:rPr>
                <w:sz w:val="20"/>
                <w:szCs w:val="20"/>
                <w:color w:val="auto"/>
              </w:rPr>
            </w:pPr>
            <w:r>
              <w:rPr>
                <w:rFonts w:ascii="Times New Roman" w:cs="Times New Roman" w:eastAsia="Times New Roman" w:hAnsi="Times New Roman"/>
                <w:sz w:val="15"/>
                <w:szCs w:val="15"/>
                <w:color w:val="auto"/>
              </w:rPr>
              <w:t>Colombier Sponsor II</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900" w:type="dxa"/>
            <w:vAlign w:val="bottom"/>
            <w:gridSpan w:val="6"/>
          </w:tcPr>
          <w:p>
            <w:pPr>
              <w:ind w:left="280"/>
              <w:spacing w:after="0" w:line="222" w:lineRule="exact"/>
              <w:rPr>
                <w:sz w:val="20"/>
                <w:szCs w:val="20"/>
                <w:color w:val="auto"/>
              </w:rPr>
            </w:pPr>
            <w:r>
              <w:rPr>
                <w:rFonts w:ascii="Times New Roman" w:cs="Times New Roman" w:eastAsia="Times New Roman" w:hAnsi="Times New Roman"/>
                <w:sz w:val="15"/>
                <w:szCs w:val="15"/>
                <w:color w:val="auto"/>
              </w:rPr>
              <w:t>LLC**</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5"/>
                <w:szCs w:val="15"/>
                <w:color w:val="auto"/>
              </w:rPr>
              <w:t>–Class W Units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6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498,305</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498,305</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SPBRX, INC. (f/k/a GSV</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Sustainability Partners,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Inc.)–Preferred shares,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Class A</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382,381</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4,218</w:t>
            </w:r>
          </w:p>
        </w:tc>
        <w:tc>
          <w:tcPr>
            <w:tcW w:w="2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(374,950)</w:t>
            </w: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(6,780,680)</w:t>
            </w: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6,769,031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1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382,381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4,218</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(374,950)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(6,780,680)</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6,769,031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SPBRX, INC. (f/k/a GSV</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Sustainability Partners,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Inc.)–Common shares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Mobile Finance Technology</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Architect Capital PayJoy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w w:val="98"/>
              </w:rPr>
              <w:t>SPV, LLC**–Membership</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Interest in Lending</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SPV***</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955,628</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4"/>
              </w:rPr>
              <w:t>10,000,000</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(10,000,000)</w:t>
            </w:r>
          </w:p>
        </w:tc>
        <w:tc>
          <w:tcPr>
            <w:tcW w:w="1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(6,745)</w:t>
            </w: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1900" w:type="dxa"/>
            <w:vAlign w:val="bottom"/>
            <w:gridSpan w:val="6"/>
            <w:shd w:val="clear" w:color="auto" w:fill="CCEEFF"/>
          </w:tcPr>
          <w:p>
            <w:pPr>
              <w:ind w:left="140"/>
              <w:spacing w:after="0" w:line="160"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900" w:type="dxa"/>
            <w:vAlign w:val="bottom"/>
            <w:gridSpan w:val="6"/>
          </w:tcPr>
          <w:p>
            <w:pPr>
              <w:spacing w:after="0" w:line="164" w:lineRule="exact"/>
              <w:rPr>
                <w:sz w:val="20"/>
                <w:szCs w:val="20"/>
                <w:color w:val="auto"/>
              </w:rPr>
            </w:pPr>
            <w:r>
              <w:rPr>
                <w:rFonts w:ascii="Times New Roman" w:cs="Times New Roman" w:eastAsia="Times New Roman" w:hAnsi="Times New Roman"/>
                <w:sz w:val="15"/>
                <w:szCs w:val="15"/>
                <w:color w:val="auto"/>
              </w:rPr>
              <w:t>Colombier Sponsor II LLC**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900" w:type="dxa"/>
            <w:vAlign w:val="bottom"/>
            <w:gridSpan w:val="6"/>
          </w:tcPr>
          <w:p>
            <w:pPr>
              <w:spacing w:after="0" w:line="222" w:lineRule="exact"/>
              <w:rPr>
                <w:sz w:val="20"/>
                <w:szCs w:val="20"/>
                <w:color w:val="auto"/>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5"/>
                <w:szCs w:val="15"/>
                <w:color w:val="auto"/>
              </w:rPr>
              <w:t>–Class B Units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6"/>
              </w:rPr>
              <w:t>1,101,695</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87"/>
        </w:trPr>
        <w:tc>
          <w:tcPr>
            <w:tcW w:w="1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955,628</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4"/>
              </w:rPr>
              <w:t>11,101,695</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(10,000,000)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(16,745)</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16,745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6"/>
              </w:rPr>
              <w:t>1,101,695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42"/>
        </w:trPr>
        <w:tc>
          <w:tcPr>
            <w:tcW w:w="1900" w:type="dxa"/>
            <w:vAlign w:val="bottom"/>
            <w:gridSpan w:val="6"/>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TOTAL CONTROLLED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900" w:type="dxa"/>
            <w:vAlign w:val="bottom"/>
            <w:gridSpan w:val="6"/>
          </w:tcPr>
          <w:p>
            <w:pPr>
              <w:spacing w:after="0" w:line="225"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4"/>
                <w:szCs w:val="24"/>
                <w:b w:val="1"/>
                <w:bCs w:val="1"/>
                <w:color w:val="auto"/>
                <w:vertAlign w:val="superscript"/>
              </w:rPr>
              <w:t>(2)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955,628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4"/>
              </w:rPr>
              <w:t>11,982,381</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4,218</w:t>
            </w:r>
          </w:p>
        </w:tc>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(10,374,950)</w:t>
            </w: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(6,797,425)</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6,785,776</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6"/>
              </w:rPr>
              <w:t>1,600,000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c>
          <w:tcPr>
            <w:tcW w:w="0" w:type="dxa"/>
            <w:vAlign w:val="bottom"/>
          </w:tcPr>
          <w:p>
            <w:pPr>
              <w:spacing w:after="0"/>
              <w:rPr>
                <w:sz w:val="1"/>
                <w:szCs w:val="1"/>
                <w:color w:val="auto"/>
              </w:rPr>
            </w:pPr>
          </w:p>
        </w:tc>
      </w:tr>
      <w:tr>
        <w:trPr>
          <w:trHeight w:val="143"/>
        </w:trPr>
        <w:tc>
          <w:tcPr>
            <w:tcW w:w="1900" w:type="dxa"/>
            <w:vAlign w:val="bottom"/>
            <w:gridSpan w:val="6"/>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NON-</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0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7"/>
              </w:rPr>
              <w:t>CONTROLLED/AFFILIATE</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6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INVESTMENTS*</w:t>
            </w:r>
          </w:p>
        </w:tc>
        <w:tc>
          <w:tcPr>
            <w:tcW w:w="1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85"/>
              </w:rPr>
              <w:t>(1)</w:t>
            </w:r>
          </w:p>
        </w:tc>
        <w:tc>
          <w:tcPr>
            <w:tcW w:w="5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16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Debt Investments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OneValley, Inc. (f/k/a</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NestGSV, Inc.)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Convertible Promissory</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Note 8%, Due 8/23/2024</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1,267,395</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(1,414,278)</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384,102</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(237,219)</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1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Investments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1,267,395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(1,414,278)</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384,102</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(237,219)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9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Maven Research, Inc.–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318,979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1900" w:type="dxa"/>
            <w:vAlign w:val="bottom"/>
            <w:gridSpan w:val="6"/>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Maven Research, Inc.–</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0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49,505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9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900" w:type="dxa"/>
            <w:vAlign w:val="bottom"/>
            <w:gridSpan w:val="6"/>
          </w:tcPr>
          <w:p>
            <w:pPr>
              <w:ind w:left="280"/>
              <w:spacing w:after="0" w:line="194"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Preferred shares, Series 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329,337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653,975</w:t>
            </w: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(152,349)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501,626</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95"/>
        </w:trPr>
        <w:tc>
          <w:tcPr>
            <w:tcW w:w="1900" w:type="dxa"/>
            <w:vAlign w:val="bottom"/>
            <w:gridSpan w:val="6"/>
            <w:shd w:val="clear" w:color="auto" w:fill="CCEEFF"/>
          </w:tcPr>
          <w:p>
            <w:pPr>
              <w:ind w:left="280"/>
              <w:spacing w:after="0" w:line="194"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6,804,933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(1,427,939)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6"/>
              </w:rPr>
              <w:t>5,376,994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95"/>
        </w:trPr>
        <w:tc>
          <w:tcPr>
            <w:tcW w:w="1900" w:type="dxa"/>
            <w:vAlign w:val="bottom"/>
            <w:gridSpan w:val="6"/>
          </w:tcPr>
          <w:p>
            <w:pPr>
              <w:ind w:left="280"/>
              <w:spacing w:after="0" w:line="194"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4,751,064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(1,517,142)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6"/>
              </w:rPr>
              <w:t>3,233,922</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195"/>
        </w:trPr>
        <w:tc>
          <w:tcPr>
            <w:tcW w:w="1900" w:type="dxa"/>
            <w:vAlign w:val="bottom"/>
            <w:gridSpan w:val="6"/>
            <w:shd w:val="clear" w:color="auto" w:fill="CCEEFF"/>
          </w:tcPr>
          <w:p>
            <w:pPr>
              <w:ind w:left="280"/>
              <w:spacing w:after="0" w:line="194"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Preferred shares, Series A</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325,903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(169,618)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156,285</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20"/>
        </w:trPr>
        <w:tc>
          <w:tcPr>
            <w:tcW w:w="19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4"/>
              </w:rPr>
              <w:t>12,535,875</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(3,267,048)</w:t>
            </w: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6"/>
              </w:rPr>
              <w:t>9,268,827</w:t>
            </w: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4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76"/>
        </w:trPr>
        <w:tc>
          <w:tcPr>
            <w:tcW w:w="1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4"/>
              </w:rPr>
              <w:t>12,535,875</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(3,267,048)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6"/>
              </w:rPr>
              <w:t>9,268,827</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87"/>
        </w:trPr>
        <w:tc>
          <w:tcPr>
            <w:tcW w:w="19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00" w:type="dxa"/>
            <w:vAlign w:val="bottom"/>
            <w:gridSpan w:val="6"/>
            <w:shd w:val="clear" w:color="auto" w:fill="CCEEFF"/>
          </w:tcPr>
          <w:p>
            <w:pPr>
              <w:ind w:left="140"/>
              <w:spacing w:after="0" w:line="168" w:lineRule="exact"/>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6"/>
          </w:tcPr>
          <w:p>
            <w:pPr>
              <w:ind w:left="280"/>
              <w:spacing w:after="0" w:line="162" w:lineRule="exact"/>
              <w:rPr>
                <w:sz w:val="20"/>
                <w:szCs w:val="20"/>
                <w:color w:val="auto"/>
              </w:rPr>
            </w:pPr>
            <w:r>
              <w:rPr>
                <w:rFonts w:ascii="Times New Roman" w:cs="Times New Roman" w:eastAsia="Times New Roman" w:hAnsi="Times New Roman"/>
                <w:sz w:val="15"/>
                <w:szCs w:val="15"/>
                <w:color w:val="auto"/>
              </w:rPr>
              <w:t>OneValley, Inc. (f/k/a</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w w:val="97"/>
              </w:rPr>
              <w:t>NestGSV, Inc.)–Derivative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rPr>
              <w:t>Security, Expiration Date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8/23/2024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620,927</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13,230</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(6,982,628)</w:t>
            </w: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7,934,193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0"/>
        </w:trPr>
        <w:tc>
          <w:tcPr>
            <w:tcW w:w="1900" w:type="dxa"/>
            <w:vAlign w:val="bottom"/>
            <w:tcBorders>
              <w:top w:val="single" w:sz="8" w:color="CCEEFF"/>
            </w:tcBorders>
            <w:gridSpan w:val="6"/>
            <w:shd w:val="clear" w:color="auto" w:fill="CCEEFF"/>
          </w:tcPr>
          <w:p>
            <w:pPr>
              <w:ind w:left="140"/>
              <w:spacing w:after="0" w:line="140" w:lineRule="exact"/>
              <w:rPr>
                <w:sz w:val="20"/>
                <w:szCs w:val="20"/>
                <w:color w:val="auto"/>
              </w:rPr>
            </w:pPr>
            <w:r>
              <w:rPr>
                <w:rFonts w:ascii="Times New Roman" w:cs="Times New Roman" w:eastAsia="Times New Roman" w:hAnsi="Times New Roman"/>
                <w:sz w:val="15"/>
                <w:szCs w:val="15"/>
                <w:i w:val="1"/>
                <w:iCs w:val="1"/>
                <w:color w:val="auto"/>
              </w:rPr>
              <w:t>Total Global Innovation</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90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620,927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13,230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(6,982,628)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7,934,193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900" w:type="dxa"/>
            <w:vAlign w:val="bottom"/>
            <w:gridSpan w:val="6"/>
            <w:shd w:val="clear" w:color="auto" w:fill="CCEEFF"/>
          </w:tcPr>
          <w:p>
            <w:pPr>
              <w:ind w:left="280"/>
              <w:spacing w:after="0" w:line="164" w:lineRule="exact"/>
              <w:rPr>
                <w:sz w:val="20"/>
                <w:szCs w:val="20"/>
                <w:color w:val="auto"/>
              </w:rPr>
            </w:pPr>
            <w:r>
              <w:rPr>
                <w:rFonts w:ascii="Times New Roman" w:cs="Times New Roman" w:eastAsia="Times New Roman" w:hAnsi="Times New Roman"/>
                <w:sz w:val="15"/>
                <w:szCs w:val="15"/>
                <w:color w:val="auto"/>
              </w:rPr>
              <w:t>PSQ Holdings, Inc. (d/b/a</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1,796,037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1,964,750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(1,964,750)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6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1900" w:type="dxa"/>
            <w:vAlign w:val="bottom"/>
            <w:gridSpan w:val="6"/>
            <w:shd w:val="clear" w:color="auto" w:fill="CCEEFF"/>
          </w:tcPr>
          <w:p>
            <w:pPr>
              <w:ind w:left="280"/>
              <w:spacing w:after="0" w:line="205"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(3)(4)</w:t>
            </w:r>
            <w:r>
              <w:rPr>
                <w:rFonts w:ascii="Times New Roman" w:cs="Times New Roman" w:eastAsia="Times New Roman" w:hAnsi="Times New Roman"/>
                <w:sz w:val="14"/>
                <w:szCs w:val="14"/>
                <w:color w:val="auto"/>
              </w:rPr>
              <w:t xml:space="preserve">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213"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Warrants</w:t>
            </w: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2,585,677</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(1,964,750)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13,230</w:t>
            </w:r>
          </w:p>
        </w:tc>
        <w:tc>
          <w:tcPr>
            <w:tcW w:w="3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(6,982,628)</w:t>
            </w:r>
          </w:p>
        </w:tc>
        <w:tc>
          <w:tcPr>
            <w:tcW w:w="2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7,934,193</w:t>
            </w:r>
          </w:p>
        </w:tc>
        <w:tc>
          <w:tcPr>
            <w:tcW w:w="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Online Education</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Curious.com, Inc.–</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Common shares</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1,135,944</w:t>
            </w:r>
          </w:p>
        </w:tc>
        <w:tc>
          <w:tcPr>
            <w:tcW w:w="2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80"/>
              <w:spacing w:after="0" w:line="164" w:lineRule="exact"/>
              <w:rPr>
                <w:sz w:val="20"/>
                <w:szCs w:val="20"/>
                <w:color w:val="auto"/>
              </w:rPr>
            </w:pPr>
            <w:r>
              <w:rPr>
                <w:rFonts w:ascii="Times New Roman" w:cs="Times New Roman" w:eastAsia="Times New Roman" w:hAnsi="Times New Roman"/>
                <w:sz w:val="15"/>
                <w:szCs w:val="15"/>
                <w:color w:val="auto"/>
              </w:rPr>
              <w:t>PSQ Holdings, Inc. (d/b/a</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80"/>
              <w:spacing w:after="0" w:line="207"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5"/>
                <w:szCs w:val="15"/>
                <w:color w:val="auto"/>
              </w:rPr>
              <w:t xml:space="preserve"> –</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Common shares, Class A</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(8,542,386)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(8,542,386)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0"/>
        </w:trPr>
        <w:tc>
          <w:tcPr>
            <w:tcW w:w="222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TOTAL NON-</w:t>
            </w:r>
          </w:p>
        </w:tc>
        <w:tc>
          <w:tcPr>
            <w:tcW w:w="10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CONTROLLED/AFFILIATE</w:t>
            </w: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12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u w:val="single" w:color="auto"/>
                <w:color w:val="auto"/>
                <w:w w:val="95"/>
              </w:rPr>
              <w:t>$</w:t>
            </w:r>
            <w:r>
              <w:rPr>
                <w:rFonts w:ascii="Times New Roman" w:cs="Times New Roman" w:eastAsia="Times New Roman" w:hAnsi="Times New Roman"/>
                <w:sz w:val="15"/>
                <w:szCs w:val="15"/>
                <w:b w:val="1"/>
                <w:bCs w:val="1"/>
                <w:color w:val="auto"/>
                <w:w w:val="95"/>
              </w:rPr>
              <w:t>24,931,333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13,230</w:t>
            </w:r>
          </w:p>
        </w:tc>
        <w:tc>
          <w:tcPr>
            <w:tcW w:w="300" w:type="dxa"/>
            <w:vAlign w:val="bottom"/>
            <w:vMerge w:val="restart"/>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(6,598,526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4,429,926</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9,268,827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222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60" w:type="dxa"/>
            <w:vAlign w:val="bottom"/>
            <w:gridSpan w:val="2"/>
            <w:shd w:val="clear" w:color="auto" w:fill="CCEEFF"/>
          </w:tcPr>
          <w:p>
            <w:pPr>
              <w:jc w:val="right"/>
              <w:ind w:right="80"/>
              <w:spacing w:after="0" w:line="67" w:lineRule="exact"/>
              <w:rPr>
                <w:sz w:val="20"/>
                <w:szCs w:val="20"/>
                <w:color w:val="auto"/>
              </w:rPr>
            </w:pPr>
            <w:r>
              <w:rPr>
                <w:rFonts w:ascii="Times New Roman" w:cs="Times New Roman" w:eastAsia="Times New Roman" w:hAnsi="Times New Roman"/>
                <w:sz w:val="7"/>
                <w:szCs w:val="7"/>
                <w:b w:val="1"/>
                <w:bCs w:val="1"/>
                <w:u w:val="single" w:color="auto"/>
                <w:color w:val="auto"/>
              </w:rPr>
              <w:t>$</w:t>
            </w:r>
            <w:r>
              <w:rPr>
                <w:rFonts w:ascii="Times New Roman" w:cs="Times New Roman" w:eastAsia="Times New Roman" w:hAnsi="Times New Roman"/>
                <w:sz w:val="7"/>
                <w:szCs w:val="7"/>
                <w:b w:val="1"/>
                <w:bCs w:val="1"/>
                <w:color w:val="auto"/>
              </w:rPr>
              <w:t>(10,507,136</w:t>
            </w:r>
          </w:p>
        </w:tc>
        <w:tc>
          <w:tcPr>
            <w:tcW w:w="22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80" w:type="dxa"/>
            <w:vAlign w:val="bottom"/>
            <w:gridSpan w:val="2"/>
            <w:shd w:val="clear" w:color="auto" w:fill="CCEEFF"/>
          </w:tcPr>
          <w:p>
            <w:pPr>
              <w:jc w:val="right"/>
              <w:ind w:right="100"/>
              <w:spacing w:after="0" w:line="67" w:lineRule="exact"/>
              <w:rPr>
                <w:sz w:val="20"/>
                <w:szCs w:val="20"/>
                <w:color w:val="auto"/>
              </w:rPr>
            </w:pPr>
            <w:r>
              <w:rPr>
                <w:rFonts w:ascii="Times New Roman" w:cs="Times New Roman" w:eastAsia="Times New Roman" w:hAnsi="Times New Roman"/>
                <w:sz w:val="7"/>
                <w:szCs w:val="7"/>
                <w:b w:val="1"/>
                <w:bCs w:val="1"/>
                <w:color w:val="auto"/>
              </w:rPr>
              <w:t>(3,000,000</w:t>
            </w: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800" w:type="dxa"/>
            <w:vAlign w:val="bottom"/>
            <w:gridSpan w:val="3"/>
            <w:vMerge w:val="continue"/>
            <w:shd w:val="clear" w:color="auto" w:fill="CCEEFF"/>
          </w:tcPr>
          <w:p>
            <w:pPr>
              <w:spacing w:after="0"/>
              <w:rPr>
                <w:sz w:val="5"/>
                <w:szCs w:val="5"/>
                <w:color w:val="auto"/>
              </w:rPr>
            </w:pPr>
          </w:p>
        </w:tc>
        <w:tc>
          <w:tcPr>
            <w:tcW w:w="840" w:type="dxa"/>
            <w:vAlign w:val="bottom"/>
            <w:gridSpan w:val="2"/>
            <w:shd w:val="clear" w:color="auto" w:fill="CCEEFF"/>
          </w:tcPr>
          <w:p>
            <w:pPr>
              <w:jc w:val="right"/>
              <w:ind w:right="140"/>
              <w:spacing w:after="0" w:line="67" w:lineRule="exact"/>
              <w:rPr>
                <w:sz w:val="20"/>
                <w:szCs w:val="20"/>
                <w:color w:val="auto"/>
              </w:rPr>
            </w:pPr>
            <w:r>
              <w:rPr>
                <w:rFonts w:ascii="Times New Roman" w:cs="Times New Roman" w:eastAsia="Times New Roman" w:hAnsi="Times New Roman"/>
                <w:sz w:val="7"/>
                <w:szCs w:val="7"/>
                <w:b w:val="1"/>
                <w:bCs w:val="1"/>
                <w:color w:val="auto"/>
              </w:rPr>
              <w:t>5.88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9260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64" w:lineRule="exact"/>
        <w:rPr>
          <w:sz w:val="20"/>
          <w:szCs w:val="20"/>
          <w:color w:val="auto"/>
        </w:rPr>
      </w:pPr>
    </w:p>
    <w:p>
      <w:pPr>
        <w:jc w:val="both"/>
        <w:ind w:left="320" w:right="80" w:hanging="312"/>
        <w:spacing w:after="0" w:line="250" w:lineRule="auto"/>
        <w:tabs>
          <w:tab w:leader="none" w:pos="3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Fair Value</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360"/>
          </w:cols>
          <w:pgMar w:left="300" w:top="14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left="320" w:hanging="312"/>
        <w:spacing w:after="0" w:line="271" w:lineRule="auto"/>
        <w:tabs>
          <w:tab w:leader="none" w:pos="3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December 31, 2024, 39.56% of its total investments are non-qualifying assets, excluding cash and short-term US treasuries.</w:t>
      </w:r>
    </w:p>
    <w:p>
      <w:pPr>
        <w:spacing w:after="0" w:line="139"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80" w:lineRule="exact"/>
        <w:rPr>
          <w:sz w:val="20"/>
          <w:szCs w:val="20"/>
          <w:color w:val="auto"/>
        </w:rPr>
      </w:pPr>
    </w:p>
    <w:p>
      <w:pPr>
        <w:jc w:val="both"/>
        <w:ind w:left="320" w:hanging="312"/>
        <w:spacing w:after="0" w:line="258" w:lineRule="auto"/>
        <w:tabs>
          <w:tab w:leader="none" w:pos="3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9" w:lineRule="exact"/>
        <w:rPr>
          <w:rFonts w:ascii="Times New Roman" w:cs="Times New Roman" w:eastAsia="Times New Roman" w:hAnsi="Times New Roman"/>
          <w:sz w:val="15"/>
          <w:szCs w:val="15"/>
          <w:color w:val="auto"/>
        </w:rPr>
      </w:pPr>
    </w:p>
    <w:p>
      <w:pPr>
        <w:jc w:val="both"/>
        <w:ind w:left="320" w:hanging="312"/>
        <w:spacing w:after="0" w:line="258" w:lineRule="auto"/>
        <w:tabs>
          <w:tab w:leader="none" w:pos="3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9"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80" w:lineRule="exact"/>
        <w:rPr>
          <w:rFonts w:ascii="Times New Roman" w:cs="Times New Roman" w:eastAsia="Times New Roman" w:hAnsi="Times New Roman"/>
          <w:sz w:val="15"/>
          <w:szCs w:val="15"/>
          <w:color w:val="auto"/>
        </w:rPr>
      </w:pPr>
    </w:p>
    <w:p>
      <w:pPr>
        <w:jc w:val="both"/>
        <w:ind w:left="320" w:hanging="312"/>
        <w:spacing w:after="0" w:line="254" w:lineRule="auto"/>
        <w:tabs>
          <w:tab w:leader="none" w:pos="3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ownership percentage in PSQ Holdings, Inc. (d/b/a PublicSquare) decreased to below 5% and as such, PSQ Holdings, Inc. (d/b/a PublicSquare) was no longer classified as an “affiliate investment” as of September 30, 2024. As such, the Company has reflected a “transfer out” of the “Non-Controlled/Affiliate Investment” category above as of September 30, 2024 to indicate that the investment in PSQ Holdings, Inc. (d/b/a PublicSquare), while still held as of December 31, 2024, does not meet the criteria of an affiliate investment as defined in the 1940 Act.</w:t>
      </w:r>
    </w:p>
    <w:p>
      <w:pPr>
        <w:spacing w:after="0" w:line="152"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80" w:lineRule="exact"/>
        <w:rPr>
          <w:rFonts w:ascii="Times New Roman" w:cs="Times New Roman" w:eastAsia="Times New Roman" w:hAnsi="Times New Roman"/>
          <w:sz w:val="15"/>
          <w:szCs w:val="15"/>
          <w:color w:val="auto"/>
        </w:rPr>
      </w:pPr>
    </w:p>
    <w:p>
      <w:pPr>
        <w:ind w:left="280" w:hanging="272"/>
        <w:spacing w:after="0" w:line="271" w:lineRule="auto"/>
        <w:tabs>
          <w:tab w:leader="none" w:pos="2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4"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2024, the Company’s Board of Directors authorized an extension, and increase in the amount of common shares that may be purchased under, of the Company’s discretionary Share Repurchase Program until the earlier of (i) October 31, 2025 or (ii) the repurchase of $64.3 million in aggregate amount of the Company’s common stock.</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5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and 2024, the Company did not repurchase any shares of the Company’s common stock under the Share Repurchase Program. As of March 31, 2025, the dollar value of shares that remained available to be purchased by the Company under the Share Repurchase Program was approximately $25.0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2019 Equity Incentive Plan</w:t>
      </w:r>
    </w:p>
    <w:p>
      <w:pPr>
        <w:spacing w:after="0" w:line="18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Refer to “Note 11—Stock-Based Compensation” for a description of the Company’s restricted shares of common stock granted under the Amended &amp; Restated 2019 Equity Incentive Plan (as defined therein).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At-the-Market Offering</w:t>
      </w:r>
    </w:p>
    <w:p>
      <w:pPr>
        <w:spacing w:after="0" w:line="184"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157" w:lineRule="exact"/>
        <w:rPr>
          <w:sz w:val="20"/>
          <w:szCs w:val="20"/>
          <w:color w:val="auto"/>
        </w:rPr>
      </w:pPr>
    </w:p>
    <w:p>
      <w:pPr>
        <w:jc w:val="both"/>
        <w:ind w:firstLine="265"/>
        <w:spacing w:after="0" w:line="285" w:lineRule="auto"/>
        <w:rPr>
          <w:sz w:val="20"/>
          <w:szCs w:val="20"/>
          <w:color w:val="auto"/>
        </w:rPr>
      </w:pPr>
      <w:r>
        <w:rPr>
          <w:rFonts w:ascii="Times New Roman" w:cs="Times New Roman" w:eastAsia="Times New Roman" w:hAnsi="Times New Roman"/>
          <w:sz w:val="14"/>
          <w:szCs w:val="14"/>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3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and 2024, the Company did not issue or sell Shares under the ATM Program. As of March 31, 2025, up to approximately $98.8 million in aggregate amount of the Shares remain available for sale under the ATM Program.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6—NET CHANGE IN NET ASSETS RESULTING FROM OPERATIONS PER COMMON SHARE—BASIC AND DILUTED</w:t>
      </w:r>
    </w:p>
    <w:p>
      <w:pPr>
        <w:spacing w:after="0" w:line="182" w:lineRule="exact"/>
        <w:rPr>
          <w:sz w:val="20"/>
          <w:szCs w:val="20"/>
          <w:color w:val="auto"/>
        </w:rPr>
      </w:pPr>
    </w:p>
    <w:p>
      <w:pPr>
        <w:ind w:firstLine="265"/>
        <w:spacing w:after="0" w:line="271" w:lineRule="auto"/>
        <w:rPr>
          <w:sz w:val="20"/>
          <w:szCs w:val="20"/>
          <w:color w:val="auto"/>
        </w:rPr>
      </w:pPr>
      <w:r>
        <w:rPr>
          <w:rFonts w:ascii="Times New Roman" w:cs="Times New Roman" w:eastAsia="Times New Roman" w:hAnsi="Times New Roman"/>
          <w:sz w:val="15"/>
          <w:szCs w:val="15"/>
          <w:color w:val="auto"/>
        </w:rPr>
        <w:t>The following information sets forth the computation of basic and diluted net change in net assets resulting from operations per common share, pursuant to ASC 260, for the three months ended March 31,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820" w:type="dxa"/>
            <w:vAlign w:val="bottom"/>
            <w:gridSpan w:val="7"/>
          </w:tcPr>
          <w:p>
            <w:pPr>
              <w:jc w:val="right"/>
              <w:ind w:right="88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79"/>
        </w:trPr>
        <w:tc>
          <w:tcPr>
            <w:tcW w:w="2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4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Earnings per common share–basic:</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(806,715)</w:t>
            </w:r>
          </w:p>
        </w:tc>
        <w:tc>
          <w:tcPr>
            <w:tcW w:w="520" w:type="dxa"/>
            <w:vAlign w:val="bottom"/>
            <w:gridSpan w:val="2"/>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(22,065,346)</w:t>
            </w:r>
          </w:p>
        </w:tc>
        <w:tc>
          <w:tcPr>
            <w:tcW w:w="0" w:type="dxa"/>
            <w:vAlign w:val="bottom"/>
          </w:tcPr>
          <w:p>
            <w:pPr>
              <w:spacing w:after="0"/>
              <w:rPr>
                <w:sz w:val="1"/>
                <w:szCs w:val="1"/>
                <w:color w:val="auto"/>
              </w:rPr>
            </w:pPr>
          </w:p>
        </w:tc>
      </w:tr>
      <w:tr>
        <w:trPr>
          <w:trHeight w:val="187"/>
        </w:trPr>
        <w:tc>
          <w:tcPr>
            <w:tcW w:w="7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shares–basic</w:t>
            </w:r>
          </w:p>
        </w:tc>
        <w:tc>
          <w:tcPr>
            <w:tcW w:w="10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w w:val="97"/>
              </w:rPr>
              <w:t>23,571,840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r>
        <w:trPr>
          <w:trHeight w:val="219"/>
        </w:trPr>
        <w:tc>
          <w:tcPr>
            <w:tcW w:w="7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share–basic</w:t>
            </w: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16"/>
        </w:trPr>
        <w:tc>
          <w:tcPr>
            <w:tcW w:w="7460" w:type="dxa"/>
            <w:vAlign w:val="bottom"/>
            <w:gridSpan w:val="3"/>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Earnings per common share–diluted:</w:t>
            </w:r>
          </w:p>
        </w:tc>
        <w:tc>
          <w:tcPr>
            <w:tcW w:w="10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1020" w:type="dxa"/>
            <w:vAlign w:val="bottom"/>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(806,715)</w:t>
            </w:r>
          </w:p>
        </w:tc>
        <w:tc>
          <w:tcPr>
            <w:tcW w:w="520" w:type="dxa"/>
            <w:vAlign w:val="bottom"/>
            <w:gridSpan w:val="2"/>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(22,065,346)</w:t>
            </w:r>
          </w:p>
        </w:tc>
        <w:tc>
          <w:tcPr>
            <w:tcW w:w="0" w:type="dxa"/>
            <w:vAlign w:val="bottom"/>
          </w:tcPr>
          <w:p>
            <w:pPr>
              <w:spacing w:after="0"/>
              <w:rPr>
                <w:sz w:val="1"/>
                <w:szCs w:val="1"/>
                <w:color w:val="auto"/>
              </w:rPr>
            </w:pPr>
          </w:p>
        </w:tc>
      </w:tr>
      <w:tr>
        <w:trPr>
          <w:trHeight w:val="221"/>
        </w:trPr>
        <w:tc>
          <w:tcPr>
            <w:tcW w:w="746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Adjustment for interest and amortization on 6.50% Convertible Notes due 2029</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7460" w:type="dxa"/>
            <w:vAlign w:val="bottom"/>
            <w:gridSpan w:val="3"/>
          </w:tcPr>
          <w:p>
            <w:pPr>
              <w:ind w:left="140"/>
              <w:spacing w:after="0" w:line="168" w:lineRule="exact"/>
              <w:rPr>
                <w:sz w:val="20"/>
                <w:szCs w:val="20"/>
                <w:color w:val="auto"/>
              </w:rPr>
            </w:pPr>
            <w:r>
              <w:rPr>
                <w:rFonts w:ascii="Times New Roman" w:cs="Times New Roman" w:eastAsia="Times New Roman" w:hAnsi="Times New Roman"/>
                <w:sz w:val="15"/>
                <w:szCs w:val="15"/>
                <w:color w:val="auto"/>
              </w:rPr>
              <w:t>Net change in net assets resulting from operations, as adjusted</w:t>
            </w:r>
          </w:p>
        </w:tc>
        <w:tc>
          <w:tcPr>
            <w:tcW w:w="1020" w:type="dxa"/>
            <w:vAlign w:val="bottom"/>
            <w:tcBorders>
              <w:top w:val="single" w:sz="8" w:color="auto"/>
            </w:tcBorders>
          </w:tcPr>
          <w:p>
            <w:pPr>
              <w:jc w:val="right"/>
              <w:ind w:right="8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(806,715)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jc w:val="right"/>
              <w:ind w:right="22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color w:val="auto"/>
              </w:rPr>
              <w:t>(22,065,346)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460" w:type="dxa"/>
            <w:vAlign w:val="bottom"/>
            <w:gridSpan w:val="3"/>
            <w:shd w:val="clear" w:color="auto" w:fill="CCEEFF"/>
          </w:tcPr>
          <w:p>
            <w:pPr>
              <w:ind w:left="140"/>
              <w:spacing w:after="0" w:line="220" w:lineRule="exact"/>
              <w:rPr>
                <w:sz w:val="20"/>
                <w:szCs w:val="20"/>
                <w:color w:val="auto"/>
              </w:rPr>
            </w:pPr>
            <w:r>
              <w:rPr>
                <w:rFonts w:ascii="Times New Roman" w:cs="Times New Roman" w:eastAsia="Times New Roman" w:hAnsi="Times New Roman"/>
                <w:sz w:val="15"/>
                <w:szCs w:val="15"/>
                <w:color w:val="auto"/>
              </w:rPr>
              <w:t>Adjustment for dilutive effect of 6.50% Convertible Notes due 2029</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15"/>
                <w:szCs w:val="15"/>
                <w:color w:val="auto"/>
              </w:rPr>
              <w:t>Weighted-average common shares outstanding–diluted</w:t>
            </w:r>
            <w:r>
              <w:rPr>
                <w:rFonts w:ascii="Times New Roman" w:cs="Times New Roman" w:eastAsia="Times New Roman" w:hAnsi="Times New Roman"/>
                <w:sz w:val="24"/>
                <w:szCs w:val="24"/>
                <w:color w:val="auto"/>
                <w:vertAlign w:val="superscript"/>
              </w:rPr>
              <w:t>(1)</w:t>
            </w: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6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23,571,840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r>
        <w:trPr>
          <w:trHeight w:val="179"/>
        </w:trPr>
        <w:tc>
          <w:tcPr>
            <w:tcW w:w="7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top w:val="single" w:sz="8" w:color="CCEEFF"/>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______________________</w:t>
            </w:r>
          </w:p>
        </w:tc>
        <w:tc>
          <w:tcPr>
            <w:tcW w:w="120" w:type="dxa"/>
            <w:vAlign w:val="bottom"/>
            <w:vMerge w:val="restart"/>
          </w:tcPr>
          <w:p>
            <w:pPr>
              <w:spacing w:after="0" w:line="20" w:lineRule="exact"/>
              <w:rPr>
                <w:sz w:val="1"/>
                <w:szCs w:val="1"/>
                <w:color w:val="auto"/>
              </w:rPr>
            </w:pPr>
          </w:p>
        </w:tc>
        <w:tc>
          <w:tcPr>
            <w:tcW w:w="51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20" w:hanging="312"/>
        <w:spacing w:after="0" w:line="248" w:lineRule="auto"/>
        <w:tabs>
          <w:tab w:leader="none" w:pos="3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2025, 4,516,131 potentially dilutive common shares were excluded from the weighted-average common shares outstanding for diluted net change in net assets resulting from operations per common shares because the effect of these shares would have been anti-dilutive. For the three months ended March 31, 2024, there were no potentially dilutive securities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7—COMMITMENTS AND CONTINGENCIES</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In the normal course of business, the Company may enter into investment agreements under which it commits to make an investment in a portfolio company at some future date or over a specified period of time.</w:t>
      </w:r>
    </w:p>
    <w:p>
      <w:pPr>
        <w:spacing w:after="0" w:line="14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and Related Deposits</w:t>
      </w:r>
    </w:p>
    <w:p>
      <w:pPr>
        <w:spacing w:after="0" w:line="184"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May 12, 2028. The lease expense is presented as a single lease cost that is amortized on a straight-line basis over the life of the lease.</w:t>
      </w:r>
    </w:p>
    <w:p>
      <w:pPr>
        <w:spacing w:after="0" w:line="157"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As of March 31, 2025 and December 31, 2024, the Company booked a right-of-use asset and operating lease liability of $424,656 and $446,349, respectively, on the Condensed Consolidated Statement of Assets and Liabilities. As of March 31, 2025 and December 31, 2024, the Company recorded a security deposit of $16,574 and $16,574, respectively, on the Condensed Consolidated Statement of Assets and Liabilities. For the three months ended March 31, 2025 and 2024, the Company incurred $23,188 and $52,662, respectively, of operating lease expense. The amounts reflected on the Condensed Consolidated Statement of Assets and Liabilities have been discounted using the rate implicit in the lease. As of March 31, 2025, the remaining lease term was 3.2 years and the discount rate was 3.00%.</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2"/>
        </w:trPr>
        <w:tc>
          <w:tcPr>
            <w:tcW w:w="830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6"/>
        </w:trPr>
        <w:tc>
          <w:tcPr>
            <w:tcW w:w="1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0" w:type="dxa"/>
            <w:vAlign w:val="bottom"/>
          </w:tcPr>
          <w:p>
            <w:pPr>
              <w:jc w:val="center"/>
              <w:ind w:left="1406"/>
              <w:spacing w:after="0"/>
              <w:rPr>
                <w:sz w:val="20"/>
                <w:szCs w:val="20"/>
                <w:color w:val="auto"/>
              </w:rPr>
            </w:pPr>
            <w:r>
              <w:rPr>
                <w:rFonts w:ascii="Times New Roman" w:cs="Times New Roman" w:eastAsia="Times New Roman" w:hAnsi="Times New Roman"/>
                <w:sz w:val="15"/>
                <w:szCs w:val="15"/>
                <w:b w:val="1"/>
                <w:bCs w:val="1"/>
                <w:color w:val="auto"/>
                <w:w w:val="97"/>
              </w:rPr>
              <w:t>SURO CAPITAL CORP. AND SUBSIDIARIES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0" w:type="dxa"/>
            <w:vAlign w:val="bottom"/>
          </w:tcPr>
          <w:p>
            <w:pPr>
              <w:jc w:val="center"/>
              <w:ind w:left="1426"/>
              <w:spacing w:after="0"/>
              <w:rPr>
                <w:sz w:val="20"/>
                <w:szCs w:val="20"/>
                <w:color w:val="auto"/>
              </w:rPr>
            </w:pPr>
            <w:r>
              <w:rPr>
                <w:rFonts w:ascii="Times New Roman" w:cs="Times New Roman" w:eastAsia="Times New Roman" w:hAnsi="Times New Roman"/>
                <w:sz w:val="15"/>
                <w:szCs w:val="15"/>
                <w:b w:val="1"/>
                <w:bCs w:val="1"/>
                <w:color w:val="auto"/>
                <w:w w:val="97"/>
              </w:rPr>
              <w:t>NOTES TO CONDENSED CONSOLIDATED FINANCIAL STATEMENTS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0" w:type="dxa"/>
            <w:vAlign w:val="bottom"/>
          </w:tcPr>
          <w:p>
            <w:pPr>
              <w:jc w:val="center"/>
              <w:ind w:left="1426"/>
              <w:spacing w:after="0"/>
              <w:rPr>
                <w:sz w:val="20"/>
                <w:szCs w:val="20"/>
                <w:color w:val="auto"/>
              </w:rPr>
            </w:pPr>
            <w:r>
              <w:rPr>
                <w:rFonts w:ascii="Times New Roman" w:cs="Times New Roman" w:eastAsia="Times New Roman" w:hAnsi="Times New Roman"/>
                <w:sz w:val="15"/>
                <w:szCs w:val="15"/>
                <w:b w:val="1"/>
                <w:bCs w:val="1"/>
                <w:color w:val="auto"/>
                <w:w w:val="98"/>
              </w:rPr>
              <w:t>March 31, 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3"/>
        </w:trPr>
        <w:tc>
          <w:tcPr>
            <w:tcW w:w="830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The following table shows future minimum payments under the Company’s operating lease as of March 31, 2025: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300" w:type="dxa"/>
            <w:vAlign w:val="bottom"/>
            <w:gridSpan w:val="3"/>
          </w:tcPr>
          <w:p>
            <w:pPr>
              <w:ind w:left="11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68"/>
        </w:trPr>
        <w:tc>
          <w:tcPr>
            <w:tcW w:w="1140" w:type="dxa"/>
            <w:vAlign w:val="bottom"/>
          </w:tcPr>
          <w:p>
            <w:pPr>
              <w:spacing w:after="0"/>
              <w:rPr>
                <w:sz w:val="14"/>
                <w:szCs w:val="14"/>
                <w:color w:val="auto"/>
              </w:rPr>
            </w:pPr>
          </w:p>
        </w:tc>
        <w:tc>
          <w:tcPr>
            <w:tcW w:w="36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2025</w:t>
            </w:r>
          </w:p>
        </w:tc>
        <w:tc>
          <w:tcPr>
            <w:tcW w:w="68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87,990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1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154,826</w:t>
            </w:r>
          </w:p>
        </w:tc>
        <w:tc>
          <w:tcPr>
            <w:tcW w:w="10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6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159,471</w:t>
            </w:r>
          </w:p>
        </w:tc>
        <w:tc>
          <w:tcPr>
            <w:tcW w:w="100" w:type="dxa"/>
            <w:vAlign w:val="bottom"/>
            <w:shd w:val="clear" w:color="auto" w:fill="CCEEFF"/>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2028</w:t>
            </w:r>
          </w:p>
        </w:tc>
        <w:tc>
          <w:tcPr>
            <w:tcW w:w="68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59,688</w:t>
            </w:r>
          </w:p>
        </w:tc>
        <w:tc>
          <w:tcPr>
            <w:tcW w:w="100" w:type="dxa"/>
            <w:vAlign w:val="bottom"/>
            <w:tcBorders>
              <w:bottom w:val="single" w:sz="8" w:color="CCEEFF"/>
            </w:tcBorders>
          </w:tcPr>
          <w:p>
            <w:pPr>
              <w:spacing w:after="0"/>
              <w:rPr>
                <w:sz w:val="16"/>
                <w:szCs w:val="16"/>
                <w:color w:val="auto"/>
              </w:rPr>
            </w:pPr>
          </w:p>
        </w:tc>
      </w:tr>
      <w:tr>
        <w:trPr>
          <w:trHeight w:val="179"/>
        </w:trPr>
        <w:tc>
          <w:tcPr>
            <w:tcW w:w="1140" w:type="dxa"/>
            <w:vAlign w:val="bottom"/>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461,975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8—FINANCIAL HIGHLIGHTS</w:t>
            </w:r>
          </w:p>
        </w:tc>
        <w:tc>
          <w:tcPr>
            <w:tcW w:w="420" w:type="dxa"/>
            <w:vAlign w:val="bottom"/>
          </w:tcPr>
          <w:p>
            <w:pPr>
              <w:spacing w:after="0"/>
              <w:rPr>
                <w:sz w:val="16"/>
                <w:szCs w:val="16"/>
                <w:color w:val="auto"/>
              </w:rPr>
            </w:pPr>
          </w:p>
        </w:tc>
        <w:tc>
          <w:tcPr>
            <w:tcW w:w="3760" w:type="dxa"/>
            <w:vAlign w:val="bottom"/>
            <w:gridSpan w:val="4"/>
            <w:vMerge w:val="restart"/>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9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9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Per Basic Share Data</w:t>
            </w: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Net asset value at beginning of the year</w:t>
            </w: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tcPr>
          <w:p>
            <w:pPr>
              <w:jc w:val="right"/>
              <w:ind w:right="326"/>
              <w:spacing w:after="0"/>
              <w:rPr>
                <w:sz w:val="20"/>
                <w:szCs w:val="20"/>
                <w:color w:val="auto"/>
              </w:rPr>
            </w:pPr>
            <w:r>
              <w:rPr>
                <w:rFonts w:ascii="Times New Roman" w:cs="Times New Roman" w:eastAsia="Times New Roman" w:hAnsi="Times New Roman"/>
                <w:sz w:val="15"/>
                <w:szCs w:val="15"/>
                <w:color w:val="auto"/>
              </w:rPr>
              <w:t>6.68</w:t>
            </w:r>
          </w:p>
        </w:tc>
        <w:tc>
          <w:tcPr>
            <w:tcW w:w="44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Net investment loss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(0.16)</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(0.13)</w:t>
            </w:r>
          </w:p>
        </w:tc>
        <w:tc>
          <w:tcPr>
            <w:tcW w:w="0" w:type="dxa"/>
            <w:vAlign w:val="bottom"/>
          </w:tcPr>
          <w:p>
            <w:pPr>
              <w:spacing w:after="0"/>
              <w:rPr>
                <w:sz w:val="1"/>
                <w:szCs w:val="1"/>
                <w:color w:val="auto"/>
              </w:rPr>
            </w:pPr>
          </w:p>
        </w:tc>
      </w:tr>
      <w:tr>
        <w:trPr>
          <w:trHeight w:val="210"/>
        </w:trPr>
        <w:tc>
          <w:tcPr>
            <w:tcW w:w="6920" w:type="dxa"/>
            <w:vAlign w:val="bottom"/>
          </w:tcPr>
          <w:p>
            <w:pPr>
              <w:ind w:left="140"/>
              <w:spacing w:after="0" w:line="210" w:lineRule="exact"/>
              <w:rPr>
                <w:sz w:val="20"/>
                <w:szCs w:val="20"/>
                <w:color w:val="auto"/>
              </w:rPr>
            </w:pPr>
            <w:r>
              <w:rPr>
                <w:rFonts w:ascii="Times New Roman" w:cs="Times New Roman" w:eastAsia="Times New Roman" w:hAnsi="Times New Roman"/>
                <w:sz w:val="15"/>
                <w:szCs w:val="15"/>
                <w:color w:val="auto"/>
              </w:rPr>
              <w:t>Net realized loss on investments</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860" w:type="dxa"/>
            <w:vAlign w:val="bottom"/>
            <w:gridSpan w:val="2"/>
          </w:tcPr>
          <w:p>
            <w:pPr>
              <w:jc w:val="right"/>
              <w:ind w:right="266"/>
              <w:spacing w:after="0"/>
              <w:rPr>
                <w:sz w:val="20"/>
                <w:szCs w:val="20"/>
                <w:color w:val="auto"/>
              </w:rPr>
            </w:pPr>
            <w:r>
              <w:rPr>
                <w:rFonts w:ascii="Times New Roman" w:cs="Times New Roman" w:eastAsia="Times New Roman" w:hAnsi="Times New Roman"/>
                <w:sz w:val="15"/>
                <w:szCs w:val="15"/>
                <w:color w:val="auto"/>
              </w:rPr>
              <w:t>&lt;(0.01)</w:t>
            </w:r>
          </w:p>
        </w:tc>
        <w:tc>
          <w:tcPr>
            <w:tcW w:w="440" w:type="dxa"/>
            <w:vAlign w:val="bottom"/>
          </w:tcPr>
          <w:p>
            <w:pPr>
              <w:spacing w:after="0"/>
              <w:rPr>
                <w:sz w:val="18"/>
                <w:szCs w:val="18"/>
                <w:color w:val="auto"/>
              </w:rPr>
            </w:pPr>
          </w:p>
        </w:tc>
        <w:tc>
          <w:tcPr>
            <w:tcW w:w="164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(0.02)</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Realized loss on partial repurchase of 6.00% Notes due December 30, 2026</w:t>
            </w:r>
            <w:r>
              <w:rPr>
                <w:rFonts w:ascii="Times New Roman" w:cs="Times New Roman" w:eastAsia="Times New Roman" w:hAnsi="Times New Roman"/>
                <w:sz w:val="24"/>
                <w:szCs w:val="24"/>
                <w:color w:val="auto"/>
                <w:vertAlign w:val="superscript"/>
              </w:rPr>
              <w:t>(1)</w:t>
            </w:r>
          </w:p>
        </w:tc>
        <w:tc>
          <w:tcPr>
            <w:tcW w:w="4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&lt;(0.01)</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140"/>
              <w:spacing w:after="0" w:line="210" w:lineRule="exact"/>
              <w:rPr>
                <w:sz w:val="20"/>
                <w:szCs w:val="20"/>
                <w:color w:val="auto"/>
              </w:rPr>
            </w:pPr>
            <w:r>
              <w:rPr>
                <w:rFonts w:ascii="Times New Roman" w:cs="Times New Roman" w:eastAsia="Times New Roman" w:hAnsi="Times New Roman"/>
                <w:sz w:val="15"/>
                <w:szCs w:val="15"/>
                <w:color w:val="auto"/>
              </w:rPr>
              <w:t>Net change in unrealized appreciation/(depreciation) of investments</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860" w:type="dxa"/>
            <w:vAlign w:val="bottom"/>
            <w:gridSpan w:val="2"/>
          </w:tcPr>
          <w:p>
            <w:pPr>
              <w:jc w:val="right"/>
              <w:ind w:right="326"/>
              <w:spacing w:after="0"/>
              <w:rPr>
                <w:sz w:val="20"/>
                <w:szCs w:val="20"/>
                <w:color w:val="auto"/>
              </w:rPr>
            </w:pPr>
            <w:r>
              <w:rPr>
                <w:rFonts w:ascii="Times New Roman" w:cs="Times New Roman" w:eastAsia="Times New Roman" w:hAnsi="Times New Roman"/>
                <w:sz w:val="15"/>
                <w:szCs w:val="15"/>
                <w:color w:val="auto"/>
              </w:rPr>
              <w:t>0.12</w:t>
            </w:r>
          </w:p>
        </w:tc>
        <w:tc>
          <w:tcPr>
            <w:tcW w:w="440" w:type="dxa"/>
            <w:vAlign w:val="bottom"/>
          </w:tcPr>
          <w:p>
            <w:pPr>
              <w:spacing w:after="0"/>
              <w:rPr>
                <w:sz w:val="18"/>
                <w:szCs w:val="18"/>
                <w:color w:val="auto"/>
              </w:rPr>
            </w:pPr>
          </w:p>
        </w:tc>
        <w:tc>
          <w:tcPr>
            <w:tcW w:w="164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(0.73)</w:t>
            </w:r>
          </w:p>
        </w:tc>
        <w:tc>
          <w:tcPr>
            <w:tcW w:w="0" w:type="dxa"/>
            <w:vAlign w:val="bottom"/>
          </w:tcPr>
          <w:p>
            <w:pPr>
              <w:spacing w:after="0"/>
              <w:rPr>
                <w:sz w:val="1"/>
                <w:szCs w:val="1"/>
                <w:color w:val="auto"/>
              </w:rPr>
            </w:pPr>
          </w:p>
        </w:tc>
      </w:tr>
      <w:tr>
        <w:trPr>
          <w:trHeight w:val="221"/>
        </w:trPr>
        <w:tc>
          <w:tcPr>
            <w:tcW w:w="692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4"/>
                <w:szCs w:val="24"/>
                <w:color w:val="auto"/>
                <w:vertAlign w:val="superscript"/>
              </w:rPr>
              <w:t>(1)</w:t>
            </w:r>
          </w:p>
        </w:tc>
        <w:tc>
          <w:tcPr>
            <w:tcW w:w="4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0.02</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Net asset value at end of period</w:t>
            </w:r>
          </w:p>
        </w:tc>
        <w:tc>
          <w:tcPr>
            <w:tcW w:w="42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4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69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Per share market value at end of period</w:t>
            </w: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4.97</w:t>
            </w: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86"/>
              <w:spacing w:after="0" w:line="150"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5"/>
                <w:szCs w:val="15"/>
                <w:color w:val="auto"/>
              </w:rPr>
              <w:t>4.55</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Total return based on market value</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186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(15.48)%</w:t>
            </w:r>
          </w:p>
        </w:tc>
        <w:tc>
          <w:tcPr>
            <w:tcW w:w="4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Total return based on net asset value</w:t>
            </w:r>
            <w:r>
              <w:rPr>
                <w:rFonts w:ascii="Times New Roman" w:cs="Times New Roman" w:eastAsia="Times New Roman" w:hAnsi="Times New Roman"/>
                <w:sz w:val="24"/>
                <w:szCs w:val="24"/>
                <w:color w:val="auto"/>
                <w:vertAlign w:val="superscript"/>
              </w:rPr>
              <w:t>(2)</w:t>
            </w:r>
          </w:p>
        </w:tc>
        <w:tc>
          <w:tcPr>
            <w:tcW w:w="4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(0.30)%</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Shares outstanding at end of period</w:t>
            </w:r>
          </w:p>
        </w:tc>
        <w:tc>
          <w:tcPr>
            <w:tcW w:w="420" w:type="dxa"/>
            <w:vAlign w:val="bottom"/>
          </w:tcPr>
          <w:p>
            <w:pPr>
              <w:spacing w:after="0"/>
              <w:rPr>
                <w:sz w:val="15"/>
                <w:szCs w:val="15"/>
                <w:color w:val="auto"/>
              </w:rPr>
            </w:pPr>
          </w:p>
        </w:tc>
        <w:tc>
          <w:tcPr>
            <w:tcW w:w="1860" w:type="dxa"/>
            <w:vAlign w:val="bottom"/>
            <w:gridSpan w:val="2"/>
          </w:tcPr>
          <w:p>
            <w:pPr>
              <w:jc w:val="right"/>
              <w:ind w:right="326"/>
              <w:spacing w:after="0"/>
              <w:rPr>
                <w:sz w:val="20"/>
                <w:szCs w:val="20"/>
                <w:color w:val="auto"/>
              </w:rPr>
            </w:pPr>
            <w:r>
              <w:rPr>
                <w:rFonts w:ascii="Times New Roman" w:cs="Times New Roman" w:eastAsia="Times New Roman" w:hAnsi="Times New Roman"/>
                <w:sz w:val="15"/>
                <w:szCs w:val="15"/>
                <w:color w:val="auto"/>
              </w:rPr>
              <w:t>23,551,859</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25,353,284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Ratios/Supplemental Data:</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Net assets at end of period</w:t>
            </w: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tcPr>
          <w:p>
            <w:pPr>
              <w:jc w:val="right"/>
              <w:ind w:right="326"/>
              <w:spacing w:after="0"/>
              <w:rPr>
                <w:sz w:val="20"/>
                <w:szCs w:val="20"/>
                <w:color w:val="auto"/>
              </w:rPr>
            </w:pPr>
            <w:r>
              <w:rPr>
                <w:rFonts w:ascii="Times New Roman" w:cs="Times New Roman" w:eastAsia="Times New Roman" w:hAnsi="Times New Roman"/>
                <w:sz w:val="15"/>
                <w:szCs w:val="15"/>
                <w:color w:val="auto"/>
              </w:rPr>
              <w:t>156,804,155</w:t>
            </w:r>
          </w:p>
        </w:tc>
        <w:tc>
          <w:tcPr>
            <w:tcW w:w="44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181,721,135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net assets</w:t>
            </w: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156,454,212</w:t>
            </w:r>
          </w:p>
        </w:tc>
        <w:tc>
          <w:tcPr>
            <w:tcW w:w="44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202,519,594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6920" w:type="dxa"/>
            <w:vAlign w:val="bottom"/>
          </w:tcPr>
          <w:p>
            <w:pPr>
              <w:spacing w:after="0" w:line="145" w:lineRule="exact"/>
              <w:rPr>
                <w:sz w:val="20"/>
                <w:szCs w:val="20"/>
                <w:color w:val="auto"/>
              </w:rPr>
            </w:pPr>
            <w:r>
              <w:rPr>
                <w:rFonts w:ascii="Times New Roman" w:cs="Times New Roman" w:eastAsia="Times New Roman" w:hAnsi="Times New Roman"/>
                <w:sz w:val="11"/>
                <w:szCs w:val="11"/>
                <w:color w:val="auto"/>
              </w:rPr>
              <w:t>Ratio of net operating expenses to average net assets</w:t>
            </w:r>
            <w:r>
              <w:rPr>
                <w:rFonts w:ascii="Times New Roman" w:cs="Times New Roman" w:eastAsia="Times New Roman" w:hAnsi="Times New Roman"/>
                <w:sz w:val="16"/>
                <w:szCs w:val="16"/>
                <w:color w:val="auto"/>
                <w:vertAlign w:val="superscript"/>
              </w:rPr>
              <w:t>(3)</w:t>
            </w:r>
          </w:p>
        </w:tc>
        <w:tc>
          <w:tcPr>
            <w:tcW w:w="4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400" w:type="dxa"/>
            <w:vAlign w:val="bottom"/>
          </w:tcPr>
          <w:p>
            <w:pPr>
              <w:jc w:val="right"/>
              <w:ind w:right="186"/>
              <w:spacing w:after="0" w:line="146" w:lineRule="exact"/>
              <w:rPr>
                <w:sz w:val="20"/>
                <w:szCs w:val="20"/>
                <w:color w:val="auto"/>
              </w:rPr>
            </w:pPr>
            <w:r>
              <w:rPr>
                <w:rFonts w:ascii="Times New Roman" w:cs="Times New Roman" w:eastAsia="Times New Roman" w:hAnsi="Times New Roman"/>
                <w:sz w:val="15"/>
                <w:szCs w:val="15"/>
                <w:color w:val="auto"/>
                <w:w w:val="95"/>
              </w:rPr>
              <w:t>%</w:t>
            </w:r>
          </w:p>
        </w:tc>
        <w:tc>
          <w:tcPr>
            <w:tcW w:w="4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8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86"/>
        </w:trPr>
        <w:tc>
          <w:tcPr>
            <w:tcW w:w="6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gridSpan w:val="2"/>
          </w:tcPr>
          <w:p>
            <w:pPr>
              <w:jc w:val="right"/>
              <w:ind w:right="326"/>
              <w:spacing w:after="0" w:line="67" w:lineRule="exact"/>
              <w:rPr>
                <w:sz w:val="20"/>
                <w:szCs w:val="20"/>
                <w:color w:val="auto"/>
              </w:rPr>
            </w:pPr>
            <w:r>
              <w:rPr>
                <w:rFonts w:ascii="Times New Roman" w:cs="Times New Roman" w:eastAsia="Times New Roman" w:hAnsi="Times New Roman"/>
                <w:sz w:val="7"/>
                <w:szCs w:val="7"/>
                <w:color w:val="auto"/>
              </w:rPr>
              <w:t>10.79</w:t>
            </w:r>
          </w:p>
        </w:tc>
        <w:tc>
          <w:tcPr>
            <w:tcW w:w="4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vMerge w:val="restart"/>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Ratio of net investment loss to average net assets</w:t>
            </w:r>
            <w:r>
              <w:rPr>
                <w:rFonts w:ascii="Times New Roman" w:cs="Times New Roman" w:eastAsia="Times New Roman" w:hAnsi="Times New Roman"/>
                <w:sz w:val="20"/>
                <w:szCs w:val="20"/>
                <w:color w:val="auto"/>
                <w:vertAlign w:val="superscript"/>
              </w:rPr>
              <w:t>(3)</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92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46"/>
              <w:spacing w:after="0" w:line="161" w:lineRule="exact"/>
              <w:rPr>
                <w:sz w:val="20"/>
                <w:szCs w:val="20"/>
                <w:color w:val="auto"/>
              </w:rPr>
            </w:pPr>
            <w:r>
              <w:rPr>
                <w:rFonts w:ascii="Times New Roman" w:cs="Times New Roman" w:eastAsia="Times New Roman" w:hAnsi="Times New Roman"/>
                <w:sz w:val="15"/>
                <w:szCs w:val="15"/>
                <w:color w:val="auto"/>
              </w:rPr>
              <w:t>(9.49)%</w:t>
            </w:r>
          </w:p>
        </w:tc>
        <w:tc>
          <w:tcPr>
            <w:tcW w:w="4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(6.40)%</w:t>
            </w:r>
          </w:p>
        </w:tc>
        <w:tc>
          <w:tcPr>
            <w:tcW w:w="0" w:type="dxa"/>
            <w:vAlign w:val="bottom"/>
          </w:tcPr>
          <w:p>
            <w:pPr>
              <w:spacing w:after="0"/>
              <w:rPr>
                <w:sz w:val="1"/>
                <w:szCs w:val="1"/>
                <w:color w:val="auto"/>
              </w:rPr>
            </w:pPr>
          </w:p>
        </w:tc>
      </w:tr>
      <w:tr>
        <w:trPr>
          <w:trHeight w:val="160"/>
        </w:trPr>
        <w:tc>
          <w:tcPr>
            <w:tcW w:w="692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Portfolio Turnover Ratio</w:t>
            </w:r>
          </w:p>
        </w:tc>
        <w:tc>
          <w:tcPr>
            <w:tcW w:w="420" w:type="dxa"/>
            <w:vAlign w:val="bottom"/>
          </w:tcPr>
          <w:p>
            <w:pPr>
              <w:spacing w:after="0"/>
              <w:rPr>
                <w:sz w:val="13"/>
                <w:szCs w:val="13"/>
                <w:color w:val="auto"/>
              </w:rPr>
            </w:pPr>
          </w:p>
        </w:tc>
        <w:tc>
          <w:tcPr>
            <w:tcW w:w="1860" w:type="dxa"/>
            <w:vAlign w:val="bottom"/>
            <w:gridSpan w:val="2"/>
          </w:tcPr>
          <w:p>
            <w:pPr>
              <w:jc w:val="right"/>
              <w:ind w:right="186"/>
              <w:spacing w:after="0" w:line="160" w:lineRule="exact"/>
              <w:rPr>
                <w:sz w:val="20"/>
                <w:szCs w:val="20"/>
                <w:color w:val="auto"/>
              </w:rPr>
            </w:pPr>
            <w:r>
              <w:rPr>
                <w:rFonts w:ascii="Times New Roman" w:cs="Times New Roman" w:eastAsia="Times New Roman" w:hAnsi="Times New Roman"/>
                <w:sz w:val="15"/>
                <w:szCs w:val="15"/>
                <w:color w:val="auto"/>
              </w:rPr>
              <w:t>5.28%</w:t>
            </w:r>
          </w:p>
        </w:tc>
        <w:tc>
          <w:tcPr>
            <w:tcW w:w="440" w:type="dxa"/>
            <w:vAlign w:val="bottom"/>
          </w:tcPr>
          <w:p>
            <w:pPr>
              <w:spacing w:after="0"/>
              <w:rPr>
                <w:sz w:val="13"/>
                <w:szCs w:val="13"/>
                <w:color w:val="auto"/>
              </w:rPr>
            </w:pPr>
          </w:p>
        </w:tc>
        <w:tc>
          <w:tcPr>
            <w:tcW w:w="1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5"/>
                <w:szCs w:val="15"/>
                <w:color w:val="auto"/>
              </w:rPr>
              <w:t>0.18%</w:t>
            </w:r>
          </w:p>
        </w:tc>
        <w:tc>
          <w:tcPr>
            <w:tcW w:w="0" w:type="dxa"/>
            <w:vAlign w:val="bottom"/>
          </w:tcPr>
          <w:p>
            <w:pPr>
              <w:spacing w:after="0"/>
              <w:rPr>
                <w:sz w:val="1"/>
                <w:szCs w:val="1"/>
                <w:color w:val="auto"/>
              </w:rPr>
            </w:pPr>
          </w:p>
        </w:tc>
      </w:tr>
      <w:tr>
        <w:trPr>
          <w:trHeight w:val="193"/>
        </w:trPr>
        <w:tc>
          <w:tcPr>
            <w:tcW w:w="6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__________________</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Based on weighted-average number of shares outstanding for the relevant period.</w:t>
      </w:r>
    </w:p>
    <w:p>
      <w:pPr>
        <w:spacing w:after="0" w:line="3" w:lineRule="exact"/>
        <w:rPr>
          <w:rFonts w:ascii="Times New Roman" w:cs="Times New Roman" w:eastAsia="Times New Roman" w:hAnsi="Times New Roman"/>
          <w:sz w:val="13"/>
          <w:szCs w:val="13"/>
          <w:color w:val="auto"/>
        </w:rPr>
      </w:pPr>
    </w:p>
    <w:p>
      <w:pPr>
        <w:jc w:val="both"/>
        <w:ind w:left="320" w:hanging="312"/>
        <w:spacing w:after="0" w:line="245" w:lineRule="auto"/>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3"/>
          <w:szCs w:val="13"/>
          <w:color w:val="auto"/>
        </w:rPr>
      </w:pPr>
    </w:p>
    <w:p>
      <w:pPr>
        <w:ind w:left="320" w:hanging="312"/>
        <w:spacing w:after="0" w:line="251" w:lineRule="auto"/>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9—INCOME TAXES</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57"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57"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57"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condensed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spacing w:after="0" w:line="157"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Company is required to include net deferred tax provision/benefit in calculating its total expenses even though these net deferred taxes are not currently payable/receivable.</w:t>
      </w:r>
    </w:p>
    <w:p>
      <w:pPr>
        <w:spacing w:after="0" w:line="18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accounting purposes, the Company and the Taxable Subsidiaries identified their major tax jurisdictions as U.S. federal, New York, and California and may be subject to the taxing authorities’ examination for the tax years 2021–2023 for federal and New York and 2020–2023 in California, respectively. Further, the Company and the Taxable Subsidiaries accrue all interest and penalties related to uncertain tax positions as incurred. As of March 31, 2025, there were no material interest or penalties incurred related to uncertain tax positions.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10—DEBT CAPITAL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6.00% Notes due 2026</w:t>
      </w:r>
    </w:p>
    <w:p>
      <w:pPr>
        <w:spacing w:after="0" w:line="18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54"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 xml:space="preserve">The 6.00% Notes due 2026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55"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 records certain fees and expenses incurred in connection with its 6.00% Notes due 2026 as deferred debt issuance costs. Such costs are reflected in the carrying value of the 6.00% Notes due 2026. As of March 31, 2025 and December 31, 2024, the Company had deferred debt issuance costs of $364,744 and $468,562, respectively, associated with the 6.00% Notes due 2026. The table below shows a reconciliation from the aggregate principal amount of 6.00% Notes due 2026 to the balance shown on the Consolidated Statements of Assets and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68"/>
        </w:trPr>
        <w:tc>
          <w:tcPr>
            <w:tcW w:w="70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Aggregate principal amount of 6.00% Notes due 2026</w:t>
            </w: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39,667,650</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44,667,400</w:t>
            </w:r>
          </w:p>
        </w:tc>
        <w:tc>
          <w:tcPr>
            <w:tcW w:w="120" w:type="dxa"/>
            <w:vAlign w:val="bottom"/>
            <w:tcBorders>
              <w:top w:val="single" w:sz="8" w:color="CCEEFF"/>
            </w:tcBorders>
            <w:shd w:val="clear" w:color="auto" w:fill="CCEEFF"/>
          </w:tcPr>
          <w:p>
            <w:pPr>
              <w:spacing w:after="0"/>
              <w:rPr>
                <w:sz w:val="14"/>
                <w:szCs w:val="14"/>
                <w:color w:val="auto"/>
              </w:rPr>
            </w:pPr>
          </w:p>
        </w:tc>
      </w:tr>
      <w:tr>
        <w:trPr>
          <w:trHeight w:val="187"/>
        </w:trPr>
        <w:tc>
          <w:tcPr>
            <w:tcW w:w="702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260" w:type="dxa"/>
            <w:vAlign w:val="bottom"/>
          </w:tcPr>
          <w:p>
            <w:pPr>
              <w:spacing w:after="0"/>
              <w:rPr>
                <w:sz w:val="16"/>
                <w:szCs w:val="16"/>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(364,744)</w:t>
            </w:r>
          </w:p>
        </w:tc>
        <w:tc>
          <w:tcPr>
            <w:tcW w:w="22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(468,562)</w:t>
            </w:r>
          </w:p>
        </w:tc>
      </w:tr>
      <w:tr>
        <w:trPr>
          <w:trHeight w:val="17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39,302,906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44,198,838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6.00% Notes due 2026 are listed for trading on the Nasdaq Global Select Market under the symbol “SSSSL”. The reported closing market price of SSSSL on March 31, 2025 and December 31, 2024 was $24.55 and $24.50 per note, respectively. As of March 31, 2025 and December 31, 2024, the fair value of the 6.00% Notes due 2026 was $39.0 million and $43.8 million, respectively.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On August 6, 2024, the Company’s Board of Directors approved a discretionary note repurchase program (the “Note Repurchase Program”), which allows the Company to repurchase up to $35.0 million, of its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During the three months ended March 31, 2025, the Company repurchased and retired $5.0 million of aggregate principal amount of the 6.00% Notes due 2026, resulting in the total use of the authorized amount under the Note Repurchase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6.50% Convertible Notes due 2029</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On August 14, 2024, the Company privately issued $25.0 million aggregate principal amount of its 6.50% Convertible Notes due 2029 (the “Initial Notes”) pursuant to a Note Purchase Agreement (the “Note Purchase Agreement”) between the Company and the purchaser identified therein (the “Purchaser”). On October 9, 2024, the Company issued an additional $5.0 million in aggregate principal amount of 6.50% Convertible Notes due 2029 (the “Additional Notes”). which are treated as a single series with the Initial Notes. On January 16, 2025, the Company issued $5.0 million in Additional Notes, which are treated as a single series with the Initial Notes and prior issuances of Additional Notes. As of March 31, 2025, $35.0 million of 6.50% Convertible Notes due 2029 had been issued.</w:t>
      </w:r>
    </w:p>
    <w:p>
      <w:pPr>
        <w:spacing w:after="0" w:line="157"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6.50% Convertible Notes due 2029 bear interest at a rate of 6.50% per year, payable quarterly in arrears on March 30, June 30, September 30, and December 30 of each year, commencing on September 30, 2024. The 6.50% Convertible Notes due 2029 have a maturity date of 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w:t>
      </w:r>
    </w:p>
    <w:p>
      <w:pPr>
        <w:spacing w:after="0" w:line="15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6.50% Convertible Notes due 2029 are convertible into shares of the Company’s common stock at the Purchaser’s sole discretion at an initial conversion rate of 129.0323 shares of common stock per $1,000 principal amount of the 6.50% Convertible Notes due 2029, which represent a conversion price of approximately $7.75 per share, subject to adjustment as provided in the Notes Purchase Agreement. Upon evaluation, the Company has identified an embedded derivative within the Notes Purchase Agreement. As a result, the Company may incur a potential liability. As of March 31, 2025, the potential liability was $0. Management will continue to assess the fair value of the embedded derivative at each reporting period.</w:t>
      </w:r>
    </w:p>
    <w:p>
      <w:pPr>
        <w:spacing w:after="0" w:line="150" w:lineRule="exact"/>
        <w:rPr>
          <w:sz w:val="20"/>
          <w:szCs w:val="20"/>
          <w:color w:val="auto"/>
        </w:rPr>
      </w:pPr>
    </w:p>
    <w:p>
      <w:pPr>
        <w:jc w:val="both"/>
        <w:ind w:firstLine="265"/>
        <w:spacing w:after="0" w:line="255" w:lineRule="auto"/>
        <w:rPr>
          <w:sz w:val="20"/>
          <w:szCs w:val="20"/>
          <w:color w:val="auto"/>
        </w:rPr>
      </w:pPr>
      <w:r>
        <w:rPr>
          <w:rFonts w:ascii="Times New Roman" w:cs="Times New Roman" w:eastAsia="Times New Roman" w:hAnsi="Times New Roman"/>
          <w:sz w:val="15"/>
          <w:szCs w:val="15"/>
          <w:color w:val="auto"/>
        </w:rPr>
        <w:t xml:space="preserve">The 6.50% Convertible Notes due 2029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51"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table below shows a reconciliation from the aggregate principal amount of 6.50% Convertible Notes due 2029 to the balance shown on the Consolidated Statements of Assets and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68"/>
        </w:trPr>
        <w:tc>
          <w:tcPr>
            <w:tcW w:w="47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Aggregate principal amount of 6.50% Convertible Notes due 2029</w:t>
            </w:r>
          </w:p>
        </w:tc>
        <w:tc>
          <w:tcPr>
            <w:tcW w:w="2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35,000,000</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30,000,000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(1,049,141)</w:t>
            </w:r>
          </w:p>
        </w:tc>
        <w:tc>
          <w:tcPr>
            <w:tcW w:w="22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(948,592)</w:t>
            </w:r>
          </w:p>
        </w:tc>
        <w:tc>
          <w:tcPr>
            <w:tcW w:w="0" w:type="dxa"/>
            <w:vAlign w:val="bottom"/>
          </w:tcPr>
          <w:p>
            <w:pPr>
              <w:spacing w:after="0"/>
              <w:rPr>
                <w:sz w:val="1"/>
                <w:szCs w:val="1"/>
                <w:color w:val="auto"/>
              </w:rPr>
            </w:pPr>
          </w:p>
        </w:tc>
      </w:tr>
      <w:tr>
        <w:trPr>
          <w:trHeight w:val="17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33,950,859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29,051,408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80" w:type="dxa"/>
            <w:vAlign w:val="bottom"/>
            <w:vMerge w:val="restart"/>
          </w:tcPr>
          <w:p>
            <w:pPr>
              <w:jc w:val="right"/>
              <w:ind w:right="1226"/>
              <w:spacing w:after="0"/>
              <w:rPr>
                <w:sz w:val="20"/>
                <w:szCs w:val="20"/>
                <w:color w:val="auto"/>
              </w:rPr>
            </w:pPr>
            <w:r>
              <w:rPr>
                <w:rFonts w:ascii="Times New Roman" w:cs="Times New Roman" w:eastAsia="Times New Roman" w:hAnsi="Times New Roman"/>
                <w:sz w:val="15"/>
                <w:szCs w:val="15"/>
                <w:color w:val="auto"/>
              </w:rPr>
              <w:t>40</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11—STOCK-BASED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Amended and Restated 2019 Equity Incentive Plan</w:t>
      </w:r>
    </w:p>
    <w:p>
      <w:pPr>
        <w:spacing w:after="0" w:line="18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56" w:lineRule="exact"/>
        <w:rPr>
          <w:sz w:val="20"/>
          <w:szCs w:val="20"/>
          <w:color w:val="auto"/>
        </w:rPr>
      </w:pPr>
    </w:p>
    <w:p>
      <w:pPr>
        <w:jc w:val="both"/>
        <w:ind w:firstLine="265"/>
        <w:spacing w:after="0" w:line="277" w:lineRule="auto"/>
        <w:rPr>
          <w:sz w:val="20"/>
          <w:szCs w:val="20"/>
          <w:color w:val="auto"/>
        </w:rPr>
      </w:pPr>
      <w:r>
        <w:rPr>
          <w:rFonts w:ascii="Times New Roman" w:cs="Times New Roman" w:eastAsia="Times New Roman" w:hAnsi="Times New Roman"/>
          <w:sz w:val="14"/>
          <w:szCs w:val="14"/>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three months ended March 31, 2025, the Company did not grant any restricted shares to the Company’s non-employee directors pursuant to the Amended &amp; Restated 2019 Equity Incentive Plan.</w:t>
      </w:r>
    </w:p>
    <w:p>
      <w:pPr>
        <w:spacing w:after="0" w:line="139"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57"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the Company did not grant any restricted shares to the Company’s officers pursuant to the Amended &amp; Restated 2019 Equity Incentive Plan.</w:t>
      </w:r>
    </w:p>
    <w:p>
      <w:pPr>
        <w:spacing w:after="0" w:line="140"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2025 and 2024, the Company recognized stock-based compensation expense of $276,007 and $750,037, respectively, not including executive and employee forfeits. As of March 31, 2025 and December 31, 2024, there were approximately $4,048,602 and $4,333,337, respectively, of total unrecognized compensation costs related to the restricted share grants. Compensation expense associated with the restricted shares is recognized on a quarterly basis over the respective vesting periods.</w:t>
      </w:r>
    </w:p>
    <w:p>
      <w:pPr>
        <w:spacing w:after="0" w:line="15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following table summarizes the activities for the Company’s restricted share grants for the three months ended March 31, 2025 under the Amended &amp; Restated 2019 Equity Incentive Plan:</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Number of Restricted</w:t>
            </w:r>
          </w:p>
        </w:tc>
      </w:tr>
      <w:tr>
        <w:trPr>
          <w:trHeight w:val="193"/>
        </w:trPr>
        <w:tc>
          <w:tcPr>
            <w:tcW w:w="7220" w:type="dxa"/>
            <w:vAlign w:val="bottom"/>
          </w:tcPr>
          <w:p>
            <w:pPr>
              <w:spacing w:after="0"/>
              <w:rPr>
                <w:sz w:val="16"/>
                <w:szCs w:val="16"/>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90"/>
        </w:trPr>
        <w:tc>
          <w:tcPr>
            <w:tcW w:w="72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3"/>
                <w:szCs w:val="13"/>
                <w:color w:val="auto"/>
              </w:rPr>
              <w:t>Outstanding as of December 31, 2024</w:t>
            </w:r>
            <w:r>
              <w:rPr>
                <w:rFonts w:ascii="Times New Roman" w:cs="Times New Roman" w:eastAsia="Times New Roman" w:hAnsi="Times New Roman"/>
                <w:sz w:val="21"/>
                <w:szCs w:val="21"/>
                <w:color w:val="auto"/>
                <w:vertAlign w:val="superscript"/>
              </w:rPr>
              <w:t>(1)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532,136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7"/>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16"/>
                <w:szCs w:val="16"/>
                <w:color w:val="auto"/>
              </w:rPr>
            </w:pPr>
          </w:p>
        </w:tc>
      </w:tr>
      <w:tr>
        <w:trPr>
          <w:trHeight w:val="210"/>
        </w:trPr>
        <w:tc>
          <w:tcPr>
            <w:tcW w:w="7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Vested</w:t>
            </w:r>
            <w:r>
              <w:rPr>
                <w:rFonts w:ascii="Times New Roman" w:cs="Times New Roman" w:eastAsia="Times New Roman" w:hAnsi="Times New Roman"/>
                <w:sz w:val="24"/>
                <w:szCs w:val="24"/>
                <w:color w:val="auto"/>
                <w:vertAlign w:val="superscript"/>
              </w:rPr>
              <w:t>(2)</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(80,610)</w:t>
            </w:r>
          </w:p>
        </w:tc>
      </w:tr>
      <w:tr>
        <w:trPr>
          <w:trHeight w:val="187"/>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w:t>
            </w:r>
          </w:p>
        </w:tc>
      </w:tr>
      <w:tr>
        <w:trPr>
          <w:trHeight w:val="179"/>
        </w:trPr>
        <w:tc>
          <w:tcPr>
            <w:tcW w:w="72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Outstanding as of March 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444,526</w:t>
            </w: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7220" w:type="dxa"/>
            <w:vAlign w:val="bottom"/>
          </w:tcPr>
          <w:p>
            <w:pPr>
              <w:spacing w:after="0"/>
              <w:rPr>
                <w:sz w:val="20"/>
                <w:szCs w:val="20"/>
                <w:color w:val="auto"/>
              </w:rPr>
            </w:pPr>
            <w:r>
              <w:rPr>
                <w:rFonts w:ascii="Times New Roman" w:cs="Times New Roman" w:eastAsia="Times New Roman" w:hAnsi="Times New Roman"/>
                <w:sz w:val="15"/>
                <w:szCs w:val="15"/>
                <w:color w:val="auto"/>
              </w:rPr>
              <w:t>Vested as of March 31,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1,031,727</w:t>
            </w:r>
          </w:p>
        </w:tc>
        <w:tc>
          <w:tcPr>
            <w:tcW w:w="100" w:type="dxa"/>
            <w:vAlign w:val="bottom"/>
          </w:tcPr>
          <w:p>
            <w:pPr>
              <w:spacing w:after="0"/>
              <w:rPr>
                <w:sz w:val="15"/>
                <w:szCs w:val="15"/>
                <w:color w:val="auto"/>
              </w:rPr>
            </w:pPr>
          </w:p>
        </w:tc>
      </w:tr>
    </w:tbl>
    <w:p>
      <w:pPr>
        <w:spacing w:after="0"/>
        <w:rPr>
          <w:sz w:val="20"/>
          <w:szCs w:val="20"/>
          <w:color w:val="auto"/>
        </w:rPr>
      </w:pPr>
      <w:r>
        <w:rPr>
          <w:rFonts w:ascii="Times New Roman" w:cs="Times New Roman" w:eastAsia="Times New Roman" w:hAnsi="Times New Roman"/>
          <w:sz w:val="15"/>
          <w:szCs w:val="15"/>
          <w:b w:val="1"/>
          <w:bCs w:val="1"/>
          <w:color w:val="auto"/>
        </w:rPr>
        <w:t>_________________________________</w:t>
      </w:r>
    </w:p>
    <w:p>
      <w:pPr>
        <w:spacing w:after="0" w:line="2"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Not including unvested dividends.</w:t>
      </w:r>
    </w:p>
    <w:p>
      <w:pPr>
        <w:spacing w:after="0" w:line="3"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The balance of vested shares reflects the total shares vested during the period and has not been reduced for those vested shares forfeited at time of vest related to net share settlement.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2025</w:t>
      </w:r>
    </w:p>
    <w:p>
      <w:pPr>
        <w:spacing w:after="0" w:line="166" w:lineRule="exact"/>
        <w:rPr>
          <w:sz w:val="20"/>
          <w:szCs w:val="20"/>
          <w:color w:val="auto"/>
        </w:rPr>
      </w:pPr>
    </w:p>
    <w:p>
      <w:pPr>
        <w:ind w:firstLine="265"/>
        <w:spacing w:after="0" w:line="271" w:lineRule="auto"/>
        <w:rPr>
          <w:sz w:val="20"/>
          <w:szCs w:val="20"/>
          <w:color w:val="auto"/>
        </w:rPr>
      </w:pPr>
      <w:r>
        <w:rPr>
          <w:rFonts w:ascii="Times New Roman" w:cs="Times New Roman" w:eastAsia="Times New Roman" w:hAnsi="Times New Roman"/>
          <w:sz w:val="15"/>
          <w:szCs w:val="15"/>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12—SUBSEQUENT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Portfolio Activity</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From April 1, 2025 through May 6, 2025, the Company made the following investment (not including capitalized transaction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140" w:type="dxa"/>
            <w:vAlign w:val="bottom"/>
            <w:tcBorders>
              <w:bottom w:val="single" w:sz="8" w:color="CCEEFF"/>
            </w:tcBorders>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5"/>
                <w:szCs w:val="15"/>
                <w:b w:val="1"/>
                <w:bCs w:val="1"/>
                <w:color w:val="auto"/>
                <w:w w:val="97"/>
              </w:rPr>
              <w:t>Transaction Date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Plaid Inc.</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Class A Common Shares</w:t>
            </w:r>
          </w:p>
        </w:tc>
        <w:tc>
          <w:tcPr>
            <w:tcW w:w="1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4/4/2025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4,999,874</w:t>
            </w:r>
          </w:p>
        </w:tc>
        <w:tc>
          <w:tcPr>
            <w:tcW w:w="0" w:type="dxa"/>
            <w:vAlign w:val="bottom"/>
          </w:tcPr>
          <w:p>
            <w:pPr>
              <w:spacing w:after="0"/>
              <w:rPr>
                <w:sz w:val="1"/>
                <w:szCs w:val="1"/>
                <w:color w:val="auto"/>
              </w:rPr>
            </w:pPr>
          </w:p>
        </w:tc>
      </w:tr>
      <w:tr>
        <w:trPr>
          <w:trHeight w:val="167"/>
        </w:trPr>
        <w:tc>
          <w:tcPr>
            <w:tcW w:w="4540" w:type="dxa"/>
            <w:vAlign w:val="bottom"/>
            <w:gridSpan w:val="2"/>
          </w:tcPr>
          <w:p>
            <w:pPr>
              <w:ind w:left="140"/>
              <w:spacing w:after="0" w:line="168" w:lineRule="exact"/>
              <w:rPr>
                <w:sz w:val="20"/>
                <w:szCs w:val="20"/>
                <w:color w:val="auto"/>
              </w:rPr>
            </w:pPr>
            <w:r>
              <w:rPr>
                <w:rFonts w:ascii="Times New Roman" w:cs="Times New Roman" w:eastAsia="Times New Roman" w:hAnsi="Times New Roman"/>
                <w:sz w:val="15"/>
                <w:szCs w:val="15"/>
                <w:b w:val="1"/>
                <w:bCs w:val="1"/>
                <w:color w:val="auto"/>
              </w:rPr>
              <w:t>Total</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4,999,874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_________________________________</w:t>
            </w:r>
          </w:p>
        </w:tc>
        <w:tc>
          <w:tcPr>
            <w:tcW w:w="14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line="251" w:lineRule="auto"/>
        <w:tabs>
          <w:tab w:leader="none" w:pos="3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SuRo Capital’s investment in the Class A Common Shares of Plaid Inc. was made through 1789 Capital Nirvana II LP, an SPV in which SuRo Capital Corp. is the Sole Limited Partner. SuRo Capital paid a 7% origination fee at the time of investment.</w:t>
      </w:r>
    </w:p>
    <w:p>
      <w:pPr>
        <w:spacing w:after="0" w:line="154"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13—SUPPLEMENTAL FINANCIAL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Summarized Financial Information of Unconsolidated Subsidiaries</w:t>
      </w:r>
    </w:p>
    <w:p>
      <w:pPr>
        <w:spacing w:after="0" w:line="18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50"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57"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Company’s controlled portfolio company as of March 31, 2025, Colombier Sponsor II LLC, did not meet the definition of a “significant subsidiary” as set forth in Rule 1-02(w)(2) of Regulation S-X. The Company’s three controlled portfolio companies as of March 31, 2024, SPBRX, INC. (f/k/a GSV Sustainability Partners, Inc.), Architect Capital PayJoy SPV, LLC, and Colombier Sponsor II LLC, did not meet the definition of significant subsidiaries under the Final Rules.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forward-looking statements contained in this quarterly report on Form 10-Q involve risks and uncertainties, including, without limitation, statements as to:</w:t>
      </w:r>
    </w:p>
    <w:p>
      <w:pPr>
        <w:spacing w:after="0" w:line="180" w:lineRule="exact"/>
        <w:rPr>
          <w:sz w:val="20"/>
          <w:szCs w:val="20"/>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upon our management team and key investment professionals;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prospects of our portfolio companies;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business and future growth;</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investments that we expect to make;</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investments in growth-stage companies, other venture capital-backed companies, and generally U.S. companies;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contractual arrangements and relationships with third parties;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make distributions;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dependence of our future success on the general economy and its impact on the industries in which we invest;</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the uncertainty of the value of our portfolio investments;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political, economic or industry conditions;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laws or regulations (including the interpretation thereof), including tax laws, on our operations and/or the operation of our portfolio companies;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market volatility, including general price and volume fluctuations in stock markets; and</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w:t>
      </w:r>
    </w:p>
    <w:p>
      <w:pPr>
        <w:spacing w:after="0" w:line="180" w:lineRule="exact"/>
        <w:rPr>
          <w:sz w:val="20"/>
          <w:szCs w:val="20"/>
          <w:color w:val="auto"/>
        </w:rPr>
      </w:pPr>
    </w:p>
    <w:p>
      <w:pPr>
        <w:ind w:right="20" w:firstLine="265"/>
        <w:spacing w:after="0" w:line="271" w:lineRule="auto"/>
        <w:rPr>
          <w:sz w:val="20"/>
          <w:szCs w:val="20"/>
          <w:color w:val="auto"/>
        </w:rPr>
      </w:pPr>
      <w:r>
        <w:rPr>
          <w:rFonts w:ascii="Times New Roman" w:cs="Times New Roman" w:eastAsia="Times New Roman" w:hAnsi="Times New Roman"/>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0" w:lineRule="exact"/>
        <w:rPr>
          <w:sz w:val="20"/>
          <w:szCs w:val="20"/>
          <w:color w:val="auto"/>
        </w:rPr>
      </w:pPr>
    </w:p>
    <w:p>
      <w:pPr>
        <w:ind w:left="540" w:hanging="267"/>
        <w:spacing w:after="0" w:line="271"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economic downturn could impair our portfolio companies’ ability to continue to operate, which could lead to the loss of some or all of our investments in such portfolio companies;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0" w:lineRule="exact"/>
        <w:rPr>
          <w:sz w:val="20"/>
          <w:szCs w:val="20"/>
          <w:color w:val="auto"/>
        </w:rPr>
      </w:pPr>
    </w:p>
    <w:p>
      <w:pPr>
        <w:ind w:left="540" w:hanging="267"/>
        <w:spacing w:after="0"/>
        <w:tabs>
          <w:tab w:leader="none" w:pos="5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disproportionately impact the market sectors in which a significant portion of our portfolio is concentrated, causing us to suffer losses in our portfolio;</w:t>
      </w:r>
    </w:p>
    <w:p>
      <w:pPr>
        <w:spacing w:after="0" w:line="191" w:lineRule="exact"/>
        <w:rPr>
          <w:rFonts w:ascii="Times New Roman" w:cs="Times New Roman" w:eastAsia="Times New Roman" w:hAnsi="Times New Roman"/>
          <w:sz w:val="14"/>
          <w:szCs w:val="14"/>
          <w:color w:val="auto"/>
        </w:rPr>
      </w:pPr>
    </w:p>
    <w:p>
      <w:pPr>
        <w:ind w:left="540" w:hanging="26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contraction of available credit and/or an inability to access the equity markets could impair our investment activities;</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inflation or an inflationary economic environment could adversely affect our portfolio companies’ operating results, causing us to suffer losses in our portfolio;</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volatility could adversely affect our results, particularly because we use leverage as part of our investment strategy; and</w:t>
      </w:r>
    </w:p>
    <w:p>
      <w:pPr>
        <w:spacing w:after="0" w:line="180"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uncertainties and other factors we identify in the sections entitled “Risk Factors” in our quarterly reports on Form 10-Q, our annual report on Form 10-K, and in our other filings with the SEC.</w:t>
      </w:r>
    </w:p>
    <w:p>
      <w:pPr>
        <w:spacing w:after="0" w:line="140"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8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0"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special purpose vehicles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56"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57"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Our investment philosophy is based on a disciplined approach of identifying promising investments in high-growth, venture-backed companies across several key industry themes which may include, among others, Software-as-a-Service, Artificial Intelligence Infrastructure &amp; Applications, Consumer Goods &amp; Services, Education Technology, Logistics &amp; Supply Chain, Financial Technology &amp; Services, and SuRo Sports.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0"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seek to create a low-turnover portfolio that includes investments in companies representing a broad range of investment themes.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History</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4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40"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Portfolio and Investment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Three Months Ended March 31, 2025</w:t>
      </w:r>
    </w:p>
    <w:p>
      <w:pPr>
        <w:spacing w:after="0" w:line="18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2025 of all of our portfolio investments was $213,577,198.</w:t>
      </w:r>
    </w:p>
    <w:p>
      <w:pPr>
        <w:spacing w:after="0" w:line="14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we funded investments in an aggregate amount of $1,303,010 (not including capitalized transaction costs) as shown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3620" w:type="dxa"/>
            <w:vAlign w:val="bottom"/>
            <w:gridSpan w:val="2"/>
          </w:tcPr>
          <w:p>
            <w:pPr>
              <w:ind w:left="13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Gross Payments</w:t>
            </w:r>
          </w:p>
        </w:tc>
      </w:tr>
      <w:tr>
        <w:trPr>
          <w:trHeight w:val="168"/>
        </w:trPr>
        <w:tc>
          <w:tcPr>
            <w:tcW w:w="34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Orchard Technologies, Inc.</w:t>
            </w:r>
          </w:p>
        </w:tc>
        <w:tc>
          <w:tcPr>
            <w:tcW w:w="220" w:type="dxa"/>
            <w:vAlign w:val="bottom"/>
            <w:tcBorders>
              <w:top w:val="single" w:sz="8" w:color="CCEEFF"/>
            </w:tcBorders>
            <w:shd w:val="clear" w:color="auto" w:fill="CCEEFF"/>
          </w:tcPr>
          <w:p>
            <w:pPr>
              <w:spacing w:after="0"/>
              <w:rPr>
                <w:sz w:val="14"/>
                <w:szCs w:val="14"/>
                <w:color w:val="auto"/>
              </w:rPr>
            </w:pPr>
          </w:p>
        </w:tc>
        <w:tc>
          <w:tcPr>
            <w:tcW w:w="34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8"/>
              </w:rPr>
              <w:t>Senior Preferred shares, Series 1</w:t>
            </w: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8"/>
              </w:rPr>
              <w:t>1/31/2025</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222,210</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Simple Agreement for Future 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1/31/2025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80,800</w:t>
            </w:r>
          </w:p>
        </w:tc>
      </w:tr>
      <w:tr>
        <w:trPr>
          <w:trHeight w:val="18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3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Simple Agreement for Future Equity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2/6/2025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20" w:type="dxa"/>
            <w:vAlign w:val="bottom"/>
            <w:shd w:val="clear" w:color="auto" w:fill="CCEEFF"/>
          </w:tcPr>
          <w:p>
            <w:pPr>
              <w:spacing w:after="0"/>
              <w:rPr>
                <w:sz w:val="16"/>
                <w:szCs w:val="16"/>
                <w:color w:val="auto"/>
              </w:rPr>
            </w:pPr>
          </w:p>
        </w:tc>
      </w:tr>
      <w:tr>
        <w:trPr>
          <w:trHeight w:val="179"/>
        </w:trPr>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1,303,010</w:t>
            </w:r>
          </w:p>
        </w:tc>
        <w:tc>
          <w:tcPr>
            <w:tcW w:w="12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the three months ended March 31, 2025, we capitalized fees of $4,568.</w:t>
      </w:r>
    </w:p>
    <w:p>
      <w:pPr>
        <w:spacing w:after="0" w:line="18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we did not exit or receive proceeds from any of our investments, and realized a net loss on investments of $17,951 (including adjustments to amounts held in escrow receivable).</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the three months ended March 31, 2025, we did not write-off any investments.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Three Months Ended March 31, 2024</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2024, of all of our portfolio investments, excluding short-term U.S. Treasury bills, was $175,015,571.</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the three months ended March 31, 2024, we funded investments in an aggregate amount of $9,999,996 (not including capitalized transaction costs or investments in short-term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Treasury bills) as shown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92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Gross Payments</w:t>
            </w:r>
          </w:p>
        </w:tc>
      </w:tr>
      <w:tr>
        <w:trPr>
          <w:trHeight w:val="179"/>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Supplying Demand, Inc. (d/b/a Liquid Death)</w:t>
            </w:r>
          </w:p>
        </w:tc>
        <w:tc>
          <w:tcPr>
            <w:tcW w:w="24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w w:val="96"/>
              </w:rPr>
              <w:t>Preferred shares, Series F-1</w:t>
            </w:r>
          </w:p>
        </w:tc>
        <w:tc>
          <w:tcPr>
            <w:tcW w:w="32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5"/>
                <w:szCs w:val="15"/>
                <w:color w:val="auto"/>
              </w:rPr>
              <w:t>1/18/2024</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9,999,996</w:t>
            </w:r>
          </w:p>
        </w:tc>
        <w:tc>
          <w:tcPr>
            <w:tcW w:w="120" w:type="dxa"/>
            <w:vAlign w:val="bottom"/>
            <w:tcBorders>
              <w:top w:val="single" w:sz="8" w:color="CCEEFF"/>
            </w:tcBorders>
            <w:shd w:val="clear" w:color="auto" w:fill="CCEEFF"/>
          </w:tcPr>
          <w:p>
            <w:pPr>
              <w:spacing w:after="0"/>
              <w:rPr>
                <w:sz w:val="15"/>
                <w:szCs w:val="15"/>
                <w:color w:val="auto"/>
              </w:rPr>
            </w:pPr>
          </w:p>
        </w:tc>
      </w:tr>
      <w:tr>
        <w:trPr>
          <w:trHeight w:val="179"/>
        </w:trPr>
        <w:tc>
          <w:tcPr>
            <w:tcW w:w="29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9,999,996</w:t>
            </w:r>
          </w:p>
        </w:tc>
        <w:tc>
          <w:tcPr>
            <w:tcW w:w="120" w:type="dxa"/>
            <w:vAlign w:val="bottom"/>
          </w:tcPr>
          <w:p>
            <w:pPr>
              <w:spacing w:after="0"/>
              <w:rPr>
                <w:sz w:val="15"/>
                <w:szCs w:val="15"/>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the three months ended March 31, 2024, we capitalized fees of $3,938.</w:t>
      </w:r>
    </w:p>
    <w:p>
      <w:pPr>
        <w:spacing w:after="0" w:line="18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2024, we exited or received proceeds from investments in the amount of $318,316, net of transaction costs, and realized a net loss on investments of $424,074 (including adjustments to amounts held in escrow receivable) as shown in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Average Net Share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66"/>
              <w:spacing w:after="0"/>
              <w:rPr>
                <w:sz w:val="20"/>
                <w:szCs w:val="20"/>
                <w:color w:val="auto"/>
              </w:rPr>
            </w:pPr>
            <w:r>
              <w:rPr>
                <w:rFonts w:ascii="Times New Roman" w:cs="Times New Roman" w:eastAsia="Times New Roman" w:hAnsi="Times New Roman"/>
                <w:sz w:val="15"/>
                <w:szCs w:val="15"/>
                <w:b w:val="1"/>
                <w:bCs w:val="1"/>
                <w:color w:val="auto"/>
                <w:w w:val="98"/>
              </w:rPr>
              <w:t>Realized</w:t>
            </w:r>
          </w:p>
        </w:tc>
        <w:tc>
          <w:tcPr>
            <w:tcW w:w="0" w:type="dxa"/>
            <w:vAlign w:val="bottom"/>
          </w:tcPr>
          <w:p>
            <w:pPr>
              <w:spacing w:after="0"/>
              <w:rPr>
                <w:sz w:val="1"/>
                <w:szCs w:val="1"/>
                <w:color w:val="auto"/>
              </w:rPr>
            </w:pPr>
          </w:p>
        </w:tc>
      </w:tr>
      <w:tr>
        <w:trPr>
          <w:trHeight w:val="22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6"/>
              <w:spacing w:after="0" w:line="225" w:lineRule="exact"/>
              <w:rPr>
                <w:sz w:val="20"/>
                <w:szCs w:val="20"/>
                <w:color w:val="auto"/>
              </w:rPr>
            </w:pPr>
            <w:r>
              <w:rPr>
                <w:rFonts w:ascii="Times New Roman" w:cs="Times New Roman" w:eastAsia="Times New Roman" w:hAnsi="Times New Roman"/>
                <w:sz w:val="15"/>
                <w:szCs w:val="15"/>
                <w:b w:val="1"/>
                <w:bCs w:val="1"/>
                <w:color w:val="auto"/>
              </w:rPr>
              <w:t>Price</w:t>
            </w:r>
            <w:r>
              <w:rPr>
                <w:rFonts w:ascii="Times New Roman" w:cs="Times New Roman" w:eastAsia="Times New Roman" w:hAnsi="Times New Roman"/>
                <w:sz w:val="24"/>
                <w:szCs w:val="24"/>
                <w:b w:val="1"/>
                <w:bCs w:val="1"/>
                <w:color w:val="auto"/>
                <w:vertAlign w:val="superscript"/>
              </w:rPr>
              <w:t>(1)</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6"/>
              <w:spacing w:after="0" w:line="225" w:lineRule="exact"/>
              <w:rPr>
                <w:sz w:val="20"/>
                <w:szCs w:val="20"/>
                <w:color w:val="auto"/>
              </w:rPr>
            </w:pPr>
            <w:r>
              <w:rPr>
                <w:rFonts w:ascii="Times New Roman" w:cs="Times New Roman" w:eastAsia="Times New Roman" w:hAnsi="Times New Roman"/>
                <w:sz w:val="15"/>
                <w:szCs w:val="15"/>
                <w:b w:val="1"/>
                <w:bCs w:val="1"/>
                <w:color w:val="auto"/>
                <w:w w:val="93"/>
              </w:rPr>
              <w:t>Gain/(Loss)</w:t>
            </w:r>
            <w:r>
              <w:rPr>
                <w:rFonts w:ascii="Times New Roman" w:cs="Times New Roman" w:eastAsia="Times New Roman" w:hAnsi="Times New Roman"/>
                <w:sz w:val="24"/>
                <w:szCs w:val="24"/>
                <w:b w:val="1"/>
                <w:bCs w:val="1"/>
                <w:color w:val="auto"/>
                <w:w w:val="93"/>
                <w:vertAlign w:val="superscript"/>
              </w:rPr>
              <w:t>(2)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Nextdoor Holdings, Inc.</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Various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112,420</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215,318</w:t>
            </w:r>
          </w:p>
        </w:tc>
        <w:tc>
          <w:tcPr>
            <w:tcW w:w="3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(411,151)</w:t>
            </w:r>
          </w:p>
        </w:tc>
        <w:tc>
          <w:tcPr>
            <w:tcW w:w="0" w:type="dxa"/>
            <w:vAlign w:val="bottom"/>
          </w:tcPr>
          <w:p>
            <w:pPr>
              <w:spacing w:after="0"/>
              <w:rPr>
                <w:sz w:val="1"/>
                <w:szCs w:val="1"/>
                <w:color w:val="auto"/>
              </w:rPr>
            </w:pPr>
          </w:p>
        </w:tc>
      </w:tr>
      <w:tr>
        <w:trPr>
          <w:trHeight w:val="221"/>
        </w:trPr>
        <w:tc>
          <w:tcPr>
            <w:tcW w:w="362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 xml:space="preserve">PSQ Holdings, Inc. (d/b/a PublicSquare) </w:t>
            </w:r>
            <w:r>
              <w:rPr>
                <w:rFonts w:ascii="Times New Roman" w:cs="Times New Roman" w:eastAsia="Times New Roman" w:hAnsi="Times New Roman"/>
                <w:sz w:val="15"/>
                <w:szCs w:val="15"/>
                <w:i w:val="1"/>
                <w:iCs w:val="1"/>
                <w:color w:val="auto"/>
              </w:rPr>
              <w:t>- Warrants</w:t>
            </w:r>
            <w:r>
              <w:rPr>
                <w:rFonts w:ascii="Times New Roman" w:cs="Times New Roman" w:eastAsia="Times New Roman" w:hAnsi="Times New Roman"/>
                <w:sz w:val="24"/>
                <w:szCs w:val="24"/>
                <w:color w:val="auto"/>
                <w:vertAlign w:val="superscript"/>
              </w:rPr>
              <w:t>(4)</w:t>
            </w: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Various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102,998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60,067</w:t>
            </w:r>
          </w:p>
        </w:tc>
        <w:tc>
          <w:tcPr>
            <w:tcW w:w="0" w:type="dxa"/>
            <w:vAlign w:val="bottom"/>
          </w:tcPr>
          <w:p>
            <w:pPr>
              <w:spacing w:after="0"/>
              <w:rPr>
                <w:sz w:val="1"/>
                <w:szCs w:val="1"/>
                <w:color w:val="auto"/>
              </w:rPr>
            </w:pPr>
          </w:p>
        </w:tc>
      </w:tr>
      <w:tr>
        <w:trPr>
          <w:trHeight w:val="179"/>
        </w:trPr>
        <w:tc>
          <w:tcPr>
            <w:tcW w:w="36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318,316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(351,084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_________________________________</w:t>
            </w:r>
          </w:p>
        </w:tc>
        <w:tc>
          <w:tcPr>
            <w:tcW w:w="2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80" w:hanging="272"/>
        <w:spacing w:after="0" w:line="180" w:lineRule="auto"/>
        <w:tabs>
          <w:tab w:leader="none" w:pos="28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2" w:lineRule="exact"/>
        <w:rPr>
          <w:rFonts w:ascii="Times New Roman" w:cs="Times New Roman" w:eastAsia="Times New Roman" w:hAnsi="Times New Roman"/>
          <w:sz w:val="21"/>
          <w:szCs w:val="21"/>
          <w:color w:val="auto"/>
          <w:vertAlign w:val="superscript"/>
        </w:rPr>
      </w:pPr>
    </w:p>
    <w:p>
      <w:pPr>
        <w:ind w:left="280" w:hanging="272"/>
        <w:spacing w:after="0" w:line="182" w:lineRule="auto"/>
        <w:tabs>
          <w:tab w:leader="none" w:pos="28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Realized gain/(loss) does not include adjustments to amounts held in escrow receivable.</w:t>
      </w:r>
    </w:p>
    <w:p>
      <w:pPr>
        <w:spacing w:after="0" w:line="2" w:lineRule="exact"/>
        <w:rPr>
          <w:rFonts w:ascii="Times New Roman" w:cs="Times New Roman" w:eastAsia="Times New Roman" w:hAnsi="Times New Roman"/>
          <w:sz w:val="20"/>
          <w:szCs w:val="20"/>
          <w:color w:val="auto"/>
          <w:vertAlign w:val="superscript"/>
        </w:rPr>
      </w:pPr>
    </w:p>
    <w:p>
      <w:pPr>
        <w:ind w:left="280" w:hanging="272"/>
        <w:spacing w:after="0" w:line="182" w:lineRule="auto"/>
        <w:tabs>
          <w:tab w:leader="none" w:pos="28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As of February 23, 2024, we had sold our remaining Nextdoor Holdings, Inc. public common shares.</w:t>
      </w:r>
    </w:p>
    <w:p>
      <w:pPr>
        <w:spacing w:after="0" w:line="2" w:lineRule="exact"/>
        <w:rPr>
          <w:rFonts w:ascii="Times New Roman" w:cs="Times New Roman" w:eastAsia="Times New Roman" w:hAnsi="Times New Roman"/>
          <w:sz w:val="20"/>
          <w:szCs w:val="20"/>
          <w:color w:val="auto"/>
          <w:vertAlign w:val="superscript"/>
        </w:rPr>
      </w:pPr>
    </w:p>
    <w:p>
      <w:pPr>
        <w:ind w:left="280" w:right="4920" w:hanging="272"/>
        <w:spacing w:after="0" w:line="350" w:lineRule="auto"/>
        <w:tabs>
          <w:tab w:leader="none" w:pos="28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As of March 31, 2024, we held 2,296,037 remaining PSQ Holdings, Inc. (d/b/a PublicSquare) warrants. During the three months ended March 31, 2024, we did not write-off any investments.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1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6"/>
              </w:rPr>
              <w:t>TABLE OF CONTENTS</w:t>
            </w:r>
          </w:p>
        </w:tc>
        <w:tc>
          <w:tcPr>
            <w:tcW w:w="5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2025 and 2024</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70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Operating results for the three months ended March 31, 2025 and 2024 are as follows: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15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9"/>
        </w:trPr>
        <w:tc>
          <w:tcPr>
            <w:tcW w:w="15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702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18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499,094</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6"/>
              <w:spacing w:after="0" w:line="168"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1,528,091</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1,506,216</w:t>
            </w:r>
          </w:p>
        </w:tc>
        <w:tc>
          <w:tcPr>
            <w:tcW w:w="120" w:type="dxa"/>
            <w:vAlign w:val="bottom"/>
          </w:tcPr>
          <w:p>
            <w:pPr>
              <w:spacing w:after="0"/>
              <w:rPr>
                <w:sz w:val="15"/>
                <w:szCs w:val="15"/>
                <w:color w:val="auto"/>
              </w:rPr>
            </w:pP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income</w:t>
            </w: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348,447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21,875</w:t>
            </w: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180" w:type="dxa"/>
            <w:vAlign w:val="bottom"/>
          </w:tcPr>
          <w:p>
            <w:pPr>
              <w:jc w:val="right"/>
              <w:ind w:right="10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4,160,863</w:t>
            </w:r>
          </w:p>
        </w:tc>
        <w:tc>
          <w:tcPr>
            <w:tcW w:w="180" w:type="dxa"/>
            <w:vAlign w:val="bottom"/>
          </w:tcPr>
          <w:p>
            <w:pPr>
              <w:spacing w:after="0"/>
              <w:rPr>
                <w:sz w:val="15"/>
                <w:szCs w:val="15"/>
                <w:color w:val="auto"/>
              </w:rPr>
            </w:pPr>
          </w:p>
        </w:tc>
        <w:tc>
          <w:tcPr>
            <w:tcW w:w="1300" w:type="dxa"/>
            <w:vAlign w:val="bottom"/>
            <w:gridSpan w:val="2"/>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4,750,993</w:t>
            </w:r>
          </w:p>
        </w:tc>
        <w:tc>
          <w:tcPr>
            <w:tcW w:w="120" w:type="dxa"/>
            <w:vAlign w:val="bottom"/>
          </w:tcPr>
          <w:p>
            <w:pPr>
              <w:spacing w:after="0"/>
              <w:rPr>
                <w:sz w:val="15"/>
                <w:szCs w:val="15"/>
                <w:color w:val="auto"/>
              </w:rPr>
            </w:pP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1,667,835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2,185,318</w:t>
            </w:r>
          </w:p>
        </w:tc>
        <w:tc>
          <w:tcPr>
            <w:tcW w:w="120" w:type="dxa"/>
            <w:vAlign w:val="bottom"/>
            <w:shd w:val="clear" w:color="auto" w:fill="CCEEFF"/>
          </w:tcPr>
          <w:p>
            <w:pPr>
              <w:spacing w:after="0"/>
              <w:rPr>
                <w:sz w:val="15"/>
                <w:szCs w:val="15"/>
                <w:color w:val="auto"/>
              </w:rPr>
            </w:pP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170,565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171,113</w:t>
            </w: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750,224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728,559</w:t>
            </w: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1,259,849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1,214,267</w:t>
            </w:r>
          </w:p>
        </w:tc>
        <w:tc>
          <w:tcPr>
            <w:tcW w:w="120" w:type="dxa"/>
            <w:vAlign w:val="bottom"/>
          </w:tcPr>
          <w:p>
            <w:pPr>
              <w:spacing w:after="0"/>
              <w:rPr>
                <w:sz w:val="15"/>
                <w:szCs w:val="15"/>
                <w:color w:val="auto"/>
              </w:rPr>
            </w:pP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2,100</w:t>
            </w: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309,594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449,636</w:t>
            </w: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Investment Loss</w:t>
            </w:r>
          </w:p>
        </w:tc>
        <w:tc>
          <w:tcPr>
            <w:tcW w:w="118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(3,661,769)</w:t>
            </w:r>
          </w:p>
        </w:tc>
        <w:tc>
          <w:tcPr>
            <w:tcW w:w="1300" w:type="dxa"/>
            <w:vAlign w:val="bottom"/>
            <w:gridSpan w:val="2"/>
            <w:shd w:val="clear" w:color="auto" w:fill="CCEEFF"/>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(3,222,902)</w:t>
            </w: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(17,951)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(424,074)</w:t>
            </w: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loss on partial repurchase of 6.00% Notes due December 30, 2026</w:t>
            </w:r>
          </w:p>
        </w:tc>
        <w:tc>
          <w:tcPr>
            <w:tcW w:w="1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(15,873)</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2,888,878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(18,418,370)</w:t>
            </w:r>
          </w:p>
        </w:tc>
      </w:tr>
      <w:tr>
        <w:trPr>
          <w:trHeight w:val="17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18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(806,715)</w:t>
            </w:r>
          </w:p>
        </w:tc>
        <w:tc>
          <w:tcPr>
            <w:tcW w:w="1300" w:type="dxa"/>
            <w:vAlign w:val="bottom"/>
            <w:gridSpan w:val="2"/>
            <w:shd w:val="clear" w:color="auto" w:fill="CCEEFF"/>
          </w:tcPr>
          <w:p>
            <w:pPr>
              <w:jc w:val="right"/>
              <w:ind w:right="1006"/>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(22,065,346)</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Income</w:t>
      </w:r>
    </w:p>
    <w:p>
      <w:pPr>
        <w:spacing w:after="0" w:line="184"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Investment income decreased to $499,094 for the three months ended March 31, 2025 from $1,528,091 for the three months ended March 31, 2024. The net decrease between periods was primarily due to the cessation of interest income from short-term U.S. Treasury bills and a decrease in interest income received on cash, and in addition to no longer receiving interest income from Architect Capital PayJoy SPV, LLC following the redemption of our investment in June 2024. Additional decreases were related to a decrease in interest income from interest accruals of debt investments in Xgroup Holdings Limited (d/b/a Xpoint), and a decrease in dividend income from Aventine due to the pause placed on their declaration of dividends that began in August 2024. The decreases were offset by an increase in dividend income from CW Opportunity 2 LP during the three months ended March 31, 2025, relative to the three months ended March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Total operating expenses decreased to $4,160,863 for the three months ended March 31, 2025 from $4,750,993 for the three months ended March 31, 2024. The decrease in operating expense was primarily due to decreases in compensation expense and other expenses, offset by an increase in professional fees and interest expense during the three months ended March 31, 2025, relative to the three months ended March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Investment Loss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2025, we recognized a net investment loss of $3,661,769, compared to a net investment loss of $3,222,902 for the three months ended March 31, 2024. The change between periods resulted from a decrease in total investment income and operating expenses during the three months ended March 31, 2025, relative to the three months ended March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Realized Loss on Investments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2025, we recognized a net realized loss on our investments of $17,951, compared to a net realized loss of $424,074 for the three months ended March 31, 2024. The components of our net realized losses on portfolio investments for the three months ended March 31, 2025 and 2024, excluding short-term U.S. Treasury bills and fluctuations in escrow receivables estimates, are reflected in the tables above, under “—Portfolio and Investment Activity.”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19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Change in Unrealized Appreciation/(Depreciation) of Investments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2025, we had a net change in unrealized appreciation/(depreciation) of $2,888,878. For the three months ended March 31, 2024, we had a net change in unrealized appreciation/(depreciation) of $(18,418,370). The following tables summarize, by portfolio company, the significant changes in unrealized appreciation/(depreciation) of our investment portfolio for the three months ended March 31, 2025 and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Net Change in Unrealized</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jc w:val="center"/>
              <w:ind w:right="126"/>
              <w:spacing w:after="0"/>
              <w:rPr>
                <w:sz w:val="20"/>
                <w:szCs w:val="20"/>
                <w:color w:val="auto"/>
              </w:rPr>
            </w:pPr>
            <w:r>
              <w:rPr>
                <w:rFonts w:ascii="Times New Roman" w:cs="Times New Roman" w:eastAsia="Times New Roman" w:hAnsi="Times New Roman"/>
                <w:sz w:val="15"/>
                <w:szCs w:val="15"/>
                <w:b w:val="1"/>
                <w:bCs w:val="1"/>
                <w:color w:val="auto"/>
                <w:w w:val="97"/>
              </w:rPr>
              <w:t>Net Change in Unrealized</w:t>
            </w:r>
          </w:p>
        </w:tc>
      </w:tr>
      <w:tr>
        <w:trPr>
          <w:trHeight w:val="176"/>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Appreciation/(Depreciation)</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Appreciation/(Depreciation)</w:t>
            </w:r>
          </w:p>
        </w:tc>
      </w:tr>
      <w:tr>
        <w:trPr>
          <w:trHeight w:val="176"/>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For the Three Months</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jc w:val="center"/>
              <w:ind w:right="126"/>
              <w:spacing w:after="0"/>
              <w:rPr>
                <w:sz w:val="20"/>
                <w:szCs w:val="20"/>
                <w:color w:val="auto"/>
              </w:rPr>
            </w:pPr>
            <w:r>
              <w:rPr>
                <w:rFonts w:ascii="Times New Roman" w:cs="Times New Roman" w:eastAsia="Times New Roman" w:hAnsi="Times New Roman"/>
                <w:sz w:val="15"/>
                <w:szCs w:val="15"/>
                <w:b w:val="1"/>
                <w:bCs w:val="1"/>
                <w:color w:val="auto"/>
                <w:w w:val="97"/>
              </w:rPr>
              <w:t>For the Three Months</w:t>
            </w:r>
          </w:p>
        </w:tc>
      </w:tr>
      <w:tr>
        <w:trPr>
          <w:trHeight w:val="19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100" w:type="dxa"/>
            <w:vAlign w:val="bottom"/>
          </w:tcPr>
          <w:p>
            <w:pPr>
              <w:spacing w:after="0"/>
              <w:rPr>
                <w:sz w:val="16"/>
                <w:szCs w:val="16"/>
                <w:color w:val="auto"/>
              </w:rPr>
            </w:pPr>
          </w:p>
        </w:tc>
        <w:tc>
          <w:tcPr>
            <w:tcW w:w="20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Ended March 31, 2025</w:t>
            </w:r>
          </w:p>
        </w:tc>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80" w:type="dxa"/>
            <w:vAlign w:val="bottom"/>
          </w:tcPr>
          <w:p>
            <w:pPr>
              <w:spacing w:after="0"/>
              <w:rPr>
                <w:sz w:val="16"/>
                <w:szCs w:val="16"/>
                <w:color w:val="auto"/>
              </w:rPr>
            </w:pPr>
          </w:p>
        </w:tc>
        <w:tc>
          <w:tcPr>
            <w:tcW w:w="1820" w:type="dxa"/>
            <w:vAlign w:val="bottom"/>
            <w:gridSpan w:val="2"/>
          </w:tcPr>
          <w:p>
            <w:pPr>
              <w:jc w:val="center"/>
              <w:ind w:right="126"/>
              <w:spacing w:after="0"/>
              <w:rPr>
                <w:sz w:val="20"/>
                <w:szCs w:val="20"/>
                <w:color w:val="auto"/>
              </w:rPr>
            </w:pPr>
            <w:r>
              <w:rPr>
                <w:rFonts w:ascii="Times New Roman" w:cs="Times New Roman" w:eastAsia="Times New Roman" w:hAnsi="Times New Roman"/>
                <w:sz w:val="15"/>
                <w:szCs w:val="15"/>
                <w:b w:val="1"/>
                <w:bCs w:val="1"/>
                <w:color w:val="auto"/>
                <w:w w:val="97"/>
              </w:rPr>
              <w:t>Ended March 31, 2024</w:t>
            </w:r>
          </w:p>
        </w:tc>
      </w:tr>
      <w:tr>
        <w:trPr>
          <w:trHeight w:val="168"/>
        </w:trPr>
        <w:tc>
          <w:tcPr>
            <w:tcW w:w="34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ARK Type One Deep Ventures Fund LLC</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10,164,967</w:t>
            </w:r>
          </w:p>
        </w:tc>
        <w:tc>
          <w:tcPr>
            <w:tcW w:w="34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auto"/>
            </w:tcBorders>
            <w:shd w:val="clear" w:color="auto" w:fill="CCEEFF"/>
          </w:tcPr>
          <w:p>
            <w:pPr>
              <w:ind w:left="40"/>
              <w:spacing w:after="0" w:line="168" w:lineRule="exact"/>
              <w:rPr>
                <w:sz w:val="20"/>
                <w:szCs w:val="20"/>
                <w:color w:val="auto"/>
              </w:rPr>
            </w:pPr>
            <w:r>
              <w:rPr>
                <w:rFonts w:ascii="Times New Roman" w:cs="Times New Roman" w:eastAsia="Times New Roman" w:hAnsi="Times New Roman"/>
                <w:sz w:val="15"/>
                <w:szCs w:val="15"/>
                <w:color w:val="auto"/>
              </w:rPr>
              <w:t>ServiceTitan, Inc.</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1,445,375</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Colombier Sponsor II LLC</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8,610,476</w:t>
            </w:r>
          </w:p>
        </w:tc>
        <w:tc>
          <w:tcPr>
            <w:tcW w:w="340" w:type="dxa"/>
            <w:vAlign w:val="bottom"/>
          </w:tcPr>
          <w:p>
            <w:pPr>
              <w:spacing w:after="0"/>
              <w:rPr>
                <w:sz w:val="15"/>
                <w:szCs w:val="15"/>
                <w:color w:val="auto"/>
              </w:rPr>
            </w:pPr>
          </w:p>
        </w:tc>
        <w:tc>
          <w:tcPr>
            <w:tcW w:w="36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FourKites, Inc.</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1,054,724</w:t>
            </w:r>
          </w:p>
        </w:tc>
        <w:tc>
          <w:tcPr>
            <w:tcW w:w="120" w:type="dxa"/>
            <w:vAlign w:val="bottom"/>
          </w:tcPr>
          <w:p>
            <w:pPr>
              <w:spacing w:after="0"/>
              <w:rPr>
                <w:sz w:val="15"/>
                <w:szCs w:val="15"/>
                <w:color w:val="auto"/>
              </w:rPr>
            </w:pPr>
          </w:p>
        </w:tc>
      </w:tr>
      <w:tr>
        <w:trPr>
          <w:trHeight w:val="17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5,421,854</w:t>
            </w:r>
          </w:p>
        </w:tc>
        <w:tc>
          <w:tcPr>
            <w:tcW w:w="34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Forge Global, Inc.</w:t>
            </w:r>
          </w:p>
        </w:tc>
        <w:tc>
          <w:tcPr>
            <w:tcW w:w="8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(1,718,813)</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Residential Homes for Rent, LLC (d/b/a Second</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PSQ Holdings, Inc. (d/b/a PublicSquare)</w:t>
            </w:r>
          </w:p>
        </w:tc>
        <w:tc>
          <w:tcPr>
            <w:tcW w:w="100" w:type="dxa"/>
            <w:vAlign w:val="bottom"/>
          </w:tcPr>
          <w:p>
            <w:pPr>
              <w:spacing w:after="0"/>
              <w:rPr>
                <w:sz w:val="16"/>
                <w:szCs w:val="16"/>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(1,023,741)</w:t>
            </w:r>
          </w:p>
        </w:tc>
        <w:tc>
          <w:tcPr>
            <w:tcW w:w="36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Avenue)</w:t>
            </w:r>
          </w:p>
        </w:tc>
        <w:tc>
          <w:tcPr>
            <w:tcW w:w="8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(1,798,087)</w:t>
            </w:r>
          </w:p>
        </w:tc>
      </w:tr>
      <w:tr>
        <w:trPr>
          <w:trHeight w:val="17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Locus Robotics Corp.</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(1,101,665)</w:t>
            </w:r>
          </w:p>
        </w:tc>
        <w:tc>
          <w:tcPr>
            <w:tcW w:w="3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StormWind, LLC</w:t>
            </w:r>
          </w:p>
        </w:tc>
        <w:tc>
          <w:tcPr>
            <w:tcW w:w="8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(1,895,784)</w:t>
            </w:r>
          </w:p>
        </w:tc>
      </w:tr>
      <w:tr>
        <w:trPr>
          <w:trHeight w:val="176"/>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Canva, Inc.</w:t>
            </w:r>
          </w:p>
        </w:tc>
        <w:tc>
          <w:tcPr>
            <w:tcW w:w="100" w:type="dxa"/>
            <w:vAlign w:val="bottom"/>
          </w:tcPr>
          <w:p>
            <w:pPr>
              <w:spacing w:after="0"/>
              <w:rPr>
                <w:sz w:val="15"/>
                <w:szCs w:val="15"/>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(1,160,056)</w:t>
            </w:r>
          </w:p>
        </w:tc>
        <w:tc>
          <w:tcPr>
            <w:tcW w:w="36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8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(12,999,032)</w:t>
            </w:r>
          </w:p>
        </w:tc>
      </w:tr>
      <w:tr>
        <w:trPr>
          <w:trHeight w:val="17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(1,364,790)</w:t>
            </w:r>
          </w:p>
        </w:tc>
        <w:tc>
          <w:tcPr>
            <w:tcW w:w="3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Blink Health, Inc.</w:t>
            </w:r>
          </w:p>
        </w:tc>
        <w:tc>
          <w:tcPr>
            <w:tcW w:w="100" w:type="dxa"/>
            <w:vAlign w:val="bottom"/>
          </w:tcPr>
          <w:p>
            <w:pPr>
              <w:spacing w:after="0"/>
              <w:rPr>
                <w:sz w:val="15"/>
                <w:szCs w:val="15"/>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(1,881,034)</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CoreWeave, Inc.</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(3,439,087)</w:t>
            </w:r>
          </w:p>
        </w:tc>
        <w:tc>
          <w:tcPr>
            <w:tcW w:w="3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100" w:type="dxa"/>
            <w:vAlign w:val="bottom"/>
          </w:tcPr>
          <w:p>
            <w:pPr>
              <w:spacing w:after="0"/>
              <w:rPr>
                <w:sz w:val="15"/>
                <w:szCs w:val="15"/>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(4,636,617)</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CW Opportunity 2 LP</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(5,493,634)</w:t>
            </w:r>
          </w:p>
        </w:tc>
        <w:tc>
          <w:tcPr>
            <w:tcW w:w="3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362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9"/>
                <w:szCs w:val="19"/>
                <w:color w:val="auto"/>
              </w:rPr>
            </w:pP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(1,207,795)</w:t>
            </w:r>
          </w:p>
        </w:tc>
        <w:tc>
          <w:tcPr>
            <w:tcW w:w="360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(2,506,753)</w:t>
            </w:r>
          </w:p>
        </w:tc>
      </w:tr>
      <w:tr>
        <w:trPr>
          <w:trHeight w:val="179"/>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2,888,878</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(18,418,370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5"/>
          <w:szCs w:val="15"/>
          <w:color w:val="auto"/>
        </w:rPr>
        <w:t>_______________________</w:t>
      </w:r>
    </w:p>
    <w:p>
      <w:pPr>
        <w:spacing w:after="0" w:line="4" w:lineRule="exact"/>
        <w:rPr>
          <w:sz w:val="20"/>
          <w:szCs w:val="20"/>
          <w:color w:val="auto"/>
        </w:rPr>
      </w:pPr>
    </w:p>
    <w:p>
      <w:pPr>
        <w:ind w:left="280" w:hanging="272"/>
        <w:spacing w:after="0"/>
        <w:tabs>
          <w:tab w:leader="none" w:pos="2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“Other” represents investments for which individual changes in unrealized appreciation/(depreciation) was less than $1.0 million for the three months ended March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8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our 6.00% Notes due 2026 (the “6.00% Notes due 2026”), of which $39.7 million remain outstanding as of March 31, 2025. On August 14, 2024, we issued $25.0 million in aggregate principal amount of 6.50% Convertible Notes due 2029, and on October 9, 2024 and January 16, 2025, we issued $5.0 million and $5.0 million, respectively, in aggregate principal amount of the Additional Notes (as defined below), all of which remain outstanding. For additional information, see “Equity Issuances and Debt Capital Activities - 6.50% Convertible Notes due 2029” below and “Note 10—Debt Capital Activities” to our Condensed Consolidated Financial Statements as of March 31, 2025.</w:t>
      </w:r>
    </w:p>
    <w:p>
      <w:pPr>
        <w:spacing w:after="0" w:line="159"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Our primary uses of cash are to make investments, pay our operating expenses, and make distributions to our stockholders. For the three months ended March 31, 2025 and 2024, our operating expenses, including interest payments on our debt obligations, were $4,160,863 and $4,750,993,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Reserves and Liquid Securities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68"/>
        </w:trPr>
        <w:tc>
          <w:tcPr>
            <w:tcW w:w="42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Cash</w:t>
            </w:r>
          </w:p>
        </w:tc>
        <w:tc>
          <w:tcPr>
            <w:tcW w:w="25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16,180,542</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6"/>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20,035,640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60"/>
              <w:spacing w:after="0" w:line="210" w:lineRule="exact"/>
              <w:rPr>
                <w:sz w:val="20"/>
                <w:szCs w:val="20"/>
                <w:color w:val="auto"/>
              </w:rPr>
            </w:pPr>
            <w:r>
              <w:rPr>
                <w:rFonts w:ascii="Times New Roman" w:cs="Times New Roman" w:eastAsia="Times New Roman" w:hAnsi="Times New Roman"/>
                <w:sz w:val="15"/>
                <w:szCs w:val="15"/>
                <w:color w:val="auto"/>
              </w:rPr>
              <w:t>Unrestricted securities</w:t>
            </w:r>
            <w:r>
              <w:rPr>
                <w:rFonts w:ascii="Times New Roman" w:cs="Times New Roman" w:eastAsia="Times New Roman" w:hAnsi="Times New Roman"/>
                <w:sz w:val="24"/>
                <w:szCs w:val="24"/>
                <w:color w:val="auto"/>
                <w:vertAlign w:val="superscript"/>
              </w:rPr>
              <w:t>(1)</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1,931,351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3,563,407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Subject to other sales restrictions(2)</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20,406,410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14,027,713</w:t>
            </w:r>
          </w:p>
        </w:tc>
        <w:tc>
          <w:tcPr>
            <w:tcW w:w="0" w:type="dxa"/>
            <w:vAlign w:val="bottom"/>
          </w:tcPr>
          <w:p>
            <w:pPr>
              <w:spacing w:after="0"/>
              <w:rPr>
                <w:sz w:val="1"/>
                <w:szCs w:val="1"/>
                <w:color w:val="auto"/>
              </w:rPr>
            </w:pPr>
          </w:p>
        </w:tc>
      </w:tr>
      <w:tr>
        <w:trPr>
          <w:trHeight w:val="167"/>
        </w:trPr>
        <w:tc>
          <w:tcPr>
            <w:tcW w:w="42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25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22,337,761</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17,591,120</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Cash Reserves and Liquid Securities</w:t>
            </w: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38,518,303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37,626,760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40" w:type="dxa"/>
            <w:vAlign w:val="bottom"/>
            <w:vMerge w:val="restart"/>
          </w:tcPr>
          <w:p>
            <w:pPr>
              <w:jc w:val="right"/>
              <w:ind w:right="986"/>
              <w:spacing w:after="0"/>
              <w:rPr>
                <w:sz w:val="20"/>
                <w:szCs w:val="20"/>
                <w:color w:val="auto"/>
              </w:rPr>
            </w:pPr>
            <w:r>
              <w:rPr>
                <w:rFonts w:ascii="Times New Roman" w:cs="Times New Roman" w:eastAsia="Times New Roman" w:hAnsi="Times New Roman"/>
                <w:sz w:val="15"/>
                <w:szCs w:val="15"/>
                <w:color w:val="auto"/>
              </w:rPr>
              <w:t>48</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w:t>
      </w:r>
    </w:p>
    <w:p>
      <w:pPr>
        <w:ind w:left="320" w:hanging="312"/>
        <w:spacing w:after="0" w:line="191" w:lineRule="auto"/>
        <w:tabs>
          <w:tab w:leader="none" w:pos="3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“Unrestricted securities” represents common stock and warrants of our publicly traded portfolio companies that are not currently subject to any restrictions upon sale. We may incur losses.</w:t>
      </w:r>
    </w:p>
    <w:p>
      <w:pPr>
        <w:spacing w:after="0" w:line="1" w:lineRule="exact"/>
        <w:rPr>
          <w:rFonts w:ascii="Times New Roman" w:cs="Times New Roman" w:eastAsia="Times New Roman" w:hAnsi="Times New Roman"/>
          <w:sz w:val="24"/>
          <w:szCs w:val="24"/>
          <w:color w:val="auto"/>
          <w:vertAlign w:val="superscript"/>
        </w:rPr>
      </w:pPr>
    </w:p>
    <w:p>
      <w:pPr>
        <w:ind w:left="320" w:hanging="312"/>
        <w:spacing w:after="0" w:line="188" w:lineRule="auto"/>
        <w:tabs>
          <w:tab w:leader="none" w:pos="32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Securities of publicly traded portfolio companies “subject to other sales restrictions” represents common stock of our publicly traded portfolio companies that are currently subject to certain lock-up restrictions.</w:t>
      </w:r>
    </w:p>
    <w:p>
      <w:pPr>
        <w:spacing w:after="0" w:line="16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During the three months ended March 31, 2025, cash decreased to $16,180,542 from $20,035,640 at the beginning of the year. The decrease in cash was primarily due to the purchase of new investments, payment of our operating expenses, and payment of interest on the 6.00% Notes due 2026 and 6.50% Convertible Notes due 2029. The decrease was offset by investment income received.</w:t>
      </w:r>
    </w:p>
    <w:p>
      <w:pPr>
        <w:spacing w:after="0" w:line="15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 summary of our significant contractual payment obligations as of March 31, 2025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0"/>
          </w:tcPr>
          <w:p>
            <w:pPr>
              <w:ind w:left="660"/>
              <w:spacing w:after="0"/>
              <w:rPr>
                <w:sz w:val="20"/>
                <w:szCs w:val="20"/>
                <w:color w:val="auto"/>
              </w:rPr>
            </w:pPr>
            <w:r>
              <w:rPr>
                <w:rFonts w:ascii="Times New Roman" w:cs="Times New Roman" w:eastAsia="Times New Roman" w:hAnsi="Times New Roman"/>
                <w:sz w:val="15"/>
                <w:szCs w:val="15"/>
                <w:b w:val="1"/>
                <w:bCs w:val="1"/>
                <w:color w:val="auto"/>
              </w:rPr>
              <w:t xml:space="preserve">Payments Due By Period </w:t>
            </w:r>
            <w:r>
              <w:rPr>
                <w:rFonts w:ascii="Times New Roman" w:cs="Times New Roman" w:eastAsia="Times New Roman" w:hAnsi="Times New Roman"/>
                <w:sz w:val="15"/>
                <w:szCs w:val="15"/>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Less than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ind w:left="60"/>
              <w:spacing w:after="0" w:line="151" w:lineRule="exact"/>
              <w:rPr>
                <w:sz w:val="20"/>
                <w:szCs w:val="20"/>
                <w:color w:val="auto"/>
              </w:rPr>
            </w:pPr>
            <w:r>
              <w:rPr>
                <w:rFonts w:ascii="Times New Roman" w:cs="Times New Roman" w:eastAsia="Times New Roman" w:hAnsi="Times New Roman"/>
                <w:sz w:val="15"/>
                <w:szCs w:val="15"/>
                <w:b w:val="1"/>
                <w:bCs w:val="1"/>
                <w:color w:val="auto"/>
              </w:rPr>
              <w:t>More than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1–3 years</w:t>
            </w: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3–5 years</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3"/>
                <w:szCs w:val="13"/>
                <w:color w:val="auto"/>
              </w:rPr>
              <w:t>6.00% Notes due 2026</w:t>
            </w:r>
            <w:r>
              <w:rPr>
                <w:rFonts w:ascii="Times New Roman" w:cs="Times New Roman" w:eastAsia="Times New Roman" w:hAnsi="Times New Roman"/>
                <w:sz w:val="21"/>
                <w:szCs w:val="21"/>
                <w:color w:val="auto"/>
                <w:vertAlign w:val="superscript"/>
              </w:rPr>
              <w:t>(1)</w:t>
            </w:r>
          </w:p>
        </w:tc>
        <w:tc>
          <w:tcPr>
            <w:tcW w:w="2000" w:type="dxa"/>
            <w:vAlign w:val="bottom"/>
            <w:gridSpan w:val="2"/>
            <w:shd w:val="clear" w:color="auto" w:fill="CCEEFF"/>
          </w:tcPr>
          <w:p>
            <w:pPr>
              <w:jc w:val="right"/>
              <w:ind w:right="59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39.7</w:t>
            </w:r>
          </w:p>
        </w:tc>
        <w:tc>
          <w:tcPr>
            <w:tcW w:w="1000" w:type="dxa"/>
            <w:vAlign w:val="bottom"/>
            <w:gridSpan w:val="2"/>
            <w:shd w:val="clear" w:color="auto" w:fill="CCEEFF"/>
          </w:tcPr>
          <w:p>
            <w:pPr>
              <w:jc w:val="right"/>
              <w:ind w:right="686"/>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39.7</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34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6.50% Convertible Notes due 2029</w:t>
            </w:r>
            <w:r>
              <w:rPr>
                <w:rFonts w:ascii="Times New Roman" w:cs="Times New Roman" w:eastAsia="Times New Roman" w:hAnsi="Times New Roman"/>
                <w:sz w:val="24"/>
                <w:szCs w:val="24"/>
                <w:color w:val="auto"/>
                <w:vertAlign w:val="superscript"/>
              </w:rPr>
              <w:t>(2)</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35.0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5"/>
              </w:rPr>
              <w:t>0.1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0.3</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&lt;0.01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0.1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3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_______________________</w:t>
            </w:r>
          </w:p>
        </w:tc>
        <w:tc>
          <w:tcPr>
            <w:tcW w:w="1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line="191" w:lineRule="auto"/>
        <w:tabs>
          <w:tab w:leader="none" w:pos="3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Reflects the principal balance payable for the 6.00% Notes due 2026 as of March 31, 2025. Refer to “Note 10—Debt Capital Activities” in our Condensed Consolidated Financial Statements as of March 31, 2025 for more information.</w:t>
      </w:r>
    </w:p>
    <w:p>
      <w:pPr>
        <w:spacing w:after="0" w:line="1" w:lineRule="exact"/>
        <w:rPr>
          <w:rFonts w:ascii="Times New Roman" w:cs="Times New Roman" w:eastAsia="Times New Roman" w:hAnsi="Times New Roman"/>
          <w:sz w:val="24"/>
          <w:szCs w:val="24"/>
          <w:color w:val="auto"/>
          <w:vertAlign w:val="superscript"/>
        </w:rPr>
      </w:pPr>
    </w:p>
    <w:p>
      <w:pPr>
        <w:ind w:left="320" w:hanging="312"/>
        <w:spacing w:after="0" w:line="188" w:lineRule="auto"/>
        <w:tabs>
          <w:tab w:leader="none" w:pos="3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Reflects the principal balance payable for the 6.50% Convertible Notes due 2029 as of March 31, 2025. Refer to “Note 10—Debt Capital Activities” in our Condensed Consolidated Financial Statements as of March 31, 2025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4"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During the three months ended March 31, 2025, we did not repurchase any shares of our common stock under the discretionary open-market Share Repurchase Program. During the three months ended March 31, 2024, we did not repurchase any shares of our common stock under the discretionary open-market Share Repurchase Program. As of March 31, 2025, the dollar value of shares that remained available to be purchased under the Share Repurchase Program was approximately $25.0 million. Currently, the Share Repurchase Program is authorized until the earlier of (i) October 31, 2025 or (ii) the repurchase of $64.3 million in aggregate amount of our common stock.</w:t>
      </w:r>
    </w:p>
    <w:p>
      <w:pPr>
        <w:spacing w:after="0" w:line="152"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March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8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As of March 31, 2025 and December 31, 2024, we had no off-balance sheet arrangements, including any risk management of commodity pricing or other hedging practices. However, we may employ hedging and other risk management techniques in the future.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Issuances and Debt Capital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At-the-Market Offering</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spacing w:after="0" w:line="157"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2025 and 2024, we did not issue or sell Shares under the ATM Program. As of March 31, 2025 and March 31, 2024, up to approximately $98.8 million in aggregate amount of the Shares remain available for sale under the ATM Program.</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Refer to “Note 5—Common Stock” to our Condensed Consolidated Financial Statements as of March 31, 2025 for more information regarding the ATM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6.00% Notes due 2026 - Note Repurchase Program</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57"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On August 6, 2024, our Board of Directors approved a discretionary note repurchase program (the “Note Repurchase Program”) which allows us to repurchase up to $35.0 million of our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During the three months ended March 31, 2025, the Company repurchased and retired $5.0 million of aggregate principal amount of the 6.00% Notes due 2026, resulting in the total use of the authorized amount under the Note Repurchase Program.</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March 31, 2025 for more information regarding the 6.00% Notes due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6.50% Convertible Notes due 2029</w:t>
      </w:r>
    </w:p>
    <w:p>
      <w:pPr>
        <w:spacing w:after="0" w:line="182" w:lineRule="exact"/>
        <w:rPr>
          <w:sz w:val="20"/>
          <w:szCs w:val="20"/>
          <w:color w:val="auto"/>
        </w:rPr>
      </w:pPr>
    </w:p>
    <w:p>
      <w:pPr>
        <w:jc w:val="both"/>
        <w:ind w:firstLine="265"/>
        <w:spacing w:after="0" w:line="248" w:lineRule="auto"/>
        <w:rPr>
          <w:sz w:val="20"/>
          <w:szCs w:val="20"/>
          <w:color w:val="auto"/>
        </w:rPr>
      </w:pPr>
      <w:r>
        <w:rPr>
          <w:rFonts w:ascii="Times New Roman" w:cs="Times New Roman" w:eastAsia="Times New Roman" w:hAnsi="Times New Roman"/>
          <w:sz w:val="15"/>
          <w:szCs w:val="15"/>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and on January 16, 2025, we issued an additional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40"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March 31, 2025 for more information regarding the 6.50% Convertible Notes due 2029.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184" w:lineRule="exact"/>
        <w:rPr>
          <w:sz w:val="20"/>
          <w:szCs w:val="20"/>
          <w:color w:val="auto"/>
        </w:rPr>
      </w:pPr>
    </w:p>
    <w:p>
      <w:pPr>
        <w:jc w:val="both"/>
        <w:ind w:firstLine="265"/>
        <w:spacing w:after="0" w:line="258" w:lineRule="auto"/>
        <w:rPr>
          <w:sz w:val="20"/>
          <w:szCs w:val="20"/>
          <w:color w:val="auto"/>
        </w:rPr>
      </w:pPr>
      <w:r>
        <w:rPr>
          <w:rFonts w:ascii="Times New Roman" w:cs="Times New Roman" w:eastAsia="Times New Roman" w:hAnsi="Times New Roman"/>
          <w:sz w:val="15"/>
          <w:szCs w:val="15"/>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2025. The table is divided by fiscal year according to record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Date Declared</w:t>
            </w:r>
          </w:p>
        </w:tc>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80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Amount per Share</w:t>
            </w:r>
          </w:p>
        </w:tc>
      </w:tr>
      <w:tr>
        <w:trPr>
          <w:trHeight w:val="168"/>
        </w:trPr>
        <w:tc>
          <w:tcPr>
            <w:tcW w:w="498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Fiscal 2015:</w:t>
            </w:r>
          </w:p>
        </w:tc>
        <w:tc>
          <w:tcPr>
            <w:tcW w:w="2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November 4, 2015</w:t>
            </w:r>
            <w:r>
              <w:rPr>
                <w:rFonts w:ascii="Times New Roman" w:cs="Times New Roman" w:eastAsia="Times New Roman" w:hAnsi="Times New Roman"/>
                <w:sz w:val="24"/>
                <w:szCs w:val="24"/>
                <w:color w:val="auto"/>
                <w:vertAlign w:val="superscript"/>
              </w:rPr>
              <w:t>(1)</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November 16, 2015</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December 31, 2015</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2.76</w:t>
            </w:r>
          </w:p>
        </w:tc>
      </w:tr>
      <w:tr>
        <w:trPr>
          <w:trHeight w:val="17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2016:</w:t>
            </w: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August 3, 2016</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August 16, 2016</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August 24, 2016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0.04</w:t>
            </w:r>
          </w:p>
        </w:tc>
      </w:tr>
      <w:tr>
        <w:trPr>
          <w:trHeight w:val="17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2019:</w:t>
            </w: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November 5, 2019</w:t>
            </w:r>
            <w:r>
              <w:rPr>
                <w:rFonts w:ascii="Times New Roman" w:cs="Times New Roman" w:eastAsia="Times New Roman" w:hAnsi="Times New Roman"/>
                <w:sz w:val="24"/>
                <w:szCs w:val="24"/>
                <w:color w:val="auto"/>
                <w:vertAlign w:val="superscript"/>
              </w:rPr>
              <w:t>(3)</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December 2, 2019</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December 12, 2019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0.20</w:t>
            </w: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December 20, 2019</w:t>
            </w:r>
            <w:r>
              <w:rPr>
                <w:rFonts w:ascii="Times New Roman" w:cs="Times New Roman" w:eastAsia="Times New Roman" w:hAnsi="Times New Roman"/>
                <w:sz w:val="24"/>
                <w:szCs w:val="24"/>
                <w:color w:val="auto"/>
                <w:vertAlign w:val="superscript"/>
              </w:rPr>
              <w:t>(4)</w:t>
            </w: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8"/>
              </w:rPr>
              <w:t>December 31, 2019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January 15, 2020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0.12</w:t>
            </w:r>
          </w:p>
        </w:tc>
      </w:tr>
      <w:tr>
        <w:trPr>
          <w:trHeight w:val="17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2020:</w:t>
            </w: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July 29, 2020</w:t>
            </w:r>
            <w:r>
              <w:rPr>
                <w:rFonts w:ascii="Times New Roman" w:cs="Times New Roman" w:eastAsia="Times New Roman" w:hAnsi="Times New Roman"/>
                <w:sz w:val="24"/>
                <w:szCs w:val="24"/>
                <w:color w:val="auto"/>
                <w:vertAlign w:val="superscript"/>
              </w:rPr>
              <w:t>(5)</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August 11, 2020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August 25, 2020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0.15</w:t>
            </w: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September 28, 2020</w:t>
            </w:r>
            <w:r>
              <w:rPr>
                <w:rFonts w:ascii="Times New Roman" w:cs="Times New Roman" w:eastAsia="Times New Roman" w:hAnsi="Times New Roman"/>
                <w:sz w:val="24"/>
                <w:szCs w:val="24"/>
                <w:color w:val="auto"/>
                <w:vertAlign w:val="superscript"/>
              </w:rPr>
              <w:t>(6)</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6"/>
              </w:rPr>
              <w:t>October 5,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October 20, 2020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0.25</w:t>
            </w: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October 28, 2020</w:t>
            </w:r>
            <w:r>
              <w:rPr>
                <w:rFonts w:ascii="Times New Roman" w:cs="Times New Roman" w:eastAsia="Times New Roman" w:hAnsi="Times New Roman"/>
                <w:sz w:val="24"/>
                <w:szCs w:val="24"/>
                <w:color w:val="auto"/>
                <w:vertAlign w:val="superscript"/>
              </w:rPr>
              <w:t>(7)</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November 10, 2020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November 30, 2020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0.25</w:t>
            </w: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December 16, 2020</w:t>
            </w:r>
            <w:r>
              <w:rPr>
                <w:rFonts w:ascii="Times New Roman" w:cs="Times New Roman" w:eastAsia="Times New Roman" w:hAnsi="Times New Roman"/>
                <w:sz w:val="24"/>
                <w:szCs w:val="24"/>
                <w:color w:val="auto"/>
                <w:vertAlign w:val="superscript"/>
              </w:rPr>
              <w:t>(8)</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8"/>
              </w:rPr>
              <w:t>December 30,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January 15, 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0.22</w:t>
            </w:r>
          </w:p>
        </w:tc>
      </w:tr>
      <w:tr>
        <w:trPr>
          <w:trHeight w:val="17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2021:</w:t>
            </w: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January 26, 2021</w:t>
            </w:r>
            <w:r>
              <w:rPr>
                <w:rFonts w:ascii="Times New Roman" w:cs="Times New Roman" w:eastAsia="Times New Roman" w:hAnsi="Times New Roman"/>
                <w:sz w:val="24"/>
                <w:szCs w:val="24"/>
                <w:color w:val="auto"/>
                <w:vertAlign w:val="superscript"/>
              </w:rPr>
              <w:t>(9)</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February 5,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19, 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0.25</w:t>
            </w: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March 8, 2021</w:t>
            </w:r>
            <w:r>
              <w:rPr>
                <w:rFonts w:ascii="Times New Roman" w:cs="Times New Roman" w:eastAsia="Times New Roman" w:hAnsi="Times New Roman"/>
                <w:sz w:val="24"/>
                <w:szCs w:val="24"/>
                <w:color w:val="auto"/>
                <w:vertAlign w:val="superscript"/>
              </w:rPr>
              <w:t>(10)</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March 30,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April 15, 2021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0.25</w:t>
            </w: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May 4, 2021</w:t>
            </w:r>
            <w:r>
              <w:rPr>
                <w:rFonts w:ascii="Times New Roman" w:cs="Times New Roman" w:eastAsia="Times New Roman" w:hAnsi="Times New Roman"/>
                <w:sz w:val="24"/>
                <w:szCs w:val="24"/>
                <w:color w:val="auto"/>
                <w:vertAlign w:val="superscript"/>
              </w:rPr>
              <w:t>(11)</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May 18,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June 30, 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2.50</w:t>
            </w: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August 3, 2021</w:t>
            </w:r>
            <w:r>
              <w:rPr>
                <w:rFonts w:ascii="Times New Roman" w:cs="Times New Roman" w:eastAsia="Times New Roman" w:hAnsi="Times New Roman"/>
                <w:sz w:val="24"/>
                <w:szCs w:val="24"/>
                <w:color w:val="auto"/>
                <w:vertAlign w:val="superscript"/>
              </w:rPr>
              <w:t>(12)</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August 18,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September 30, 2021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2.25</w:t>
            </w:r>
          </w:p>
        </w:tc>
      </w:tr>
      <w:tr>
        <w:trPr>
          <w:trHeight w:val="210"/>
        </w:trPr>
        <w:tc>
          <w:tcPr>
            <w:tcW w:w="52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November 2, 2021</w:t>
            </w:r>
            <w:r>
              <w:rPr>
                <w:rFonts w:ascii="Times New Roman" w:cs="Times New Roman" w:eastAsia="Times New Roman" w:hAnsi="Times New Roman"/>
                <w:sz w:val="24"/>
                <w:szCs w:val="24"/>
                <w:color w:val="auto"/>
                <w:vertAlign w:val="superscript"/>
              </w:rPr>
              <w:t>(13)</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8"/>
              </w:rPr>
              <w:t>November 17,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December 30, 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2.00</w:t>
            </w:r>
          </w:p>
        </w:tc>
      </w:tr>
      <w:tr>
        <w:trPr>
          <w:trHeight w:val="210"/>
        </w:trPr>
        <w:tc>
          <w:tcPr>
            <w:tcW w:w="52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December 20, 2021</w:t>
            </w:r>
            <w:r>
              <w:rPr>
                <w:rFonts w:ascii="Times New Roman" w:cs="Times New Roman" w:eastAsia="Times New Roman" w:hAnsi="Times New Roman"/>
                <w:sz w:val="24"/>
                <w:szCs w:val="24"/>
                <w:color w:val="auto"/>
                <w:vertAlign w:val="superscript"/>
              </w:rPr>
              <w:t>(14)</w:t>
            </w: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8"/>
              </w:rPr>
              <w:t>December 31,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January 14, 2022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0.75</w:t>
            </w:r>
          </w:p>
        </w:tc>
      </w:tr>
      <w:tr>
        <w:trPr>
          <w:trHeight w:val="176"/>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2022:</w:t>
            </w: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5200" w:type="dxa"/>
            <w:vAlign w:val="bottom"/>
            <w:gridSpan w:val="2"/>
            <w:shd w:val="clear" w:color="auto" w:fill="CCEEFF"/>
          </w:tcPr>
          <w:p>
            <w:pPr>
              <w:ind w:left="140"/>
              <w:spacing w:after="0" w:line="220" w:lineRule="exact"/>
              <w:rPr>
                <w:sz w:val="20"/>
                <w:szCs w:val="20"/>
                <w:color w:val="auto"/>
              </w:rPr>
            </w:pPr>
            <w:r>
              <w:rPr>
                <w:rFonts w:ascii="Times New Roman" w:cs="Times New Roman" w:eastAsia="Times New Roman" w:hAnsi="Times New Roman"/>
                <w:sz w:val="15"/>
                <w:szCs w:val="15"/>
                <w:color w:val="auto"/>
              </w:rPr>
              <w:t>March 8, 2022</w:t>
            </w:r>
            <w:r>
              <w:rPr>
                <w:rFonts w:ascii="Times New Roman" w:cs="Times New Roman" w:eastAsia="Times New Roman" w:hAnsi="Times New Roman"/>
                <w:sz w:val="24"/>
                <w:szCs w:val="24"/>
                <w:color w:val="auto"/>
                <w:vertAlign w:val="superscript"/>
              </w:rPr>
              <w:t>(15)</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March 25, 2022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April 15, 2022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0.11</w:t>
            </w:r>
          </w:p>
        </w:tc>
      </w:tr>
      <w:tr>
        <w:trPr>
          <w:trHeight w:val="184"/>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12.10</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-2540</wp:posOffset>
            </wp:positionV>
            <wp:extent cx="12115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1158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-106680</wp:posOffset>
            </wp:positionV>
            <wp:extent cx="12115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11580" cy="6985"/>
                    </a:xfrm>
                    <a:prstGeom prst="rect">
                      <a:avLst/>
                    </a:prstGeom>
                    <a:noFill/>
                  </pic:spPr>
                </pic:pic>
              </a:graphicData>
            </a:graphic>
          </wp:anchor>
        </w:drawing>
      </w:r>
    </w:p>
    <w:p>
      <w:pPr>
        <w:jc w:val="both"/>
        <w:ind w:left="320" w:hanging="312"/>
        <w:spacing w:after="0" w:line="245" w:lineRule="auto"/>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total distribution of $887,240 on August 24, 2016, $820,753 represented a distribution from realized gains, and $66,487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$3,512,849 distribution paid on December 12, 2019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$2,107,709 distribution paid on January 15, 2020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$2,516,452 distribution paid on August 25, 2020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$5,071,326 distribution paid on October 20, 2020 represented a distribution from realized gains. None of the distribution represented a return of capital.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2"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$4,978,504 distribution paid on November 30, 2020 represented a distribution from realized gains. None of the distribution represented a return of capital.</w:t>
      </w:r>
    </w:p>
    <w:p>
      <w:pPr>
        <w:spacing w:after="0" w:line="18"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$4,381,084 distribution paid on January 15, 2021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$4,981,131 distribution paid on February 19, 2021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$6,051,304 distribution paid on April 15, 2021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jc w:val="both"/>
        <w:ind w:left="320" w:hanging="312"/>
        <w:spacing w:after="0" w:line="245" w:lineRule="auto"/>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1" w:lineRule="exact"/>
        <w:rPr>
          <w:rFonts w:ascii="Times New Roman" w:cs="Times New Roman" w:eastAsia="Times New Roman" w:hAnsi="Times New Roman"/>
          <w:sz w:val="15"/>
          <w:szCs w:val="15"/>
          <w:color w:val="auto"/>
        </w:rPr>
      </w:pPr>
    </w:p>
    <w:p>
      <w:pPr>
        <w:jc w:val="both"/>
        <w:ind w:left="320" w:hanging="312"/>
        <w:spacing w:after="0" w:line="245" w:lineRule="auto"/>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1" w:lineRule="exact"/>
        <w:rPr>
          <w:rFonts w:ascii="Times New Roman" w:cs="Times New Roman" w:eastAsia="Times New Roman" w:hAnsi="Times New Roman"/>
          <w:sz w:val="15"/>
          <w:szCs w:val="15"/>
          <w:color w:val="auto"/>
        </w:rPr>
      </w:pPr>
    </w:p>
    <w:p>
      <w:pPr>
        <w:jc w:val="both"/>
        <w:ind w:left="320" w:hanging="312"/>
        <w:spacing w:after="0" w:line="245" w:lineRule="auto"/>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1"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$23,338,915 distribution paid on January 14, 2022 represented a distribution from realized gains. None of the distribution represented a return of capital.</w:t>
      </w:r>
    </w:p>
    <w:p>
      <w:pPr>
        <w:spacing w:after="0" w:line="3" w:lineRule="exact"/>
        <w:rPr>
          <w:rFonts w:ascii="Times New Roman" w:cs="Times New Roman" w:eastAsia="Times New Roman" w:hAnsi="Times New Roman"/>
          <w:sz w:val="15"/>
          <w:szCs w:val="15"/>
          <w:color w:val="auto"/>
        </w:rPr>
      </w:pPr>
    </w:p>
    <w:p>
      <w:pPr>
        <w:ind w:left="320" w:hanging="312"/>
        <w:spacing w:after="0"/>
        <w:tabs>
          <w:tab w:leader="none" w:pos="3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$3,441,824 distribution paid on April 15, 2022 represented a distribution from realized gains. None of the distribution represented a return of capital.</w:t>
      </w:r>
    </w:p>
    <w:p>
      <w:pPr>
        <w:spacing w:after="0" w:line="166"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5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56"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5"/>
          <w:szCs w:val="15"/>
          <w:i w:val="1"/>
          <w:iCs w:val="1"/>
          <w:color w:val="auto"/>
        </w:rPr>
        <w:t>U.S. Federal and State Income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and “Note 9—Income Taxes” to our Consolidated Financial Statements as of March 31, 2025 for more information. The Taxable Subsidiaries included in our Consolidated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 and Policies</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2025 for further detail regarding our critical accounting policies and recently issued or adopted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Related-Party Transactions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“Note 3—Related-Party Arrangements” to our Condensed Consolidated Financial Statements as of March 31, 2025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Activity</w:t>
      </w:r>
    </w:p>
    <w:p>
      <w:pPr>
        <w:spacing w:after="0" w:line="184"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Please refer to “Note 12—Subsequent Events” to our Condensed Consolidated Financial Statements as of March 31, 2025 for details regarding activity in our investment portfolio from April 1, 2025 through May 6, 2025.</w:t>
      </w:r>
    </w:p>
    <w:p>
      <w:pPr>
        <w:spacing w:after="0" w:line="140"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Risk</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Risk</w:t>
      </w:r>
    </w:p>
    <w:p>
      <w:pPr>
        <w:spacing w:after="0" w:line="18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82" w:lineRule="exact"/>
        <w:rPr>
          <w:sz w:val="20"/>
          <w:szCs w:val="20"/>
          <w:color w:val="auto"/>
        </w:rPr>
      </w:pPr>
    </w:p>
    <w:p>
      <w:pPr>
        <w:jc w:val="both"/>
        <w:ind w:firstLine="265"/>
        <w:spacing w:after="0" w:line="254" w:lineRule="auto"/>
        <w:rPr>
          <w:sz w:val="20"/>
          <w:szCs w:val="20"/>
          <w:color w:val="auto"/>
        </w:rPr>
      </w:pPr>
      <w:r>
        <w:rPr>
          <w:rFonts w:ascii="Times New Roman" w:cs="Times New Roman" w:eastAsia="Times New Roman" w:hAnsi="Times New Roman"/>
          <w:sz w:val="15"/>
          <w:szCs w:val="15"/>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March 31, 2025, all of our debt investments and outstanding borrowings bore fixed rates of interest.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82" w:lineRule="exact"/>
        <w:rPr>
          <w:sz w:val="20"/>
          <w:szCs w:val="20"/>
          <w:color w:val="auto"/>
        </w:rPr>
      </w:pPr>
    </w:p>
    <w:p>
      <w:pPr>
        <w:jc w:val="both"/>
        <w:ind w:firstLine="265"/>
        <w:spacing w:after="0" w:line="249" w:lineRule="auto"/>
        <w:rPr>
          <w:sz w:val="20"/>
          <w:szCs w:val="20"/>
          <w:color w:val="auto"/>
        </w:rPr>
      </w:pPr>
      <w:r>
        <w:rPr>
          <w:rFonts w:ascii="Times New Roman" w:cs="Times New Roman" w:eastAsia="Times New Roman" w:hAnsi="Times New Roman"/>
          <w:sz w:val="15"/>
          <w:szCs w:val="15"/>
          <w:color w:val="auto"/>
        </w:rPr>
        <w:t>As of March 31, 2025,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82" w:lineRule="exact"/>
        <w:rPr>
          <w:sz w:val="20"/>
          <w:szCs w:val="20"/>
          <w:color w:val="auto"/>
        </w:rPr>
      </w:pPr>
    </w:p>
    <w:p>
      <w:pPr>
        <w:jc w:val="both"/>
        <w:ind w:firstLine="265"/>
        <w:spacing w:after="0" w:line="271"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that occurred during the quarter ended March 31, 2025 that have materially affected, or are reasonably likely to materially affect, our internal control over financial reporting.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82" w:lineRule="exact"/>
        <w:rPr>
          <w:sz w:val="20"/>
          <w:szCs w:val="20"/>
          <w:color w:val="auto"/>
        </w:rPr>
      </w:pPr>
    </w:p>
    <w:p>
      <w:pPr>
        <w:jc w:val="both"/>
        <w:ind w:firstLine="265"/>
        <w:spacing w:after="0" w:line="251" w:lineRule="auto"/>
        <w:rPr>
          <w:sz w:val="20"/>
          <w:szCs w:val="20"/>
          <w:color w:val="auto"/>
        </w:rPr>
      </w:pPr>
      <w:r>
        <w:rPr>
          <w:rFonts w:ascii="Times New Roman" w:cs="Times New Roman" w:eastAsia="Times New Roman" w:hAnsi="Times New Roman"/>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82" w:lineRule="exact"/>
        <w:rPr>
          <w:sz w:val="20"/>
          <w:szCs w:val="20"/>
          <w:color w:val="auto"/>
        </w:rPr>
      </w:pPr>
    </w:p>
    <w:p>
      <w:pPr>
        <w:jc w:val="both"/>
        <w:ind w:firstLine="265"/>
        <w:spacing w:after="0" w:line="250" w:lineRule="auto"/>
        <w:rPr>
          <w:sz w:val="20"/>
          <w:szCs w:val="20"/>
          <w:color w:val="auto"/>
        </w:rPr>
      </w:pPr>
      <w:r>
        <w:rPr>
          <w:rFonts w:ascii="Times New Roman" w:cs="Times New Roman" w:eastAsia="Times New Roman" w:hAnsi="Times New Roman"/>
          <w:sz w:val="15"/>
          <w:szCs w:val="15"/>
          <w:color w:val="auto"/>
        </w:rPr>
        <w:t>Investing in our securities involves a number of significant risks. In addition to the other information contained in this report, you should carefully consider the factors discussed in our annual report on Form 10-K for the fiscal year ended December 31, 2024, filed with the SEC on March 12, 2025, which could materially affect our business, financial condition and/or operating results. Although the risks described in our annual report on Form 10-K for the fiscal year ended December 31, 2024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of Unregistered Equity Securities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did not sell any equity securities during the period covered in this report that were not registered under the Securities Act of 1933,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r>
        <w:rPr>
          <w:rFonts w:ascii="Times New Roman" w:cs="Times New Roman" w:eastAsia="Times New Roman" w:hAnsi="Times New Roman"/>
          <w:sz w:val="24"/>
          <w:szCs w:val="24"/>
          <w:b w:val="1"/>
          <w:bCs w:val="1"/>
          <w:color w:val="auto"/>
          <w:vertAlign w:val="superscript"/>
        </w:rPr>
        <w:t>(1)</w:t>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Information relating to our purchases of our common stock during the three months ended March 31, 2025 is as follows:</w:t>
      </w:r>
    </w:p>
    <w:p>
      <w:pPr>
        <w:sectPr>
          <w:pgSz w:w="11900" w:h="16838" w:orient="portrait"/>
          <w:cols w:equalWidth="0" w:num="1">
            <w:col w:w="11280"/>
          </w:cols>
          <w:pgMar w:left="300" w:top="2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Period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 through January 31, 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 through February 28, 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 through March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Approximate</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6"/>
              </w:rPr>
              <w:t>Total Number</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Dollar Value of</w:t>
            </w:r>
          </w:p>
        </w:tc>
        <w:tc>
          <w:tcPr>
            <w:tcW w:w="0" w:type="dxa"/>
            <w:vAlign w:val="bottom"/>
          </w:tcPr>
          <w:p>
            <w:pPr>
              <w:spacing w:after="0"/>
              <w:rPr>
                <w:sz w:val="1"/>
                <w:szCs w:val="1"/>
                <w:color w:val="auto"/>
              </w:rPr>
            </w:pPr>
          </w:p>
        </w:tc>
      </w:tr>
      <w:tr>
        <w:trPr>
          <w:trHeight w:val="176"/>
        </w:trPr>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of Shares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Shares that May</w:t>
            </w:r>
          </w:p>
        </w:tc>
        <w:tc>
          <w:tcPr>
            <w:tcW w:w="0" w:type="dxa"/>
            <w:vAlign w:val="bottom"/>
          </w:tcPr>
          <w:p>
            <w:pPr>
              <w:spacing w:after="0"/>
              <w:rPr>
                <w:sz w:val="1"/>
                <w:szCs w:val="1"/>
                <w:color w:val="auto"/>
              </w:rPr>
            </w:pPr>
          </w:p>
        </w:tc>
      </w:tr>
      <w:tr>
        <w:trPr>
          <w:trHeight w:val="149"/>
        </w:trPr>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6"/>
              </w:rPr>
              <w:t>Purchased as</w:t>
            </w:r>
          </w:p>
        </w:tc>
        <w:tc>
          <w:tcPr>
            <w:tcW w:w="32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5"/>
                <w:szCs w:val="15"/>
                <w:b w:val="1"/>
                <w:bCs w:val="1"/>
                <w:color w:val="auto"/>
                <w:w w:val="96"/>
              </w:rPr>
              <w:t>Yet Be Purchased</w:t>
            </w:r>
          </w:p>
        </w:tc>
        <w:tc>
          <w:tcPr>
            <w:tcW w:w="0" w:type="dxa"/>
            <w:vAlign w:val="bottom"/>
          </w:tcPr>
          <w:p>
            <w:pPr>
              <w:spacing w:after="0"/>
              <w:rPr>
                <w:sz w:val="1"/>
                <w:szCs w:val="1"/>
                <w:color w:val="auto"/>
              </w:rPr>
            </w:pPr>
          </w:p>
        </w:tc>
      </w:tr>
      <w:tr>
        <w:trPr>
          <w:trHeight w:val="176"/>
        </w:trPr>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Number of</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Part of Publicly</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Under the Share</w:t>
            </w:r>
          </w:p>
        </w:tc>
        <w:tc>
          <w:tcPr>
            <w:tcW w:w="0" w:type="dxa"/>
            <w:vAlign w:val="bottom"/>
          </w:tcPr>
          <w:p>
            <w:pPr>
              <w:spacing w:after="0"/>
              <w:rPr>
                <w:sz w:val="1"/>
                <w:szCs w:val="1"/>
                <w:color w:val="auto"/>
              </w:rPr>
            </w:pPr>
          </w:p>
        </w:tc>
      </w:tr>
      <w:tr>
        <w:trPr>
          <w:trHeight w:val="176"/>
        </w:trPr>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6"/>
              </w:rPr>
              <w:t>Price Paid</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Announced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Repurchase</w:t>
            </w:r>
          </w:p>
        </w:tc>
        <w:tc>
          <w:tcPr>
            <w:tcW w:w="0" w:type="dxa"/>
            <w:vAlign w:val="bottom"/>
          </w:tcPr>
          <w:p>
            <w:pPr>
              <w:spacing w:after="0"/>
              <w:rPr>
                <w:sz w:val="1"/>
                <w:szCs w:val="1"/>
                <w:color w:val="auto"/>
              </w:rPr>
            </w:pPr>
          </w:p>
        </w:tc>
      </w:tr>
      <w:tr>
        <w:trPr>
          <w:trHeight w:val="221"/>
        </w:trPr>
        <w:tc>
          <w:tcPr>
            <w:tcW w:w="1440" w:type="dxa"/>
            <w:vAlign w:val="bottom"/>
            <w:gridSpan w:val="2"/>
          </w:tcPr>
          <w:p>
            <w:pPr>
              <w:jc w:val="center"/>
              <w:ind w:right="160"/>
              <w:spacing w:after="0" w:line="220" w:lineRule="exact"/>
              <w:rPr>
                <w:sz w:val="20"/>
                <w:szCs w:val="20"/>
                <w:color w:val="auto"/>
              </w:rPr>
            </w:pPr>
            <w:r>
              <w:rPr>
                <w:rFonts w:ascii="Times New Roman" w:cs="Times New Roman" w:eastAsia="Times New Roman" w:hAnsi="Times New Roman"/>
                <w:sz w:val="15"/>
                <w:szCs w:val="15"/>
                <w:b w:val="1"/>
                <w:bCs w:val="1"/>
                <w:color w:val="auto"/>
                <w:w w:val="92"/>
              </w:rPr>
              <w:t>Purchased</w:t>
            </w:r>
            <w:r>
              <w:rPr>
                <w:rFonts w:ascii="Times New Roman" w:cs="Times New Roman" w:eastAsia="Times New Roman" w:hAnsi="Times New Roman"/>
                <w:sz w:val="24"/>
                <w:szCs w:val="24"/>
                <w:b w:val="1"/>
                <w:bCs w:val="1"/>
                <w:color w:val="auto"/>
                <w:w w:val="92"/>
                <w:vertAlign w:val="superscript"/>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Plans or Programs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Program</w:t>
            </w:r>
          </w:p>
        </w:tc>
        <w:tc>
          <w:tcPr>
            <w:tcW w:w="0" w:type="dxa"/>
            <w:vAlign w:val="bottom"/>
          </w:tcPr>
          <w:p>
            <w:pPr>
              <w:spacing w:after="0"/>
              <w:rPr>
                <w:sz w:val="1"/>
                <w:szCs w:val="1"/>
                <w:color w:val="auto"/>
              </w:rPr>
            </w:pPr>
          </w:p>
        </w:tc>
      </w:tr>
      <w:tr>
        <w:trPr>
          <w:trHeight w:val="153"/>
        </w:trPr>
        <w:tc>
          <w:tcPr>
            <w:tcW w:w="1260" w:type="dxa"/>
            <w:vAlign w:val="bottom"/>
            <w:tcBorders>
              <w:top w:val="single" w:sz="8" w:color="auto"/>
            </w:tcBorders>
          </w:tcPr>
          <w:p>
            <w:pPr>
              <w:ind w:left="1120"/>
              <w:spacing w:after="0" w:line="153"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jc w:val="right"/>
              <w:ind w:right="26"/>
              <w:spacing w:after="0" w:line="153"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tcPr>
          <w:p>
            <w:pPr>
              <w:ind w:left="920"/>
              <w:spacing w:after="0" w:line="153"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spacing w:after="0"/>
              <w:rPr>
                <w:sz w:val="13"/>
                <w:szCs w:val="13"/>
                <w:color w:val="auto"/>
              </w:rPr>
            </w:pPr>
          </w:p>
        </w:tc>
        <w:tc>
          <w:tcPr>
            <w:tcW w:w="1240" w:type="dxa"/>
            <w:vAlign w:val="bottom"/>
            <w:tcBorders>
              <w:top w:val="single" w:sz="8" w:color="auto"/>
            </w:tcBorders>
          </w:tcPr>
          <w:p>
            <w:pPr>
              <w:ind w:left="1100"/>
              <w:spacing w:after="0" w:line="153"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5"/>
                <w:szCs w:val="15"/>
                <w:color w:val="auto"/>
              </w:rPr>
              <w:t>25,000,000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25,000,000</w:t>
            </w:r>
          </w:p>
        </w:tc>
        <w:tc>
          <w:tcPr>
            <w:tcW w:w="0" w:type="dxa"/>
            <w:vAlign w:val="bottom"/>
          </w:tcPr>
          <w:p>
            <w:pPr>
              <w:spacing w:after="0"/>
              <w:rPr>
                <w:sz w:val="1"/>
                <w:szCs w:val="1"/>
                <w:color w:val="auto"/>
              </w:rPr>
            </w:pPr>
          </w:p>
        </w:tc>
      </w:tr>
      <w:tr>
        <w:trPr>
          <w:trHeight w:val="202"/>
        </w:trPr>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25,000,000</w:t>
            </w:r>
          </w:p>
        </w:tc>
        <w:tc>
          <w:tcPr>
            <w:tcW w:w="0" w:type="dxa"/>
            <w:vAlign w:val="bottom"/>
          </w:tcPr>
          <w:p>
            <w:pPr>
              <w:spacing w:after="0"/>
              <w:rPr>
                <w:sz w:val="1"/>
                <w:szCs w:val="1"/>
                <w:color w:val="auto"/>
              </w:rPr>
            </w:pPr>
          </w:p>
        </w:tc>
      </w:tr>
      <w:tr>
        <w:trPr>
          <w:trHeight w:val="184"/>
        </w:trPr>
        <w:tc>
          <w:tcPr>
            <w:tcW w:w="126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top w:val="single" w:sz="8" w:color="auto"/>
            </w:tcBorders>
            <w:gridSpan w:val="2"/>
          </w:tcPr>
          <w:p>
            <w:pPr>
              <w:ind w:left="11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-248285</wp:posOffset>
            </wp:positionV>
            <wp:extent cx="7157720" cy="118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1187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-2540</wp:posOffset>
            </wp:positionV>
            <wp:extent cx="7842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4225"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7981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98195" cy="698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-478790</wp:posOffset>
            </wp:positionV>
            <wp:extent cx="7157720" cy="118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11874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480" w:space="720"/>
            <w:col w:w="6080"/>
          </w:cols>
          <w:pgMar w:left="300" w:top="21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-106680</wp:posOffset>
            </wp:positionV>
            <wp:extent cx="7842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422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-106680</wp:posOffset>
            </wp:positionV>
            <wp:extent cx="79819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8195" cy="6985"/>
                    </a:xfrm>
                    <a:prstGeom prst="rect">
                      <a:avLst/>
                    </a:prstGeom>
                    <a:noFill/>
                  </pic:spPr>
                </pic:pic>
              </a:graphicData>
            </a:graphic>
          </wp:anchor>
        </w:drawing>
      </w:r>
    </w:p>
    <w:p>
      <w:pPr>
        <w:jc w:val="both"/>
        <w:ind w:left="320" w:hanging="312"/>
        <w:spacing w:after="0" w:line="245" w:lineRule="auto"/>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On October 9, 2024, our Board of Directors approved an extension of, and an increase in the amount of shares of our common stock that may be repurchased under, the Share Repurchase Program until the earlier of (i) October 31, 2025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2025, we did not repurchase shares of common stock under the Share Repurchase Program. As of March 31, 2025, the dollar value of shares that remained available to be purchased under the Share Repurchase Program was approximately $25.0 million. For more information on the Share Repurchase Program, see “Note 5 — Common Stock” to our Condensed Consolidated Financial Statements as of March 31, 2025.</w:t>
      </w:r>
    </w:p>
    <w:p>
      <w:pPr>
        <w:spacing w:after="0" w:line="2"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purchases of our common stock made on the open market by or on behalf of any “affiliated purchaser,” as defined in Exchange Act Rule 10b-18(a)(3), of the Company.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82" w:lineRule="exact"/>
        <w:rPr>
          <w:sz w:val="20"/>
          <w:szCs w:val="20"/>
          <w:color w:val="auto"/>
        </w:rPr>
      </w:pPr>
    </w:p>
    <w:p>
      <w:pPr>
        <w:ind w:left="480" w:hanging="207"/>
        <w:spacing w:after="0"/>
        <w:tabs>
          <w:tab w:leader="none" w:pos="4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80" w:lineRule="exact"/>
        <w:rPr>
          <w:rFonts w:ascii="Times New Roman" w:cs="Times New Roman" w:eastAsia="Times New Roman" w:hAnsi="Times New Roman"/>
          <w:sz w:val="15"/>
          <w:szCs w:val="15"/>
          <w:color w:val="auto"/>
        </w:rPr>
      </w:pPr>
    </w:p>
    <w:p>
      <w:pPr>
        <w:ind w:left="480" w:hanging="207"/>
        <w:spacing w:after="0"/>
        <w:tabs>
          <w:tab w:leader="none" w:pos="4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80" w:lineRule="exact"/>
        <w:rPr>
          <w:rFonts w:ascii="Times New Roman" w:cs="Times New Roman" w:eastAsia="Times New Roman" w:hAnsi="Times New Roman"/>
          <w:sz w:val="15"/>
          <w:szCs w:val="15"/>
          <w:color w:val="auto"/>
        </w:rPr>
      </w:pPr>
    </w:p>
    <w:p>
      <w:pPr>
        <w:ind w:firstLine="273"/>
        <w:spacing w:after="0" w:line="271" w:lineRule="auto"/>
        <w:tabs>
          <w:tab w:leader="none" w:pos="47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40" w:lineRule="exact"/>
        <w:rPr>
          <w:sz w:val="20"/>
          <w:szCs w:val="20"/>
          <w:color w:val="auto"/>
        </w:rPr>
      </w:pPr>
    </w:p>
    <w:p>
      <w:pPr>
        <w:ind w:firstLine="265"/>
        <w:spacing w:after="0" w:line="271" w:lineRule="auto"/>
        <w:rPr>
          <w:sz w:val="20"/>
          <w:szCs w:val="20"/>
          <w:color w:val="auto"/>
        </w:rPr>
      </w:pPr>
      <w:r>
        <w:rPr>
          <w:rFonts w:ascii="Times New Roman" w:cs="Times New Roman" w:eastAsia="Times New Roman" w:hAnsi="Times New Roman"/>
          <w:sz w:val="15"/>
          <w:szCs w:val="15"/>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5772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exhibits are filed as part of this report or hereby incorporated by reference to exhibits previously filed with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3.1</w:t>
            </w:r>
          </w:p>
        </w:tc>
        <w:tc>
          <w:tcPr>
            <w:tcW w:w="2400" w:type="dxa"/>
            <w:vAlign w:val="bottom"/>
            <w:gridSpan w:val="8"/>
            <w:vMerge w:val="restart"/>
          </w:tcPr>
          <w:p>
            <w:pPr>
              <w:spacing w:after="0"/>
              <w:rPr>
                <w:rFonts w:ascii="Times New Roman" w:cs="Times New Roman" w:eastAsia="Times New Roman" w:hAnsi="Times New Roman"/>
                <w:sz w:val="15"/>
                <w:szCs w:val="15"/>
                <w:color w:val="0000EE"/>
                <w:w w:val="97"/>
              </w:rPr>
            </w:pPr>
            <w:hyperlink r:id="rId112">
              <w:r>
                <w:rPr>
                  <w:rFonts w:ascii="Times New Roman" w:cs="Times New Roman" w:eastAsia="Times New Roman" w:hAnsi="Times New Roman"/>
                  <w:sz w:val="15"/>
                  <w:szCs w:val="15"/>
                  <w:color w:val="0000EE"/>
                  <w:w w:val="97"/>
                </w:rPr>
                <w:t>Articles of Amendment and Restatement</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2"/>
                <w:szCs w:val="12"/>
                <w:color w:val="0000EE"/>
                <w:w w:val="85"/>
              </w:rPr>
              <w:t>(1)</w:t>
            </w:r>
          </w:p>
        </w:tc>
        <w:tc>
          <w:tcPr>
            <w:tcW w:w="18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4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9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33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2400" w:type="dxa"/>
            <w:vAlign w:val="bottom"/>
            <w:tcBorders>
              <w:bottom w:val="single" w:sz="8" w:color="0000EE"/>
            </w:tcBorders>
            <w:gridSpan w:val="8"/>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w:t>
            </w:r>
          </w:p>
        </w:tc>
        <w:tc>
          <w:tcPr>
            <w:tcW w:w="1380" w:type="dxa"/>
            <w:vAlign w:val="bottom"/>
            <w:vMerge w:val="restart"/>
          </w:tcPr>
          <w:p>
            <w:pPr>
              <w:spacing w:after="0"/>
              <w:rPr>
                <w:rFonts w:ascii="Times New Roman" w:cs="Times New Roman" w:eastAsia="Times New Roman" w:hAnsi="Times New Roman"/>
                <w:sz w:val="15"/>
                <w:szCs w:val="15"/>
                <w:color w:val="0000EE"/>
                <w:w w:val="95"/>
              </w:rPr>
            </w:pPr>
            <w:hyperlink r:id="rId113">
              <w:r>
                <w:rPr>
                  <w:rFonts w:ascii="Times New Roman" w:cs="Times New Roman" w:eastAsia="Times New Roman" w:hAnsi="Times New Roman"/>
                  <w:sz w:val="15"/>
                  <w:szCs w:val="15"/>
                  <w:color w:val="0000EE"/>
                  <w:w w:val="95"/>
                </w:rPr>
                <w:t>Articles of Amendment</w:t>
              </w:r>
            </w:hyperlink>
          </w:p>
        </w:tc>
        <w:tc>
          <w:tcPr>
            <w:tcW w:w="140" w:type="dxa"/>
            <w:vAlign w:val="bottom"/>
            <w:tcBorders>
              <w:bottom w:val="single" w:sz="8" w:color="0000EE"/>
            </w:tcBorders>
            <w:gridSpan w:val="4"/>
          </w:tcPr>
          <w:p>
            <w:pPr>
              <w:jc w:val="right"/>
              <w:spacing w:after="0" w:line="124" w:lineRule="exact"/>
              <w:rPr>
                <w:rFonts w:ascii="Times New Roman" w:cs="Times New Roman" w:eastAsia="Times New Roman" w:hAnsi="Times New Roman"/>
                <w:sz w:val="12"/>
                <w:szCs w:val="12"/>
                <w:color w:val="0000EE"/>
                <w:w w:val="85"/>
              </w:rPr>
            </w:pPr>
            <w:hyperlink r:id="rId113">
              <w:r>
                <w:rPr>
                  <w:rFonts w:ascii="Times New Roman" w:cs="Times New Roman" w:eastAsia="Times New Roman" w:hAnsi="Times New Roman"/>
                  <w:sz w:val="12"/>
                  <w:szCs w:val="12"/>
                  <w:color w:val="0000EE"/>
                  <w:w w:val="85"/>
                </w:rPr>
                <w:t>(2)</w:t>
              </w:r>
            </w:hyperlink>
          </w:p>
        </w:tc>
        <w:tc>
          <w:tcPr>
            <w:tcW w:w="80" w:type="dxa"/>
            <w:vAlign w:val="bottom"/>
            <w:vMerge w:val="restart"/>
          </w:tcPr>
          <w:p>
            <w:pPr>
              <w:spacing w:after="0"/>
              <w:rPr>
                <w:sz w:val="11"/>
                <w:szCs w:val="11"/>
                <w:color w:val="auto"/>
              </w:rPr>
            </w:pPr>
          </w:p>
        </w:tc>
        <w:tc>
          <w:tcPr>
            <w:tcW w:w="700" w:type="dxa"/>
            <w:vAlign w:val="bottom"/>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188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4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9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3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8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3.3</w:t>
            </w:r>
          </w:p>
        </w:tc>
        <w:tc>
          <w:tcPr>
            <w:tcW w:w="1380" w:type="dxa"/>
            <w:vAlign w:val="bottom"/>
            <w:vMerge w:val="restart"/>
          </w:tcPr>
          <w:p>
            <w:pPr>
              <w:spacing w:after="0"/>
              <w:rPr>
                <w:rFonts w:ascii="Times New Roman" w:cs="Times New Roman" w:eastAsia="Times New Roman" w:hAnsi="Times New Roman"/>
                <w:sz w:val="15"/>
                <w:szCs w:val="15"/>
                <w:color w:val="0000EE"/>
                <w:w w:val="95"/>
              </w:rPr>
            </w:pPr>
            <w:hyperlink r:id="rId114">
              <w:r>
                <w:rPr>
                  <w:rFonts w:ascii="Times New Roman" w:cs="Times New Roman" w:eastAsia="Times New Roman" w:hAnsi="Times New Roman"/>
                  <w:sz w:val="15"/>
                  <w:szCs w:val="15"/>
                  <w:color w:val="0000EE"/>
                  <w:w w:val="95"/>
                </w:rPr>
                <w:t>Articles of Amendment</w:t>
              </w:r>
            </w:hyperlink>
          </w:p>
        </w:tc>
        <w:tc>
          <w:tcPr>
            <w:tcW w:w="140" w:type="dxa"/>
            <w:vAlign w:val="bottom"/>
            <w:tcBorders>
              <w:bottom w:val="single" w:sz="8" w:color="0000EE"/>
            </w:tcBorders>
            <w:gridSpan w:val="4"/>
          </w:tcPr>
          <w:p>
            <w:pPr>
              <w:jc w:val="right"/>
              <w:spacing w:after="0" w:line="124" w:lineRule="exact"/>
              <w:rPr>
                <w:rFonts w:ascii="Times New Roman" w:cs="Times New Roman" w:eastAsia="Times New Roman" w:hAnsi="Times New Roman"/>
                <w:sz w:val="12"/>
                <w:szCs w:val="12"/>
                <w:color w:val="0000EE"/>
                <w:w w:val="85"/>
              </w:rPr>
            </w:pPr>
            <w:hyperlink r:id="rId114">
              <w:r>
                <w:rPr>
                  <w:rFonts w:ascii="Times New Roman" w:cs="Times New Roman" w:eastAsia="Times New Roman" w:hAnsi="Times New Roman"/>
                  <w:sz w:val="12"/>
                  <w:szCs w:val="12"/>
                  <w:color w:val="0000EE"/>
                  <w:w w:val="85"/>
                </w:rPr>
                <w:t>(3)</w:t>
              </w:r>
            </w:hyperlink>
          </w:p>
        </w:tc>
        <w:tc>
          <w:tcPr>
            <w:tcW w:w="80" w:type="dxa"/>
            <w:vAlign w:val="bottom"/>
            <w:vMerge w:val="restart"/>
          </w:tcPr>
          <w:p>
            <w:pPr>
              <w:spacing w:after="0"/>
              <w:rPr>
                <w:sz w:val="11"/>
                <w:szCs w:val="11"/>
                <w:color w:val="auto"/>
              </w:rPr>
            </w:pPr>
          </w:p>
        </w:tc>
        <w:tc>
          <w:tcPr>
            <w:tcW w:w="700" w:type="dxa"/>
            <w:vAlign w:val="bottom"/>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188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4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9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3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8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3.4</w:t>
            </w:r>
          </w:p>
        </w:tc>
        <w:tc>
          <w:tcPr>
            <w:tcW w:w="1380" w:type="dxa"/>
            <w:vAlign w:val="bottom"/>
            <w:vMerge w:val="restart"/>
          </w:tcPr>
          <w:p>
            <w:pPr>
              <w:spacing w:after="0"/>
              <w:rPr>
                <w:rFonts w:ascii="Times New Roman" w:cs="Times New Roman" w:eastAsia="Times New Roman" w:hAnsi="Times New Roman"/>
                <w:sz w:val="15"/>
                <w:szCs w:val="15"/>
                <w:color w:val="0000EE"/>
                <w:w w:val="95"/>
              </w:rPr>
            </w:pPr>
            <w:hyperlink r:id="rId115">
              <w:r>
                <w:rPr>
                  <w:rFonts w:ascii="Times New Roman" w:cs="Times New Roman" w:eastAsia="Times New Roman" w:hAnsi="Times New Roman"/>
                  <w:sz w:val="15"/>
                  <w:szCs w:val="15"/>
                  <w:color w:val="0000EE"/>
                  <w:w w:val="95"/>
                </w:rPr>
                <w:t>Articles of Amendment</w:t>
              </w:r>
            </w:hyperlink>
          </w:p>
        </w:tc>
        <w:tc>
          <w:tcPr>
            <w:tcW w:w="140" w:type="dxa"/>
            <w:vAlign w:val="bottom"/>
            <w:tcBorders>
              <w:bottom w:val="single" w:sz="8" w:color="0000EE"/>
            </w:tcBorders>
            <w:gridSpan w:val="4"/>
          </w:tcPr>
          <w:p>
            <w:pPr>
              <w:jc w:val="right"/>
              <w:spacing w:after="0" w:line="124" w:lineRule="exact"/>
              <w:rPr>
                <w:rFonts w:ascii="Times New Roman" w:cs="Times New Roman" w:eastAsia="Times New Roman" w:hAnsi="Times New Roman"/>
                <w:sz w:val="12"/>
                <w:szCs w:val="12"/>
                <w:color w:val="0000EE"/>
                <w:w w:val="85"/>
              </w:rPr>
            </w:pPr>
            <w:hyperlink r:id="rId115">
              <w:r>
                <w:rPr>
                  <w:rFonts w:ascii="Times New Roman" w:cs="Times New Roman" w:eastAsia="Times New Roman" w:hAnsi="Times New Roman"/>
                  <w:sz w:val="12"/>
                  <w:szCs w:val="12"/>
                  <w:color w:val="0000EE"/>
                  <w:w w:val="85"/>
                </w:rPr>
                <w:t>(4)</w:t>
              </w:r>
            </w:hyperlink>
          </w:p>
        </w:tc>
        <w:tc>
          <w:tcPr>
            <w:tcW w:w="80" w:type="dxa"/>
            <w:vAlign w:val="bottom"/>
            <w:vMerge w:val="restart"/>
          </w:tcPr>
          <w:p>
            <w:pPr>
              <w:spacing w:after="0"/>
              <w:rPr>
                <w:sz w:val="11"/>
                <w:szCs w:val="11"/>
                <w:color w:val="auto"/>
              </w:rPr>
            </w:pPr>
          </w:p>
        </w:tc>
        <w:tc>
          <w:tcPr>
            <w:tcW w:w="700" w:type="dxa"/>
            <w:vAlign w:val="bottom"/>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188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4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9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3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8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3.5</w:t>
            </w:r>
          </w:p>
        </w:tc>
        <w:tc>
          <w:tcPr>
            <w:tcW w:w="2300" w:type="dxa"/>
            <w:vAlign w:val="bottom"/>
            <w:gridSpan w:val="7"/>
            <w:vMerge w:val="restart"/>
          </w:tcPr>
          <w:p>
            <w:pPr>
              <w:spacing w:after="0"/>
              <w:rPr>
                <w:rFonts w:ascii="Times New Roman" w:cs="Times New Roman" w:eastAsia="Times New Roman" w:hAnsi="Times New Roman"/>
                <w:sz w:val="15"/>
                <w:szCs w:val="15"/>
                <w:color w:val="0000EE"/>
                <w:w w:val="96"/>
              </w:rPr>
            </w:pPr>
            <w:hyperlink r:id="rId116">
              <w:r>
                <w:rPr>
                  <w:rFonts w:ascii="Times New Roman" w:cs="Times New Roman" w:eastAsia="Times New Roman" w:hAnsi="Times New Roman"/>
                  <w:sz w:val="15"/>
                  <w:szCs w:val="15"/>
                  <w:color w:val="0000EE"/>
                  <w:w w:val="96"/>
                </w:rPr>
                <w:t>Second Amended and Restated Bylaws</w:t>
              </w:r>
            </w:hyperlink>
          </w:p>
        </w:tc>
        <w:tc>
          <w:tcPr>
            <w:tcW w:w="160" w:type="dxa"/>
            <w:vAlign w:val="bottom"/>
            <w:tcBorders>
              <w:bottom w:val="single" w:sz="8" w:color="0000EE"/>
            </w:tcBorders>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0000EE"/>
                <w:w w:val="99"/>
              </w:rPr>
              <w:t>(4)</w:t>
            </w:r>
          </w:p>
        </w:tc>
        <w:tc>
          <w:tcPr>
            <w:tcW w:w="188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4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9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3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2300" w:type="dxa"/>
            <w:vAlign w:val="bottom"/>
            <w:tcBorders>
              <w:bottom w:val="single" w:sz="8" w:color="0000EE"/>
            </w:tcBorders>
            <w:gridSpan w:val="7"/>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w:t>
            </w:r>
          </w:p>
        </w:tc>
        <w:tc>
          <w:tcPr>
            <w:tcW w:w="6900" w:type="dxa"/>
            <w:vAlign w:val="bottom"/>
            <w:gridSpan w:val="15"/>
            <w:vMerge w:val="restart"/>
          </w:tcPr>
          <w:p>
            <w:pPr>
              <w:spacing w:after="0"/>
              <w:rPr>
                <w:rFonts w:ascii="Times New Roman" w:cs="Times New Roman" w:eastAsia="Times New Roman" w:hAnsi="Times New Roman"/>
                <w:sz w:val="15"/>
                <w:szCs w:val="15"/>
                <w:color w:val="0000EE"/>
                <w:w w:val="97"/>
              </w:rPr>
            </w:pPr>
            <w:hyperlink r:id="rId117">
              <w:r>
                <w:rPr>
                  <w:rFonts w:ascii="Times New Roman" w:cs="Times New Roman" w:eastAsia="Times New Roman" w:hAnsi="Times New Roman"/>
                  <w:sz w:val="15"/>
                  <w:szCs w:val="15"/>
                  <w:color w:val="0000EE"/>
                  <w:w w:val="97"/>
                </w:rPr>
                <w:t>Base Indenture, dated March 28, 2018, by and between the Registrant and U.S. Bank National Association, as trustee</w:t>
              </w:r>
            </w:hyperlink>
          </w:p>
        </w:tc>
        <w:tc>
          <w:tcPr>
            <w:tcW w:w="140" w:type="dxa"/>
            <w:vAlign w:val="bottom"/>
            <w:tcBorders>
              <w:bottom w:val="single" w:sz="8" w:color="0000EE"/>
            </w:tcBorders>
            <w:gridSpan w:val="4"/>
          </w:tcPr>
          <w:p>
            <w:pPr>
              <w:jc w:val="right"/>
              <w:spacing w:after="0" w:line="114" w:lineRule="exact"/>
              <w:rPr>
                <w:sz w:val="20"/>
                <w:szCs w:val="20"/>
                <w:color w:val="auto"/>
              </w:rPr>
            </w:pPr>
            <w:r>
              <w:rPr>
                <w:rFonts w:ascii="Times New Roman" w:cs="Times New Roman" w:eastAsia="Times New Roman" w:hAnsi="Times New Roman"/>
                <w:sz w:val="12"/>
                <w:szCs w:val="12"/>
                <w:color w:val="0000EE"/>
                <w:w w:val="85"/>
              </w:rPr>
              <w:t>(5)</w:t>
            </w:r>
          </w:p>
        </w:tc>
        <w:tc>
          <w:tcPr>
            <w:tcW w:w="33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6900" w:type="dxa"/>
            <w:vAlign w:val="bottom"/>
            <w:tcBorders>
              <w:bottom w:val="single" w:sz="8" w:color="0000EE"/>
            </w:tcBorders>
            <w:gridSpan w:val="15"/>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4.2</w:t>
            </w:r>
          </w:p>
        </w:tc>
        <w:tc>
          <w:tcPr>
            <w:tcW w:w="10340" w:type="dxa"/>
            <w:vAlign w:val="bottom"/>
            <w:gridSpan w:val="20"/>
            <w:vMerge w:val="restart"/>
          </w:tcPr>
          <w:p>
            <w:pPr>
              <w:spacing w:after="0"/>
              <w:rPr>
                <w:rFonts w:ascii="Times New Roman" w:cs="Times New Roman" w:eastAsia="Times New Roman" w:hAnsi="Times New Roman"/>
                <w:sz w:val="15"/>
                <w:szCs w:val="15"/>
                <w:color w:val="0000EE"/>
                <w:w w:val="97"/>
              </w:rPr>
            </w:pPr>
            <w:hyperlink r:id="rId118">
              <w:r>
                <w:rPr>
                  <w:rFonts w:ascii="Times New Roman" w:cs="Times New Roman" w:eastAsia="Times New Roman" w:hAnsi="Times New Roman"/>
                  <w:sz w:val="15"/>
                  <w:szCs w:val="15"/>
                  <w:color w:val="0000EE"/>
                  <w:w w:val="97"/>
                </w:rPr>
                <w:t>Second Supplemental Indenture, dated December 17, 2021, relating to the 6.00% Notes due 2026, by and between the Company and U.S. Bank National Association, as trustee</w:t>
              </w:r>
            </w:hyperlink>
          </w:p>
        </w:tc>
        <w:tc>
          <w:tcPr>
            <w:tcW w:w="140" w:type="dxa"/>
            <w:vAlign w:val="bottom"/>
            <w:tcBorders>
              <w:bottom w:val="single" w:sz="8" w:color="0000EE"/>
            </w:tcBorders>
          </w:tcPr>
          <w:p>
            <w:pPr>
              <w:jc w:val="right"/>
              <w:spacing w:after="0" w:line="114" w:lineRule="exact"/>
              <w:rPr>
                <w:sz w:val="20"/>
                <w:szCs w:val="20"/>
                <w:color w:val="auto"/>
              </w:rPr>
            </w:pPr>
            <w:r>
              <w:rPr>
                <w:rFonts w:ascii="Times New Roman" w:cs="Times New Roman" w:eastAsia="Times New Roman" w:hAnsi="Times New Roman"/>
                <w:sz w:val="12"/>
                <w:szCs w:val="12"/>
                <w:color w:val="0000EE"/>
                <w:w w:val="85"/>
              </w:rPr>
              <w:t>(6)</w:t>
            </w: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10340" w:type="dxa"/>
            <w:vAlign w:val="bottom"/>
            <w:tcBorders>
              <w:bottom w:val="single" w:sz="8" w:color="0000EE"/>
            </w:tcBorders>
            <w:gridSpan w:val="20"/>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4.3</w:t>
            </w:r>
          </w:p>
        </w:tc>
        <w:tc>
          <w:tcPr>
            <w:tcW w:w="4340" w:type="dxa"/>
            <w:vAlign w:val="bottom"/>
            <w:gridSpan w:val="11"/>
            <w:vMerge w:val="restart"/>
          </w:tcPr>
          <w:p>
            <w:pPr>
              <w:spacing w:after="0"/>
              <w:rPr>
                <w:rFonts w:ascii="Times New Roman" w:cs="Times New Roman" w:eastAsia="Times New Roman" w:hAnsi="Times New Roman"/>
                <w:sz w:val="15"/>
                <w:szCs w:val="15"/>
                <w:color w:val="0000EE"/>
                <w:w w:val="97"/>
              </w:rPr>
            </w:pPr>
            <w:hyperlink r:id="rId119">
              <w:r>
                <w:rPr>
                  <w:rFonts w:ascii="Times New Roman" w:cs="Times New Roman" w:eastAsia="Times New Roman" w:hAnsi="Times New Roman"/>
                  <w:sz w:val="15"/>
                  <w:szCs w:val="15"/>
                  <w:color w:val="0000EE"/>
                  <w:w w:val="97"/>
                </w:rPr>
                <w:t>Form of 6.00% Notes due 2026 (incorporated by reference to Exhibit 4.2)</w:t>
              </w:r>
            </w:hyperlink>
          </w:p>
        </w:tc>
        <w:tc>
          <w:tcPr>
            <w:tcW w:w="140" w:type="dxa"/>
            <w:vAlign w:val="bottom"/>
            <w:tcBorders>
              <w:bottom w:val="single" w:sz="8" w:color="0000EE"/>
            </w:tcBorders>
          </w:tcPr>
          <w:p>
            <w:pPr>
              <w:jc w:val="right"/>
              <w:spacing w:after="0" w:line="124" w:lineRule="exact"/>
              <w:rPr>
                <w:rFonts w:ascii="Times New Roman" w:cs="Times New Roman" w:eastAsia="Times New Roman" w:hAnsi="Times New Roman"/>
                <w:sz w:val="12"/>
                <w:szCs w:val="12"/>
                <w:color w:val="0000EE"/>
                <w:w w:val="85"/>
              </w:rPr>
            </w:pPr>
            <w:hyperlink r:id="rId119">
              <w:r>
                <w:rPr>
                  <w:rFonts w:ascii="Times New Roman" w:cs="Times New Roman" w:eastAsia="Times New Roman" w:hAnsi="Times New Roman"/>
                  <w:sz w:val="12"/>
                  <w:szCs w:val="12"/>
                  <w:color w:val="0000EE"/>
                  <w:w w:val="85"/>
                </w:rPr>
                <w:t>(6)</w:t>
              </w:r>
            </w:hyperlink>
          </w:p>
        </w:tc>
        <w:tc>
          <w:tcPr>
            <w:tcW w:w="14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000" w:type="dxa"/>
            <w:vAlign w:val="bottom"/>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50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4340" w:type="dxa"/>
            <w:vAlign w:val="bottom"/>
            <w:tcBorders>
              <w:bottom w:val="single" w:sz="8" w:color="0000EE"/>
            </w:tcBorders>
            <w:gridSpan w:val="11"/>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4.4</w:t>
            </w:r>
          </w:p>
        </w:tc>
        <w:tc>
          <w:tcPr>
            <w:tcW w:w="1460" w:type="dxa"/>
            <w:vAlign w:val="bottom"/>
            <w:gridSpan w:val="3"/>
            <w:vMerge w:val="restart"/>
          </w:tcPr>
          <w:p>
            <w:pPr>
              <w:spacing w:after="0"/>
              <w:rPr>
                <w:rFonts w:ascii="Times New Roman" w:cs="Times New Roman" w:eastAsia="Times New Roman" w:hAnsi="Times New Roman"/>
                <w:sz w:val="15"/>
                <w:szCs w:val="15"/>
                <w:color w:val="0000EE"/>
                <w:w w:val="96"/>
              </w:rPr>
            </w:pPr>
            <w:hyperlink r:id="rId120">
              <w:r>
                <w:rPr>
                  <w:rFonts w:ascii="Times New Roman" w:cs="Times New Roman" w:eastAsia="Times New Roman" w:hAnsi="Times New Roman"/>
                  <w:sz w:val="15"/>
                  <w:szCs w:val="15"/>
                  <w:color w:val="0000EE"/>
                  <w:w w:val="96"/>
                </w:rPr>
                <w:t>Description of Securities</w:t>
              </w:r>
            </w:hyperlink>
          </w:p>
        </w:tc>
        <w:tc>
          <w:tcPr>
            <w:tcW w:w="140" w:type="dxa"/>
            <w:vAlign w:val="bottom"/>
            <w:tcBorders>
              <w:bottom w:val="single" w:sz="8" w:color="0000EE"/>
            </w:tcBorders>
            <w:gridSpan w:val="3"/>
          </w:tcPr>
          <w:p>
            <w:pPr>
              <w:jc w:val="right"/>
              <w:spacing w:after="0" w:line="124" w:lineRule="exact"/>
              <w:rPr>
                <w:rFonts w:ascii="Times New Roman" w:cs="Times New Roman" w:eastAsia="Times New Roman" w:hAnsi="Times New Roman"/>
                <w:sz w:val="12"/>
                <w:szCs w:val="12"/>
                <w:color w:val="0000EE"/>
                <w:w w:val="85"/>
              </w:rPr>
            </w:pPr>
            <w:hyperlink r:id="rId120">
              <w:r>
                <w:rPr>
                  <w:rFonts w:ascii="Times New Roman" w:cs="Times New Roman" w:eastAsia="Times New Roman" w:hAnsi="Times New Roman"/>
                  <w:sz w:val="12"/>
                  <w:szCs w:val="12"/>
                  <w:color w:val="0000EE"/>
                  <w:w w:val="85"/>
                </w:rPr>
                <w:t>(7)</w:t>
              </w:r>
            </w:hyperlink>
          </w:p>
        </w:tc>
        <w:tc>
          <w:tcPr>
            <w:tcW w:w="4300" w:type="dxa"/>
            <w:vAlign w:val="bottom"/>
            <w:gridSpan w:val="7"/>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000" w:type="dxa"/>
            <w:vAlign w:val="bottom"/>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50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460" w:type="dxa"/>
            <w:vAlign w:val="bottom"/>
            <w:tcBorders>
              <w:bottom w:val="single" w:sz="8" w:color="0000EE"/>
            </w:tcBorders>
            <w:gridSpan w:val="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gridSpan w:val="2"/>
          </w:tcPr>
          <w:p>
            <w:pPr>
              <w:spacing w:after="0"/>
              <w:rPr>
                <w:sz w:val="3"/>
                <w:szCs w:val="3"/>
                <w:color w:val="auto"/>
              </w:rPr>
            </w:pPr>
          </w:p>
        </w:tc>
        <w:tc>
          <w:tcPr>
            <w:tcW w:w="4300" w:type="dxa"/>
            <w:vAlign w:val="bottom"/>
            <w:gridSpan w:val="7"/>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31.1</w:t>
            </w:r>
          </w:p>
        </w:tc>
        <w:tc>
          <w:tcPr>
            <w:tcW w:w="10480" w:type="dxa"/>
            <w:vAlign w:val="bottom"/>
            <w:gridSpan w:val="21"/>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67"/>
        </w:trPr>
        <w:tc>
          <w:tcPr>
            <w:tcW w:w="6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31.2</w:t>
            </w:r>
          </w:p>
        </w:tc>
        <w:tc>
          <w:tcPr>
            <w:tcW w:w="6980" w:type="dxa"/>
            <w:vAlign w:val="bottom"/>
            <w:tcBorders>
              <w:top w:val="single" w:sz="8" w:color="0000EE"/>
            </w:tcBorders>
            <w:gridSpan w:val="18"/>
          </w:tcPr>
          <w:p>
            <w:pPr>
              <w:spacing w:after="0" w:line="168" w:lineRule="exact"/>
              <w:rPr>
                <w:sz w:val="20"/>
                <w:szCs w:val="20"/>
                <w:color w:val="auto"/>
              </w:rPr>
            </w:pPr>
            <w:r>
              <w:rPr>
                <w:rFonts w:ascii="Times New Roman" w:cs="Times New Roman" w:eastAsia="Times New Roman" w:hAnsi="Times New Roman"/>
                <w:sz w:val="15"/>
                <w:szCs w:val="15"/>
                <w:color w:val="0000EE"/>
                <w:w w:val="98"/>
              </w:rPr>
              <w:t>Certification of Chief Financial Officer pursuant to Rule 13a-14 of the Securities Exchange Act of 1934, as amended*</w:t>
            </w:r>
          </w:p>
        </w:tc>
        <w:tc>
          <w:tcPr>
            <w:tcW w:w="35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4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32.1</w:t>
            </w:r>
          </w:p>
        </w:tc>
        <w:tc>
          <w:tcPr>
            <w:tcW w:w="5940" w:type="dxa"/>
            <w:vAlign w:val="bottom"/>
            <w:tcBorders>
              <w:top w:val="single" w:sz="8" w:color="0000EE"/>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5"/>
                <w:szCs w:val="15"/>
                <w:color w:val="0000EE"/>
                <w:w w:val="97"/>
              </w:rPr>
              <w:t>Certification of Chief Executive Officer pursuant to Section 906 of the Sarbanes-Oxley Act of 2002*</w:t>
            </w:r>
          </w:p>
        </w:tc>
        <w:tc>
          <w:tcPr>
            <w:tcW w:w="1000" w:type="dxa"/>
            <w:vAlign w:val="bottom"/>
            <w:tcBorders>
              <w:top w:val="single" w:sz="8" w:color="0000EE"/>
            </w:tcBorders>
            <w:gridSpan w:val="3"/>
          </w:tcPr>
          <w:p>
            <w:pPr>
              <w:spacing w:after="0"/>
              <w:rPr>
                <w:sz w:val="12"/>
                <w:szCs w:val="12"/>
                <w:color w:val="auto"/>
              </w:rPr>
            </w:pPr>
          </w:p>
        </w:tc>
        <w:tc>
          <w:tcPr>
            <w:tcW w:w="35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32.2</w:t>
            </w:r>
          </w:p>
        </w:tc>
        <w:tc>
          <w:tcPr>
            <w:tcW w:w="5900" w:type="dxa"/>
            <w:vAlign w:val="bottom"/>
            <w:tcBorders>
              <w:bottom w:val="single" w:sz="8" w:color="0000EE"/>
            </w:tcBorders>
            <w:gridSpan w:val="13"/>
          </w:tcPr>
          <w:p>
            <w:pPr>
              <w:spacing w:after="0" w:line="168" w:lineRule="exact"/>
              <w:rPr>
                <w:sz w:val="20"/>
                <w:szCs w:val="20"/>
                <w:color w:val="auto"/>
              </w:rPr>
            </w:pPr>
            <w:r>
              <w:rPr>
                <w:rFonts w:ascii="Times New Roman" w:cs="Times New Roman" w:eastAsia="Times New Roman" w:hAnsi="Times New Roman"/>
                <w:sz w:val="15"/>
                <w:szCs w:val="15"/>
                <w:color w:val="0000EE"/>
                <w:w w:val="97"/>
              </w:rPr>
              <w:t>Certification of Chief Financial Officer pursuant to Section 906 of the Sarbanes-Oxley Act of 2002*</w:t>
            </w:r>
          </w:p>
        </w:tc>
        <w:tc>
          <w:tcPr>
            <w:tcW w:w="45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Schema Document</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Calculation Link base Document</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Definition Link base Document</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Label Link base Document</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Inline XBRL Presentation Link base Document</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04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9260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792605" cy="6985"/>
                    </a:xfrm>
                    <a:prstGeom prst="rect">
                      <a:avLst/>
                    </a:prstGeom>
                    <a:noFill/>
                  </pic:spPr>
                </pic:pic>
              </a:graphicData>
            </a:graphic>
          </wp:anchor>
        </w:drawing>
      </w:r>
    </w:p>
    <w:p>
      <w:pPr>
        <w:spacing w:after="0" w:line="186" w:lineRule="exact"/>
        <w:rPr>
          <w:sz w:val="20"/>
          <w:szCs w:val="20"/>
          <w:color w:val="auto"/>
        </w:rPr>
      </w:pPr>
    </w:p>
    <w:p>
      <w:pPr>
        <w:ind w:left="280" w:hanging="272"/>
        <w:spacing w:after="0" w:line="255" w:lineRule="auto"/>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Pre-Effective Amendment No. 2 to the Registrant’s Registration Statement on Form N-2 (File No. 333-171578), filed on March 30, 2011, and incorporated by reference herein.</w:t>
      </w: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 2011, and incorporated by reference herein.</w:t>
      </w:r>
    </w:p>
    <w:p>
      <w:pPr>
        <w:spacing w:after="0" w:line="3" w:lineRule="exact"/>
        <w:rPr>
          <w:rFonts w:ascii="Times New Roman" w:cs="Times New Roman" w:eastAsia="Times New Roman" w:hAnsi="Times New Roman"/>
          <w:sz w:val="15"/>
          <w:szCs w:val="15"/>
          <w:color w:val="auto"/>
        </w:rPr>
      </w:pP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August 1, 2019, and incorporated by reference herein.</w:t>
      </w:r>
    </w:p>
    <w:p>
      <w:pPr>
        <w:spacing w:after="0" w:line="3" w:lineRule="exact"/>
        <w:rPr>
          <w:rFonts w:ascii="Times New Roman" w:cs="Times New Roman" w:eastAsia="Times New Roman" w:hAnsi="Times New Roman"/>
          <w:sz w:val="15"/>
          <w:szCs w:val="15"/>
          <w:color w:val="auto"/>
        </w:rPr>
      </w:pP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16, 2020, and incorporated by reference herein.</w:t>
      </w:r>
    </w:p>
    <w:p>
      <w:pPr>
        <w:spacing w:after="0" w:line="3" w:lineRule="exact"/>
        <w:rPr>
          <w:rFonts w:ascii="Times New Roman" w:cs="Times New Roman" w:eastAsia="Times New Roman" w:hAnsi="Times New Roman"/>
          <w:sz w:val="15"/>
          <w:szCs w:val="15"/>
          <w:color w:val="auto"/>
        </w:rPr>
      </w:pP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N-2 (File No. 333-239681), filed on July 2, 2020, and incorporated by reference herein.</w:t>
      </w:r>
    </w:p>
    <w:p>
      <w:pPr>
        <w:spacing w:after="0" w:line="3" w:lineRule="exact"/>
        <w:rPr>
          <w:rFonts w:ascii="Times New Roman" w:cs="Times New Roman" w:eastAsia="Times New Roman" w:hAnsi="Times New Roman"/>
          <w:sz w:val="15"/>
          <w:szCs w:val="15"/>
          <w:color w:val="auto"/>
        </w:rPr>
      </w:pP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December 17, 2021, and incorporated by reference herein.</w:t>
      </w:r>
    </w:p>
    <w:p>
      <w:pPr>
        <w:spacing w:after="0" w:line="3" w:lineRule="exact"/>
        <w:rPr>
          <w:rFonts w:ascii="Times New Roman" w:cs="Times New Roman" w:eastAsia="Times New Roman" w:hAnsi="Times New Roman"/>
          <w:sz w:val="15"/>
          <w:szCs w:val="15"/>
          <w:color w:val="auto"/>
        </w:rPr>
      </w:pPr>
    </w:p>
    <w:p>
      <w:pPr>
        <w:ind w:left="280" w:hanging="272"/>
        <w:spacing w:after="0"/>
        <w:tabs>
          <w:tab w:leader="none" w:pos="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11, 2022, and incorporated by reference herein.</w:t>
      </w:r>
    </w:p>
    <w:p>
      <w:pPr>
        <w:spacing w:after="0" w:line="4"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80"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May 7,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Mark D. Klein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-108585</wp:posOffset>
            </wp:positionV>
            <wp:extent cx="336169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64"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May 7,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Allison Green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-108585</wp:posOffset>
            </wp:positionV>
            <wp:extent cx="33616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p>
      <w:pPr>
        <w:spacing w:after="0" w:line="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166" w:lineRule="exact"/>
        <w:rPr>
          <w:sz w:val="20"/>
          <w:szCs w:val="20"/>
          <w:color w:val="auto"/>
        </w:rPr>
      </w:pPr>
    </w:p>
    <w:p>
      <w:pPr>
        <w:ind w:firstLine="265"/>
        <w:spacing w:after="0" w:line="271"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3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May 7, 2025</w:t>
            </w:r>
          </w:p>
        </w:tc>
        <w:tc>
          <w:tcPr>
            <w:tcW w:w="248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w w:val="97"/>
              </w:rPr>
              <w:t>/s/ Mark D. Klein</w:t>
            </w:r>
          </w:p>
        </w:tc>
      </w:tr>
      <w:tr>
        <w:trPr>
          <w:trHeight w:val="153"/>
        </w:trPr>
        <w:tc>
          <w:tcPr>
            <w:tcW w:w="4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30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b w:val="1"/>
                <w:bCs w:val="1"/>
                <w:color w:val="auto"/>
                <w:w w:val="98"/>
              </w:rPr>
              <w:t>Mark D. Klein</w:t>
            </w:r>
          </w:p>
        </w:tc>
      </w:tr>
      <w:tr>
        <w:trPr>
          <w:trHeight w:val="176"/>
        </w:trPr>
        <w:tc>
          <w:tcPr>
            <w:tcW w:w="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Chairman, President and Chief Executive Officer</w:t>
            </w:r>
          </w:p>
        </w:tc>
      </w:tr>
      <w:tr>
        <w:trPr>
          <w:trHeight w:val="174"/>
        </w:trPr>
        <w:tc>
          <w:tcPr>
            <w:tcW w:w="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(Principal Executive Officer)</w:t>
            </w:r>
          </w:p>
        </w:tc>
      </w:tr>
      <w:tr>
        <w:trPr>
          <w:trHeight w:val="193"/>
        </w:trPr>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3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May 7, 2025</w:t>
            </w:r>
          </w:p>
        </w:tc>
        <w:tc>
          <w:tcPr>
            <w:tcW w:w="248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By:</w:t>
            </w:r>
          </w:p>
        </w:tc>
        <w:tc>
          <w:tcPr>
            <w:tcW w:w="530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w w:val="96"/>
              </w:rPr>
              <w:t>/s/ Allison Green</w:t>
            </w:r>
          </w:p>
        </w:tc>
      </w:tr>
    </w:tbl>
    <w:p>
      <w:pPr>
        <w:jc w:val="center"/>
        <w:ind w:left="596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-108585</wp:posOffset>
            </wp:positionV>
            <wp:extent cx="33616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jc w:val="center"/>
        <w:ind w:left="5960"/>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p>
      <w:pPr>
        <w:spacing w:after="0" w:line="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5772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13"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of SuRo Capital Corp.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Mark D. Klein, certify that:</w:t>
      </w:r>
    </w:p>
    <w:p>
      <w:pPr>
        <w:spacing w:after="0" w:line="180" w:lineRule="exact"/>
        <w:rPr>
          <w:sz w:val="20"/>
          <w:szCs w:val="20"/>
          <w:color w:val="auto"/>
        </w:rPr>
      </w:pPr>
    </w:p>
    <w:p>
      <w:pPr>
        <w:ind w:left="540" w:hanging="267"/>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SuRo Capital Corp.;</w:t>
      </w:r>
    </w:p>
    <w:p>
      <w:pPr>
        <w:spacing w:after="0" w:line="180"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18"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15"/>
          <w:szCs w:val="15"/>
          <w:color w:val="auto"/>
        </w:rPr>
      </w:pPr>
    </w:p>
    <w:p>
      <w:pPr>
        <w:jc w:val="both"/>
        <w:ind w:left="800" w:hanging="262"/>
        <w:spacing w:after="0" w:line="258" w:lineRule="auto"/>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800" w:hanging="262"/>
        <w:spacing w:after="0" w:line="258" w:lineRule="auto"/>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800" w:hanging="262"/>
        <w:spacing w:after="0" w:line="271" w:lineRule="auto"/>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5"/>
          <w:szCs w:val="15"/>
          <w:color w:val="auto"/>
        </w:rPr>
      </w:pPr>
    </w:p>
    <w:p>
      <w:pPr>
        <w:ind w:left="800" w:hanging="262"/>
        <w:spacing w:after="0" w:line="307" w:lineRule="auto"/>
        <w:tabs>
          <w:tab w:leader="none" w:pos="8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4"/>
          <w:szCs w:val="14"/>
          <w:color w:val="auto"/>
        </w:rPr>
      </w:pPr>
    </w:p>
    <w:p>
      <w:pPr>
        <w:ind w:left="540" w:hanging="267"/>
        <w:spacing w:after="0" w:line="271"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5"/>
          <w:szCs w:val="15"/>
          <w:color w:val="auto"/>
        </w:rPr>
      </w:pPr>
    </w:p>
    <w:p>
      <w:pPr>
        <w:ind w:left="800" w:hanging="262"/>
        <w:spacing w:after="0" w:line="271" w:lineRule="auto"/>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5"/>
          <w:szCs w:val="15"/>
          <w:color w:val="auto"/>
        </w:rPr>
      </w:pPr>
    </w:p>
    <w:p>
      <w:pPr>
        <w:ind w:left="800" w:hanging="262"/>
        <w:spacing w:after="0"/>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this 7th day of May, 2025.</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Mark Klein</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-108585</wp:posOffset>
            </wp:positionV>
            <wp:extent cx="328485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284855" cy="698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5772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 of SuRo Capital Corp.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Allison Green, certify that:</w:t>
      </w:r>
    </w:p>
    <w:p>
      <w:pPr>
        <w:spacing w:after="0" w:line="180" w:lineRule="exact"/>
        <w:rPr>
          <w:sz w:val="20"/>
          <w:szCs w:val="20"/>
          <w:color w:val="auto"/>
        </w:rPr>
      </w:pPr>
    </w:p>
    <w:p>
      <w:pPr>
        <w:ind w:left="540" w:hanging="267"/>
        <w:spacing w:after="0"/>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SuRo Capital Corp.;</w:t>
      </w:r>
    </w:p>
    <w:p>
      <w:pPr>
        <w:spacing w:after="0" w:line="180"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5"/>
          <w:szCs w:val="15"/>
          <w:color w:val="auto"/>
        </w:rPr>
      </w:pPr>
    </w:p>
    <w:p>
      <w:pPr>
        <w:ind w:left="540" w:hanging="267"/>
        <w:spacing w:after="0" w:line="271"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18"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15"/>
          <w:szCs w:val="15"/>
          <w:color w:val="auto"/>
        </w:rPr>
      </w:pPr>
    </w:p>
    <w:p>
      <w:pPr>
        <w:jc w:val="both"/>
        <w:ind w:left="800" w:hanging="262"/>
        <w:spacing w:after="0" w:line="258" w:lineRule="auto"/>
        <w:tabs>
          <w:tab w:leader="none" w:pos="80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800" w:hanging="262"/>
        <w:spacing w:after="0" w:line="258" w:lineRule="auto"/>
        <w:tabs>
          <w:tab w:leader="none" w:pos="80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800" w:hanging="262"/>
        <w:spacing w:after="0" w:line="271" w:lineRule="auto"/>
        <w:tabs>
          <w:tab w:leader="none" w:pos="80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5"/>
          <w:szCs w:val="15"/>
          <w:color w:val="auto"/>
        </w:rPr>
      </w:pPr>
    </w:p>
    <w:p>
      <w:pPr>
        <w:ind w:left="800" w:hanging="262"/>
        <w:spacing w:after="0" w:line="307" w:lineRule="auto"/>
        <w:tabs>
          <w:tab w:leader="none" w:pos="8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4"/>
          <w:szCs w:val="14"/>
          <w:color w:val="auto"/>
        </w:rPr>
      </w:pPr>
    </w:p>
    <w:p>
      <w:pPr>
        <w:ind w:left="540" w:hanging="267"/>
        <w:spacing w:after="0" w:line="271"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5"/>
          <w:szCs w:val="15"/>
          <w:color w:val="auto"/>
        </w:rPr>
      </w:pPr>
    </w:p>
    <w:p>
      <w:pPr>
        <w:ind w:left="800" w:hanging="262"/>
        <w:spacing w:after="0" w:line="271" w:lineRule="auto"/>
        <w:tabs>
          <w:tab w:leader="none" w:pos="80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5"/>
          <w:szCs w:val="15"/>
          <w:color w:val="auto"/>
        </w:rPr>
      </w:pPr>
    </w:p>
    <w:p>
      <w:pPr>
        <w:ind w:left="800" w:hanging="262"/>
        <w:spacing w:after="0"/>
        <w:tabs>
          <w:tab w:leader="none" w:pos="800"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this 7th day of May, 2025.</w:t>
      </w:r>
    </w:p>
    <w:p>
      <w:pPr>
        <w:spacing w:after="0" w:line="17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Allison Green</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-108585</wp:posOffset>
            </wp:positionV>
            <wp:extent cx="328485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284855" cy="698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5772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connection with the quarterly report on Form 10-Q for the three months ended March 31, 2025 (the “Report”) of SuRo Capital Corp. (the “Registrant”), as filed with the Securities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Commission on the date hereof, I, Mark D. Klein, the Chief Executive Officer of the Registrant, hereby certify, to the best of my knowledge, that:</w:t>
      </w:r>
    </w:p>
    <w:p>
      <w:pPr>
        <w:spacing w:after="0" w:line="166" w:lineRule="exact"/>
        <w:rPr>
          <w:sz w:val="20"/>
          <w:szCs w:val="20"/>
          <w:color w:val="auto"/>
        </w:rPr>
      </w:pPr>
    </w:p>
    <w:p>
      <w:pPr>
        <w:ind w:left="540" w:hanging="267"/>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i w:val="1"/>
          <w:iCs w:val="1"/>
          <w:color w:val="auto"/>
        </w:rPr>
        <w:t>/s/ Mark D. Klein</w:t>
      </w:r>
    </w:p>
    <w:p>
      <w:pPr>
        <w:spacing w:after="0" w:line="20"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-101600</wp:posOffset>
            </wp:positionV>
            <wp:extent cx="321437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3214370" cy="6985"/>
                    </a:xfrm>
                    <a:prstGeom prst="rect">
                      <a:avLst/>
                    </a:prstGeom>
                    <a:noFill/>
                  </pic:spPr>
                </pic:pic>
              </a:graphicData>
            </a:graphic>
          </wp:anchor>
        </w:drawing>
      </w:r>
    </w:p>
    <w:p>
      <w:pPr>
        <w:spacing w:after="0" w:line="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5772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with the quarterly report on Form 10-Q for the three months ended March 31, 2025 (the “Report”) of SuRo Capital Corp. (the “Registrant”), as filed with the Securities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Commission on the date hereof, I, Allison Green, the Chief Financial Officer of the Registrant, hereby certify, to the best of my knowledge, that:</w:t>
      </w:r>
    </w:p>
    <w:p>
      <w:pPr>
        <w:spacing w:after="0" w:line="166" w:lineRule="exact"/>
        <w:rPr>
          <w:sz w:val="20"/>
          <w:szCs w:val="20"/>
          <w:color w:val="auto"/>
        </w:rPr>
      </w:pPr>
    </w:p>
    <w:p>
      <w:pPr>
        <w:ind w:left="540" w:hanging="267"/>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80" w:lineRule="exact"/>
        <w:rPr>
          <w:rFonts w:ascii="Times New Roman" w:cs="Times New Roman" w:eastAsia="Times New Roman" w:hAnsi="Times New Roman"/>
          <w:sz w:val="15"/>
          <w:szCs w:val="15"/>
          <w:color w:val="auto"/>
        </w:rPr>
      </w:pPr>
    </w:p>
    <w:p>
      <w:pPr>
        <w:ind w:left="540" w:hanging="267"/>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i w:val="1"/>
          <w:iCs w:val="1"/>
          <w:color w:val="auto"/>
        </w:rPr>
        <w:t>/s/ Allison Green</w:t>
      </w:r>
    </w:p>
    <w:p>
      <w:pPr>
        <w:spacing w:after="0" w:line="20"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-101600</wp:posOffset>
            </wp:positionV>
            <wp:extent cx="321437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3214370" cy="6985"/>
                    </a:xfrm>
                    <a:prstGeom prst="rect">
                      <a:avLst/>
                    </a:prstGeom>
                    <a:noFill/>
                  </pic:spPr>
                </pic:pic>
              </a:graphicData>
            </a:graphic>
          </wp:anchor>
        </w:drawing>
      </w:r>
    </w:p>
    <w:p>
      <w:pPr>
        <w:spacing w:after="0" w:line="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5772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sectPr>
      <w:pgSz w:w="11900" w:h="16838" w:orient="portrait"/>
      <w:cols w:equalWidth="0" w:num="1">
        <w:col w:w="11280"/>
      </w:cols>
      <w:pgMar w:left="300" w:top="2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2"/>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7"/>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12" Type="http://schemas.openxmlformats.org/officeDocument/2006/relationships/hyperlink" Target="http://www.sec.gov/Archives/edgar/data/1509470/000113379611000069/k216228_ex99-2a.htm" TargetMode="External"/><Relationship Id="rId113" Type="http://schemas.openxmlformats.org/officeDocument/2006/relationships/hyperlink" Target="http://www.sec.gov/Archives/edgar/data/1509470/000114420411033389/v224342_ex3-1.htm" TargetMode="External"/><Relationship Id="rId114" Type="http://schemas.openxmlformats.org/officeDocument/2006/relationships/hyperlink" Target="http://www.sec.gov/Archives/edgar/data/1509470/000114420419037014/tv526412_ex3-1.htm" TargetMode="External"/><Relationship Id="rId115" Type="http://schemas.openxmlformats.org/officeDocument/2006/relationships/hyperlink" Target="http://www.sec.gov/Archives/edgar/data/1509470/000110465920073783/tm2022743d1_ex3-1.htm" TargetMode="External"/><Relationship Id="rId116" Type="http://schemas.openxmlformats.org/officeDocument/2006/relationships/hyperlink" Target="http://www.sec.gov/Archives/edgar/data/1509470/000114420419037014/tv526412_ex3-2.htm" TargetMode="External"/><Relationship Id="rId117" Type="http://schemas.openxmlformats.org/officeDocument/2006/relationships/hyperlink" Target="http://www.sec.gov/Archives/edgar/data/1509470/000110465920080689/tm2023838d1_ex-d3.htm" TargetMode="External"/><Relationship Id="rId118" Type="http://schemas.openxmlformats.org/officeDocument/2006/relationships/hyperlink" Target="https://www.sec.gov/Archives/edgar/data/0001509470/000110465921150924/tm2135610d1_ex4-2.htm" TargetMode="External"/><Relationship Id="rId119" Type="http://schemas.openxmlformats.org/officeDocument/2006/relationships/hyperlink" Target="https://www.sec.gov/Archives/edgar/data/0001509470/000110465921150924/tm2135610d1_ex4-2.htm#S1" TargetMode="External"/><Relationship Id="rId120" Type="http://schemas.openxmlformats.org/officeDocument/2006/relationships/hyperlink" Target="https://www.sec.gov/Archives/edgar/data/0001509470/000162828022005867/surocapital-form10xk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2025-05-07T08:13:34Z</dcterms:created>
  <dcterms:modified xsi:type="dcterms:W3CDTF">2025-05-07T08:13:34Z</dcterms:modified>
</cp:coreProperties>
</file>